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750" w:rsidRDefault="008B0750" w:rsidP="008B0750">
      <w:pPr>
        <w:framePr w:w="256" w:h="301" w:hRule="exact" w:wrap="auto" w:vAnchor="text" w:hAnchor="page" w:x="1171" w:y="-312"/>
      </w:pPr>
      <w:bookmarkStart w:id="0" w:name="_GoBack"/>
      <w:bookmarkEnd w:id="0"/>
    </w:p>
    <w:p w:rsidR="008B0750" w:rsidRDefault="008B0750">
      <w:pPr>
        <w:spacing w:line="240" w:lineRule="exact"/>
        <w:rPr>
          <w:vanish/>
        </w:rPr>
      </w:pPr>
    </w:p>
    <w:p w:rsidR="008B0750" w:rsidRDefault="00746F61" w:rsidP="003C6863">
      <w:pPr>
        <w:framePr w:w="8268" w:h="858" w:hRule="exact" w:wrap="auto" w:vAnchor="page" w:hAnchor="page" w:x="2354" w:y="804"/>
      </w:pPr>
      <w:r>
        <w:rPr>
          <w:noProof/>
        </w:rPr>
        <w:drawing>
          <wp:inline distT="0" distB="0" distL="0" distR="0">
            <wp:extent cx="5243830" cy="547370"/>
            <wp:effectExtent l="0" t="0" r="0" b="508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7744" b="-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83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750" w:rsidRPr="008B0750" w:rsidRDefault="008B0750">
      <w:pPr>
        <w:jc w:val="center"/>
        <w:rPr>
          <w:rFonts w:eastAsia="PMingLiU" w:cs="PMingLiU"/>
          <w:b/>
          <w:bCs/>
          <w:sz w:val="28"/>
          <w:szCs w:val="28"/>
        </w:rPr>
      </w:pPr>
      <w:r w:rsidRPr="008B0750">
        <w:rPr>
          <w:rFonts w:eastAsia="PMingLiU" w:cs="PMingLiU"/>
          <w:b/>
          <w:bCs/>
          <w:sz w:val="28"/>
          <w:szCs w:val="28"/>
        </w:rPr>
        <w:t xml:space="preserve">United States Attorney </w:t>
      </w:r>
      <w:r w:rsidR="000D38DD">
        <w:rPr>
          <w:rFonts w:eastAsia="PMingLiU" w:cs="PMingLiU"/>
          <w:b/>
          <w:bCs/>
          <w:sz w:val="28"/>
          <w:szCs w:val="28"/>
        </w:rPr>
        <w:t>Scott C. Blader</w:t>
      </w:r>
    </w:p>
    <w:p w:rsidR="008B0750" w:rsidRPr="008B0750" w:rsidRDefault="008B0750">
      <w:pPr>
        <w:jc w:val="center"/>
        <w:rPr>
          <w:rFonts w:eastAsia="PMingLiU" w:cs="PMingLiU"/>
          <w:sz w:val="28"/>
          <w:szCs w:val="28"/>
        </w:rPr>
      </w:pPr>
      <w:r w:rsidRPr="008B0750">
        <w:rPr>
          <w:rFonts w:eastAsia="PMingLiU" w:cs="PMingLiU"/>
          <w:b/>
          <w:bCs/>
          <w:sz w:val="28"/>
          <w:szCs w:val="28"/>
        </w:rPr>
        <w:t>Western District of Wisconsin</w:t>
      </w:r>
    </w:p>
    <w:p w:rsidR="008B0750" w:rsidRDefault="00746F61" w:rsidP="008B0750">
      <w:pPr>
        <w:framePr w:w="1095" w:h="1110" w:hRule="exact" w:wrap="auto" w:vAnchor="text" w:hAnchor="page" w:x="577" w:y="-948"/>
      </w:pPr>
      <w:r>
        <w:rPr>
          <w:noProof/>
        </w:rPr>
        <w:drawing>
          <wp:inline distT="0" distB="0" distL="0" distR="0">
            <wp:extent cx="13970" cy="139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841" b="-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750" w:rsidRPr="008B0750" w:rsidRDefault="008B0750">
      <w:pPr>
        <w:jc w:val="center"/>
        <w:rPr>
          <w:rFonts w:eastAsia="PMingLiU" w:cs="PMingLiU"/>
        </w:rPr>
      </w:pPr>
    </w:p>
    <w:p w:rsidR="008B0750" w:rsidRPr="008B0750" w:rsidRDefault="00746F61">
      <w:pPr>
        <w:spacing w:line="19" w:lineRule="exact"/>
        <w:jc w:val="center"/>
        <w:rPr>
          <w:rFonts w:eastAsia="PMingLiU" w:cs="PMingLi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65EA1" id="Rectangle 2" o:spid="_x0000_s1026" style="position:absolute;margin-left:1in;margin-top:0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8B0750" w:rsidRPr="008B0750" w:rsidRDefault="00F0444D" w:rsidP="00C312A0">
      <w:pPr>
        <w:tabs>
          <w:tab w:val="left" w:pos="5580"/>
          <w:tab w:val="right" w:pos="9360"/>
        </w:tabs>
        <w:rPr>
          <w:rFonts w:eastAsia="PMingLiU" w:cs="PMingLiU"/>
        </w:rPr>
      </w:pPr>
      <w:sdt>
        <w:sdtPr>
          <w:rPr>
            <w:rFonts w:eastAsia="PMingLiU" w:cs="PMingLiU"/>
          </w:rPr>
          <w:id w:val="-781883893"/>
          <w:lock w:val="contentLocked"/>
          <w:placeholder>
            <w:docPart w:val="005F0F2D5CC34BCAA83EAB087BB8EE23"/>
          </w:placeholder>
          <w:group/>
        </w:sdtPr>
        <w:sdtEndPr/>
        <w:sdtContent>
          <w:r w:rsidR="008B0750">
            <w:rPr>
              <w:rFonts w:eastAsia="PMingLiU" w:cs="PMingLiU"/>
            </w:rPr>
            <w:t>FOR IMMEDIATE RELEASE</w:t>
          </w:r>
        </w:sdtContent>
      </w:sdt>
      <w:r w:rsidR="008B0750">
        <w:rPr>
          <w:rFonts w:eastAsia="PMingLiU" w:cs="PMingLiU"/>
        </w:rPr>
        <w:tab/>
      </w:r>
      <w:r w:rsidR="008B0750" w:rsidRPr="008B0750">
        <w:rPr>
          <w:rFonts w:eastAsia="PMingLiU" w:cs="PMingLiU"/>
        </w:rPr>
        <w:t>CONTACT:</w:t>
      </w:r>
      <w:r w:rsidR="0051661D">
        <w:rPr>
          <w:rFonts w:eastAsia="PMingLiU" w:cs="PMingLiU"/>
        </w:rPr>
        <w:t xml:space="preserve">  </w:t>
      </w:r>
      <w:r w:rsidR="00955C44">
        <w:rPr>
          <w:rFonts w:eastAsia="PMingLiU" w:cs="PMingLiU"/>
        </w:rPr>
        <w:t>AARON WEGNER</w:t>
      </w:r>
    </w:p>
    <w:p w:rsidR="008B0750" w:rsidRPr="008B0750" w:rsidRDefault="00E66BD9">
      <w:pPr>
        <w:tabs>
          <w:tab w:val="right" w:pos="9360"/>
        </w:tabs>
        <w:rPr>
          <w:rFonts w:eastAsia="PMingLiU" w:cs="PMingLiU"/>
        </w:rPr>
      </w:pPr>
      <w:r>
        <w:rPr>
          <w:rFonts w:eastAsia="PMingLiU" w:cs="PMingLiU"/>
        </w:rPr>
        <w:t>February 15</w:t>
      </w:r>
      <w:r w:rsidR="00A764BF">
        <w:rPr>
          <w:rFonts w:eastAsia="PMingLiU" w:cs="PMingLiU"/>
        </w:rPr>
        <w:t>, 2018</w:t>
      </w:r>
      <w:r w:rsidR="008B0750" w:rsidRPr="008B0750">
        <w:rPr>
          <w:rFonts w:eastAsia="PMingLiU" w:cs="PMingLiU"/>
        </w:rPr>
        <w:tab/>
      </w:r>
      <w:sdt>
        <w:sdtPr>
          <w:rPr>
            <w:rFonts w:eastAsia="PMingLiU" w:cs="PMingLiU"/>
          </w:rPr>
          <w:id w:val="-1758045521"/>
          <w:lock w:val="contentLocked"/>
          <w:placeholder>
            <w:docPart w:val="005F0F2D5CC34BCAA83EAB087BB8EE23"/>
          </w:placeholder>
          <w:group/>
        </w:sdtPr>
        <w:sdtEndPr/>
        <w:sdtContent>
          <w:r w:rsidR="008B0750" w:rsidRPr="008B0750">
            <w:rPr>
              <w:rFonts w:eastAsia="PMingLiU" w:cs="PMingLiU"/>
            </w:rPr>
            <w:t>PHONE: (608) 264-5158</w:t>
          </w:r>
        </w:sdtContent>
      </w:sdt>
    </w:p>
    <w:p w:rsidR="008B0750" w:rsidRPr="008B0750" w:rsidRDefault="00F0444D">
      <w:pPr>
        <w:tabs>
          <w:tab w:val="right" w:pos="9360"/>
        </w:tabs>
        <w:rPr>
          <w:rFonts w:eastAsia="PMingLiU" w:cs="PMingLiU"/>
        </w:rPr>
      </w:pPr>
      <w:sdt>
        <w:sdtPr>
          <w:rPr>
            <w:rFonts w:eastAsia="PMingLiU" w:cs="PMingLiU"/>
          </w:rPr>
          <w:id w:val="-683900571"/>
          <w:lock w:val="contentLocked"/>
          <w:placeholder>
            <w:docPart w:val="005F0F2D5CC34BCAA83EAB087BB8EE23"/>
          </w:placeholder>
          <w:group/>
        </w:sdtPr>
        <w:sdtEndPr/>
        <w:sdtContent>
          <w:r w:rsidR="008B0750" w:rsidRPr="008B0750">
            <w:rPr>
              <w:rFonts w:eastAsia="PMingLiU" w:cs="PMingLiU"/>
            </w:rPr>
            <w:t>WWW.USDOJ.GOV/USAO/WIW</w:t>
          </w:r>
        </w:sdtContent>
      </w:sdt>
      <w:r w:rsidR="008B0750" w:rsidRPr="008B0750">
        <w:rPr>
          <w:rFonts w:eastAsia="PMingLiU" w:cs="PMingLiU"/>
        </w:rPr>
        <w:tab/>
      </w:r>
      <w:sdt>
        <w:sdtPr>
          <w:rPr>
            <w:rFonts w:eastAsia="PMingLiU" w:cs="PMingLiU"/>
          </w:rPr>
          <w:id w:val="1241751362"/>
          <w:lock w:val="contentLocked"/>
          <w:placeholder>
            <w:docPart w:val="005F0F2D5CC34BCAA83EAB087BB8EE23"/>
          </w:placeholder>
          <w:group/>
        </w:sdtPr>
        <w:sdtEndPr/>
        <w:sdtContent>
          <w:r w:rsidR="008B0750" w:rsidRPr="008B0750">
            <w:rPr>
              <w:rFonts w:eastAsia="PMingLiU" w:cs="PMingLiU"/>
            </w:rPr>
            <w:t>TTY: (608) 264-5006</w:t>
          </w:r>
        </w:sdtContent>
      </w:sdt>
    </w:p>
    <w:p w:rsidR="008B0750" w:rsidRPr="008B0750" w:rsidRDefault="008B0750">
      <w:pPr>
        <w:rPr>
          <w:rFonts w:eastAsia="PMingLiU" w:cs="PMingLiU"/>
        </w:rPr>
      </w:pPr>
    </w:p>
    <w:p w:rsidR="00FE7C33" w:rsidRPr="008B0750" w:rsidRDefault="00FE7C33" w:rsidP="00FE7C33">
      <w:pPr>
        <w:rPr>
          <w:rFonts w:eastAsia="PMingLiU" w:cs="PMingLiU"/>
        </w:rPr>
      </w:pPr>
    </w:p>
    <w:p w:rsidR="001D6EC9" w:rsidRDefault="00FE7C33" w:rsidP="0081603D">
      <w:pPr>
        <w:ind w:firstLine="720"/>
        <w:rPr>
          <w:rFonts w:eastAsia="PMingLiU" w:cs="PMingLiU"/>
        </w:rPr>
      </w:pPr>
      <w:r w:rsidRPr="00210889">
        <w:rPr>
          <w:rFonts w:eastAsia="PMingLiU" w:cs="PMingLiU"/>
        </w:rPr>
        <w:t xml:space="preserve">Madison, Wis. </w:t>
      </w:r>
      <w:r w:rsidR="00B52D52">
        <w:rPr>
          <w:rFonts w:eastAsia="PMingLiU" w:cs="PMingLiU"/>
        </w:rPr>
        <w:t>–</w:t>
      </w:r>
      <w:r w:rsidR="000D38DD">
        <w:rPr>
          <w:rFonts w:eastAsia="PMingLiU" w:cs="PMingLiU"/>
        </w:rPr>
        <w:t xml:space="preserve"> Scott C. Blader</w:t>
      </w:r>
      <w:r w:rsidRPr="00210889">
        <w:rPr>
          <w:rFonts w:eastAsia="PMingLiU" w:cs="PMingLiU"/>
        </w:rPr>
        <w:t xml:space="preserve">, United States Attorney for the Western District of Wisconsin, announced that </w:t>
      </w:r>
      <w:bookmarkStart w:id="1" w:name="Text3"/>
      <w:r w:rsidR="00933DBD">
        <w:rPr>
          <w:rFonts w:eastAsia="PMingLiU" w:cs="PMingLiU"/>
        </w:rPr>
        <w:t>Alejandro Arias-Perez, 29, Miami</w:t>
      </w:r>
      <w:r w:rsidR="00116735">
        <w:rPr>
          <w:rFonts w:eastAsia="PMingLiU" w:cs="PMingLiU"/>
        </w:rPr>
        <w:t>,</w:t>
      </w:r>
      <w:r w:rsidR="00933DBD">
        <w:rPr>
          <w:rFonts w:eastAsia="PMingLiU" w:cs="PMingLiU"/>
        </w:rPr>
        <w:t xml:space="preserve"> Florida</w:t>
      </w:r>
      <w:r w:rsidR="00BD4859">
        <w:rPr>
          <w:rFonts w:eastAsia="PMingLiU" w:cs="PMingLiU"/>
        </w:rPr>
        <w:t>,</w:t>
      </w:r>
      <w:r w:rsidR="00116735">
        <w:rPr>
          <w:rFonts w:eastAsia="PMingLiU" w:cs="PMingLiU"/>
        </w:rPr>
        <w:t xml:space="preserve"> </w:t>
      </w:r>
      <w:bookmarkEnd w:id="1"/>
      <w:r w:rsidR="00933DBD">
        <w:rPr>
          <w:rFonts w:eastAsia="PMingLiU" w:cs="PMingLiU"/>
        </w:rPr>
        <w:t>pleaded guilty on November 29, 2017, to one count of possession of device making equipment.  Sentencing is set for April 3, 2018</w:t>
      </w:r>
      <w:r w:rsidR="0081603D" w:rsidRPr="0081603D">
        <w:rPr>
          <w:rFonts w:eastAsia="PMingLiU" w:cs="PMingLiU"/>
        </w:rPr>
        <w:t>.</w:t>
      </w:r>
    </w:p>
    <w:p w:rsidR="00933DBD" w:rsidRDefault="00933DBD" w:rsidP="0081603D">
      <w:pPr>
        <w:ind w:firstLine="720"/>
        <w:rPr>
          <w:rFonts w:eastAsia="PMingLiU" w:cs="PMingLiU"/>
        </w:rPr>
      </w:pPr>
    </w:p>
    <w:p w:rsidR="00531A67" w:rsidRDefault="00335DD3" w:rsidP="0081603D">
      <w:pPr>
        <w:ind w:firstLine="720"/>
        <w:rPr>
          <w:rFonts w:eastAsia="PMingLiU" w:cs="PMingLiU"/>
        </w:rPr>
      </w:pPr>
      <w:r>
        <w:rPr>
          <w:rFonts w:eastAsia="PMingLiU" w:cs="PMingLiU"/>
        </w:rPr>
        <w:t xml:space="preserve">The government’s investigation into Arias-Perez revealed that from August to September of 2016, Arias-Perez was involved </w:t>
      </w:r>
      <w:r w:rsidR="00531A67">
        <w:rPr>
          <w:rFonts w:eastAsia="PMingLiU" w:cs="PMingLiU"/>
        </w:rPr>
        <w:t xml:space="preserve">in a credit card skimming scheme involving </w:t>
      </w:r>
      <w:r>
        <w:rPr>
          <w:rFonts w:eastAsia="PMingLiU" w:cs="PMingLiU"/>
        </w:rPr>
        <w:t xml:space="preserve">gas stations throughout Wisconsin and Minnesota.  </w:t>
      </w:r>
    </w:p>
    <w:p w:rsidR="00531A67" w:rsidRDefault="00531A67" w:rsidP="0081603D">
      <w:pPr>
        <w:ind w:firstLine="720"/>
        <w:rPr>
          <w:rFonts w:eastAsia="PMingLiU" w:cs="PMingLiU"/>
        </w:rPr>
      </w:pPr>
    </w:p>
    <w:p w:rsidR="00335DD3" w:rsidRDefault="00335DD3" w:rsidP="0081603D">
      <w:pPr>
        <w:ind w:firstLine="720"/>
        <w:rPr>
          <w:rFonts w:eastAsia="PMingLiU" w:cs="PMingLiU"/>
        </w:rPr>
      </w:pPr>
      <w:r>
        <w:rPr>
          <w:rFonts w:eastAsia="PMingLiU" w:cs="PMingLiU"/>
        </w:rPr>
        <w:t xml:space="preserve">On August 12, 2016, Arias-Perez placed a skimming device inside a gas pump at </w:t>
      </w:r>
      <w:r w:rsidRPr="00335DD3">
        <w:rPr>
          <w:rFonts w:eastAsia="PMingLiU" w:cs="PMingLiU"/>
        </w:rPr>
        <w:t>the Shell gas station at 4821 E. Washington Avenue</w:t>
      </w:r>
      <w:r>
        <w:rPr>
          <w:rFonts w:eastAsia="PMingLiU" w:cs="PMingLiU"/>
        </w:rPr>
        <w:t>, in Madison.  The skimmer was discovered on August 23, 2016.  A forensic analysis of the skimme</w:t>
      </w:r>
      <w:r w:rsidR="007C7191">
        <w:rPr>
          <w:rFonts w:eastAsia="PMingLiU" w:cs="PMingLiU"/>
        </w:rPr>
        <w:t>r revealed that it contained 382</w:t>
      </w:r>
      <w:r>
        <w:rPr>
          <w:rFonts w:eastAsia="PMingLiU" w:cs="PMingLiU"/>
        </w:rPr>
        <w:t xml:space="preserve"> credit or debit card numbers.</w:t>
      </w:r>
    </w:p>
    <w:p w:rsidR="00531A67" w:rsidRDefault="00531A67" w:rsidP="0081603D">
      <w:pPr>
        <w:ind w:firstLine="720"/>
        <w:rPr>
          <w:rFonts w:eastAsia="PMingLiU" w:cs="PMingLiU"/>
        </w:rPr>
      </w:pPr>
    </w:p>
    <w:p w:rsidR="00531A67" w:rsidRPr="00531A67" w:rsidRDefault="00531A67" w:rsidP="00531A67">
      <w:pPr>
        <w:ind w:firstLine="720"/>
        <w:rPr>
          <w:rFonts w:eastAsia="PMingLiU" w:cs="PMingLiU"/>
        </w:rPr>
      </w:pPr>
      <w:r>
        <w:rPr>
          <w:rFonts w:eastAsia="PMingLiU" w:cs="PMingLiU"/>
        </w:rPr>
        <w:t xml:space="preserve">On August 16, 2016, police officers discovered a skimmer inside a gas pump at a Super America gas station in Maple Grove, Minnesota.  The investigation revealed that Arias-Perez likely placed the skimmer in the gas pump between August 9 and August 16, 2016.  </w:t>
      </w:r>
      <w:r w:rsidRPr="00531A67">
        <w:rPr>
          <w:rFonts w:eastAsia="PMingLiU" w:cs="PMingLiU"/>
        </w:rPr>
        <w:t>A forensic analysis of the skimme</w:t>
      </w:r>
      <w:r w:rsidR="007C7191">
        <w:rPr>
          <w:rFonts w:eastAsia="PMingLiU" w:cs="PMingLiU"/>
        </w:rPr>
        <w:t>r revealed that it contained 26</w:t>
      </w:r>
      <w:r>
        <w:rPr>
          <w:rFonts w:eastAsia="PMingLiU" w:cs="PMingLiU"/>
        </w:rPr>
        <w:t>9</w:t>
      </w:r>
      <w:r w:rsidRPr="00531A67">
        <w:rPr>
          <w:rFonts w:eastAsia="PMingLiU" w:cs="PMingLiU"/>
        </w:rPr>
        <w:t xml:space="preserve"> credit or debit card numbers. </w:t>
      </w:r>
      <w:r>
        <w:rPr>
          <w:rFonts w:eastAsia="PMingLiU" w:cs="PMingLiU"/>
        </w:rPr>
        <w:t xml:space="preserve">  </w:t>
      </w:r>
    </w:p>
    <w:p w:rsidR="00335DD3" w:rsidRDefault="00335DD3" w:rsidP="0081603D">
      <w:pPr>
        <w:ind w:firstLine="720"/>
        <w:rPr>
          <w:rFonts w:eastAsia="PMingLiU" w:cs="PMingLiU"/>
        </w:rPr>
      </w:pPr>
    </w:p>
    <w:p w:rsidR="00933DBD" w:rsidRDefault="00335DD3" w:rsidP="0081603D">
      <w:pPr>
        <w:ind w:firstLine="720"/>
        <w:rPr>
          <w:rFonts w:eastAsia="PMingLiU" w:cs="PMingLiU"/>
        </w:rPr>
      </w:pPr>
      <w:r>
        <w:rPr>
          <w:rFonts w:eastAsia="PMingLiU" w:cs="PMingLiU"/>
        </w:rPr>
        <w:t>On September 1, 2016, Madison police off</w:t>
      </w:r>
      <w:r w:rsidR="007C7191">
        <w:rPr>
          <w:rFonts w:eastAsia="PMingLiU" w:cs="PMingLiU"/>
        </w:rPr>
        <w:t xml:space="preserve">icers discovered a </w:t>
      </w:r>
      <w:r>
        <w:rPr>
          <w:rFonts w:eastAsia="PMingLiU" w:cs="PMingLiU"/>
        </w:rPr>
        <w:t xml:space="preserve">skimmer placed inside a gas pump at the BP gas station located at </w:t>
      </w:r>
      <w:r w:rsidRPr="00335DD3">
        <w:rPr>
          <w:rFonts w:eastAsia="PMingLiU" w:cs="PMingLiU"/>
        </w:rPr>
        <w:t>318 S. Park Street</w:t>
      </w:r>
      <w:r>
        <w:rPr>
          <w:rFonts w:eastAsia="PMingLiU" w:cs="PMingLiU"/>
        </w:rPr>
        <w:t xml:space="preserve">.  The investigation revealed that Arias-Perez </w:t>
      </w:r>
      <w:r w:rsidR="00531A67">
        <w:rPr>
          <w:rFonts w:eastAsia="PMingLiU" w:cs="PMingLiU"/>
        </w:rPr>
        <w:t xml:space="preserve">placed the skimmer inside of the pump between August 9 and August 12, 2016. </w:t>
      </w:r>
      <w:r w:rsidR="00531A67" w:rsidRPr="00531A67">
        <w:rPr>
          <w:rFonts w:eastAsia="PMingLiU" w:cs="PMingLiU"/>
        </w:rPr>
        <w:t>A forensic analysis of the skimme</w:t>
      </w:r>
      <w:r w:rsidR="007C7191">
        <w:rPr>
          <w:rFonts w:eastAsia="PMingLiU" w:cs="PMingLiU"/>
        </w:rPr>
        <w:t>r revealed that it contained 547</w:t>
      </w:r>
      <w:r w:rsidR="00531A67" w:rsidRPr="00531A67">
        <w:rPr>
          <w:rFonts w:eastAsia="PMingLiU" w:cs="PMingLiU"/>
        </w:rPr>
        <w:t xml:space="preserve"> credit or debit card numbers.</w:t>
      </w:r>
      <w:r w:rsidR="00531A67">
        <w:rPr>
          <w:rFonts w:eastAsia="PMingLiU" w:cs="PMingLiU"/>
        </w:rPr>
        <w:t xml:space="preserve"> </w:t>
      </w:r>
    </w:p>
    <w:p w:rsidR="00974FE8" w:rsidRDefault="00974FE8" w:rsidP="0081603D">
      <w:pPr>
        <w:ind w:firstLine="720"/>
        <w:rPr>
          <w:rFonts w:eastAsia="PMingLiU" w:cs="PMingLiU"/>
        </w:rPr>
      </w:pPr>
    </w:p>
    <w:p w:rsidR="00974FE8" w:rsidRPr="00974FE8" w:rsidRDefault="00974FE8" w:rsidP="00974FE8">
      <w:pPr>
        <w:ind w:firstLine="720"/>
        <w:rPr>
          <w:rFonts w:eastAsia="PMingLiU" w:cs="PMingLiU"/>
        </w:rPr>
      </w:pPr>
      <w:r>
        <w:rPr>
          <w:rFonts w:eastAsia="PMingLiU" w:cs="PMingLiU"/>
        </w:rPr>
        <w:t>On April 27, 2017,</w:t>
      </w:r>
      <w:r w:rsidRPr="00974FE8">
        <w:rPr>
          <w:rFonts w:eastAsia="PMingLiU" w:cs="PMingLiU"/>
        </w:rPr>
        <w:t xml:space="preserve"> a search warrant was executed at Arias-Perez’s residence in Miami, Florida.  During the search, agents located various electronic devices and equipment used for stealing credit card information.  Based on a forensic analysis of the electronic equipment recovered from Arias-Perez’s residence and the recovered skimmers in the case, investigators have determined that Arias-Perez is responsible for the theft of approximately 57,000 credit card numbers.</w:t>
      </w:r>
    </w:p>
    <w:p w:rsidR="00933DBD" w:rsidRDefault="00933DBD" w:rsidP="0081603D">
      <w:pPr>
        <w:ind w:firstLine="720"/>
        <w:rPr>
          <w:rFonts w:eastAsia="PMingLiU" w:cs="PMingLiU"/>
        </w:rPr>
      </w:pPr>
    </w:p>
    <w:p w:rsidR="00933DBD" w:rsidRPr="0081603D" w:rsidRDefault="007C7191" w:rsidP="0081603D">
      <w:pPr>
        <w:ind w:firstLine="720"/>
        <w:rPr>
          <w:rFonts w:eastAsia="PMingLiU" w:cs="PMingLiU"/>
        </w:rPr>
      </w:pPr>
      <w:r>
        <w:rPr>
          <w:rFonts w:eastAsia="PMingLiU" w:cs="PMingLiU"/>
        </w:rPr>
        <w:t xml:space="preserve">Credit card account holders and financial institutions </w:t>
      </w:r>
      <w:r w:rsidR="00933DBD" w:rsidRPr="00933DBD">
        <w:rPr>
          <w:rFonts w:eastAsia="PMingLiU" w:cs="PMingLiU"/>
        </w:rPr>
        <w:t>who believe they may be potential victims of</w:t>
      </w:r>
      <w:r w:rsidR="00531A67">
        <w:rPr>
          <w:rFonts w:eastAsia="PMingLiU" w:cs="PMingLiU"/>
        </w:rPr>
        <w:t xml:space="preserve"> Arias-Perez’s credit card theft scheme</w:t>
      </w:r>
      <w:r w:rsidR="00933DBD" w:rsidRPr="00933DBD">
        <w:rPr>
          <w:rFonts w:eastAsia="PMingLiU" w:cs="PMingLiU"/>
        </w:rPr>
        <w:t xml:space="preserve"> will find additional information about this case </w:t>
      </w:r>
      <w:r w:rsidR="00761D87" w:rsidRPr="00085723">
        <w:rPr>
          <w:rFonts w:eastAsia="PMingLiU" w:cs="PMingLiU"/>
        </w:rPr>
        <w:t xml:space="preserve">at:  </w:t>
      </w:r>
      <w:hyperlink r:id="rId9" w:history="1">
        <w:r w:rsidR="00761D87" w:rsidRPr="00085723">
          <w:rPr>
            <w:rStyle w:val="Hyperlink"/>
            <w:rFonts w:eastAsia="PMingLiU" w:cs="PMingLiU"/>
          </w:rPr>
          <w:t>https://www.justice.gov/usao-wdwi/case/united-states-v-alejandro-arias-perez-case-no-17-r-00040</w:t>
        </w:r>
      </w:hyperlink>
      <w:r w:rsidR="00761D87" w:rsidRPr="00085723">
        <w:rPr>
          <w:rFonts w:eastAsia="PMingLiU" w:cs="PMingLiU"/>
        </w:rPr>
        <w:t xml:space="preserve">.  </w:t>
      </w:r>
      <w:r w:rsidR="00933DBD" w:rsidRPr="00085723">
        <w:rPr>
          <w:rFonts w:eastAsia="PMingLiU" w:cs="PMingLiU"/>
        </w:rPr>
        <w:t xml:space="preserve">Potential victims who can document direct and proximate harm, including financial loss suffered as a result of the charged conduct, may complete </w:t>
      </w:r>
      <w:r w:rsidR="00761D87" w:rsidRPr="00085723">
        <w:rPr>
          <w:rFonts w:eastAsia="PMingLiU" w:cs="PMingLiU"/>
        </w:rPr>
        <w:t>a “Declaration of Loss” and/or a “Victim Impact Statement which can be found on the above site,</w:t>
      </w:r>
      <w:r w:rsidR="00761D87">
        <w:rPr>
          <w:rFonts w:eastAsia="PMingLiU" w:cs="PMingLiU"/>
        </w:rPr>
        <w:t xml:space="preserve"> </w:t>
      </w:r>
      <w:r w:rsidR="00933DBD" w:rsidRPr="00933DBD">
        <w:rPr>
          <w:rFonts w:eastAsia="PMingLiU" w:cs="PMingLiU"/>
        </w:rPr>
        <w:t xml:space="preserve">and return </w:t>
      </w:r>
      <w:r w:rsidR="00761D87">
        <w:rPr>
          <w:rFonts w:eastAsia="PMingLiU" w:cs="PMingLiU"/>
        </w:rPr>
        <w:t xml:space="preserve">them </w:t>
      </w:r>
      <w:r w:rsidR="00933DBD" w:rsidRPr="00933DBD">
        <w:rPr>
          <w:rFonts w:eastAsia="PMingLiU" w:cs="PMingLiU"/>
        </w:rPr>
        <w:t>to the United States Attorney’s Office for determination of their crime victims’ rights status. Victims of this crime may be entitled to restitution.</w:t>
      </w:r>
    </w:p>
    <w:p w:rsidR="001D6EC9" w:rsidRPr="001D6EC9" w:rsidRDefault="001D6EC9" w:rsidP="001D6EC9">
      <w:pPr>
        <w:ind w:firstLine="720"/>
        <w:rPr>
          <w:rFonts w:eastAsia="PMingLiU" w:cs="PMingLiU"/>
        </w:rPr>
      </w:pPr>
    </w:p>
    <w:p w:rsidR="00FE7C33" w:rsidRPr="00210889" w:rsidRDefault="00FE7C33" w:rsidP="00FE7C33">
      <w:pPr>
        <w:rPr>
          <w:rFonts w:eastAsia="PMingLiU" w:cs="PMingLiU"/>
        </w:rPr>
      </w:pPr>
    </w:p>
    <w:p w:rsidR="00FE7C33" w:rsidRPr="00210889" w:rsidRDefault="00FE7C33" w:rsidP="00FE7C33">
      <w:pPr>
        <w:jc w:val="center"/>
        <w:rPr>
          <w:rFonts w:eastAsia="PMingLiU" w:cs="PMingLiU"/>
        </w:rPr>
      </w:pPr>
      <w:r w:rsidRPr="00210889">
        <w:rPr>
          <w:rFonts w:eastAsia="PMingLiU" w:cs="PMingLiU"/>
        </w:rPr>
        <w:t># # # #</w:t>
      </w:r>
    </w:p>
    <w:p w:rsidR="006D1021" w:rsidRPr="007005AA" w:rsidRDefault="006D1021"/>
    <w:sectPr w:rsidR="006D1021" w:rsidRPr="007005AA" w:rsidSect="008B07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44D" w:rsidRDefault="00F0444D" w:rsidP="008B0750">
      <w:r>
        <w:separator/>
      </w:r>
    </w:p>
  </w:endnote>
  <w:endnote w:type="continuationSeparator" w:id="0">
    <w:p w:rsidR="00F0444D" w:rsidRDefault="00F0444D" w:rsidP="008B0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2F2" w:rsidRDefault="000F52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2F2" w:rsidRDefault="000F52F2"/>
  <w:p w:rsidR="000F52F2" w:rsidRDefault="000F52F2">
    <w:r>
      <w:t xml:space="preserve">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2F2" w:rsidRDefault="000F52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44D" w:rsidRDefault="00F0444D" w:rsidP="008B0750">
      <w:r>
        <w:separator/>
      </w:r>
    </w:p>
  </w:footnote>
  <w:footnote w:type="continuationSeparator" w:id="0">
    <w:p w:rsidR="00F0444D" w:rsidRDefault="00F0444D" w:rsidP="008B0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2F2" w:rsidRDefault="000F52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2F2" w:rsidRDefault="000F52F2" w:rsidP="008B0750">
    <w:pPr>
      <w:pStyle w:val="Header"/>
      <w:ind w:left="-810"/>
    </w:pPr>
  </w:p>
  <w:p w:rsidR="000F52F2" w:rsidRDefault="000F52F2" w:rsidP="008B0750">
    <w:pPr>
      <w:pStyle w:val="Header"/>
      <w:ind w:left="-810"/>
    </w:pPr>
    <w:r>
      <w:rPr>
        <w:noProof/>
      </w:rPr>
      <w:drawing>
        <wp:inline distT="0" distB="0" distL="0" distR="0" wp14:anchorId="620458B3" wp14:editId="5BCBB38D">
          <wp:extent cx="1066800" cy="1066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2F2" w:rsidRDefault="000F52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CITRUS_JURISDICTION" w:val="Bluebook"/>
    <w:docVar w:name="CITRUS_DOC_GUID" w:val="{22E4B164-4917-441B-BBCE-B0D5148A1BDD}"/>
  </w:docVars>
  <w:rsids>
    <w:rsidRoot w:val="001B2835"/>
    <w:rsid w:val="00030076"/>
    <w:rsid w:val="0003264C"/>
    <w:rsid w:val="00085723"/>
    <w:rsid w:val="000B4956"/>
    <w:rsid w:val="000C3EE9"/>
    <w:rsid w:val="000D38DD"/>
    <w:rsid w:val="000F52F2"/>
    <w:rsid w:val="00116735"/>
    <w:rsid w:val="0015405A"/>
    <w:rsid w:val="001B2835"/>
    <w:rsid w:val="001B7B48"/>
    <w:rsid w:val="001D6EC9"/>
    <w:rsid w:val="00210889"/>
    <w:rsid w:val="002E0A1A"/>
    <w:rsid w:val="002E617C"/>
    <w:rsid w:val="00335DD3"/>
    <w:rsid w:val="003446A2"/>
    <w:rsid w:val="003458D9"/>
    <w:rsid w:val="00346339"/>
    <w:rsid w:val="0037756C"/>
    <w:rsid w:val="003C53DB"/>
    <w:rsid w:val="003C6863"/>
    <w:rsid w:val="00413A02"/>
    <w:rsid w:val="00475BE9"/>
    <w:rsid w:val="00512922"/>
    <w:rsid w:val="0051661D"/>
    <w:rsid w:val="00531A67"/>
    <w:rsid w:val="00536670"/>
    <w:rsid w:val="00566BB8"/>
    <w:rsid w:val="005A7905"/>
    <w:rsid w:val="005E7C85"/>
    <w:rsid w:val="006446E6"/>
    <w:rsid w:val="006D1021"/>
    <w:rsid w:val="007005AA"/>
    <w:rsid w:val="00705256"/>
    <w:rsid w:val="00710980"/>
    <w:rsid w:val="00746F61"/>
    <w:rsid w:val="007618A4"/>
    <w:rsid w:val="00761D87"/>
    <w:rsid w:val="007751FF"/>
    <w:rsid w:val="007C7191"/>
    <w:rsid w:val="0081603D"/>
    <w:rsid w:val="008B0750"/>
    <w:rsid w:val="008E1629"/>
    <w:rsid w:val="008F1032"/>
    <w:rsid w:val="00920AD2"/>
    <w:rsid w:val="00933DBD"/>
    <w:rsid w:val="00955C44"/>
    <w:rsid w:val="00974FE8"/>
    <w:rsid w:val="009E33BF"/>
    <w:rsid w:val="00A229A7"/>
    <w:rsid w:val="00A32DC4"/>
    <w:rsid w:val="00A41BD9"/>
    <w:rsid w:val="00A764BF"/>
    <w:rsid w:val="00AB0BEA"/>
    <w:rsid w:val="00AC66D8"/>
    <w:rsid w:val="00AD733B"/>
    <w:rsid w:val="00B52D52"/>
    <w:rsid w:val="00B55F50"/>
    <w:rsid w:val="00B67F1B"/>
    <w:rsid w:val="00BB329D"/>
    <w:rsid w:val="00BD4859"/>
    <w:rsid w:val="00BE0B92"/>
    <w:rsid w:val="00BE3689"/>
    <w:rsid w:val="00BF3190"/>
    <w:rsid w:val="00C312A0"/>
    <w:rsid w:val="00C7591F"/>
    <w:rsid w:val="00C96B3A"/>
    <w:rsid w:val="00CE7292"/>
    <w:rsid w:val="00D23A08"/>
    <w:rsid w:val="00D4535E"/>
    <w:rsid w:val="00D538CD"/>
    <w:rsid w:val="00DB7A5B"/>
    <w:rsid w:val="00E66BD9"/>
    <w:rsid w:val="00F0444D"/>
    <w:rsid w:val="00FE6945"/>
    <w:rsid w:val="00FE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6EF039-9711-4F5C-9666-404D32B2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6A2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7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0750"/>
    <w:rPr>
      <w:rFonts w:ascii="Book Antiqua" w:eastAsiaTheme="minorEastAsia" w:hAnsi="Book Antiqu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07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750"/>
    <w:rPr>
      <w:rFonts w:ascii="Book Antiqua" w:eastAsiaTheme="minorEastAsia" w:hAnsi="Book Antiqu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750"/>
    <w:rPr>
      <w:rFonts w:ascii="Tahoma" w:eastAsiaTheme="minorEastAsi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F103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61D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ustice.gov/usao-wdwi/case/united-states-v-alejandro-arias-perez-case-no-17-r-00040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d\WorkgroupTemplates\Criminal\Press\press%20sentenc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5F0F2D5CC34BCAA83EAB087BB8E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75347-FBB2-483F-A2D7-F6C44931C9F0}"/>
      </w:docPartPr>
      <w:docPartBody>
        <w:p w:rsidR="00AD4119" w:rsidRDefault="00AD4119">
          <w:pPr>
            <w:pStyle w:val="005F0F2D5CC34BCAA83EAB087BB8EE23"/>
          </w:pPr>
          <w:r w:rsidRPr="00844AA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19"/>
    <w:rsid w:val="00645FFD"/>
    <w:rsid w:val="009461EB"/>
    <w:rsid w:val="00A162E4"/>
    <w:rsid w:val="00AD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05F0F2D5CC34BCAA83EAB087BB8EE23">
    <w:name w:val="005F0F2D5CC34BCAA83EAB087BB8EE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432B0-437C-4A57-982B-23FB64336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sentencing.dotx</Template>
  <TotalTime>0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Attorneys Office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AWegner</dc:creator>
  <cp:lastModifiedBy>Neale, Trevor (USAWIW)</cp:lastModifiedBy>
  <cp:revision>2</cp:revision>
  <cp:lastPrinted>2014-12-03T23:04:00Z</cp:lastPrinted>
  <dcterms:created xsi:type="dcterms:W3CDTF">2018-02-20T21:37:00Z</dcterms:created>
  <dcterms:modified xsi:type="dcterms:W3CDTF">2018-02-20T21:37:00Z</dcterms:modified>
</cp:coreProperties>
</file>