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EC2A3F" w14:textId="77777777" w:rsidR="00301B02" w:rsidRDefault="00301B02" w:rsidP="0001256C">
      <w:pPr>
        <w:pStyle w:val="Footer"/>
        <w:tabs>
          <w:tab w:val="clear" w:pos="8640"/>
          <w:tab w:val="left" w:leader="dot" w:pos="4320"/>
        </w:tabs>
        <w:jc w:val="both"/>
        <w:rPr>
          <w:rFonts w:ascii="Times New Roman" w:hAnsi="Times New Roman"/>
          <w:b/>
        </w:rPr>
      </w:pPr>
    </w:p>
    <w:p w14:paraId="741DB509" w14:textId="77777777" w:rsidR="00354F51" w:rsidRDefault="00354F51" w:rsidP="0001256C">
      <w:pPr>
        <w:pStyle w:val="Footer"/>
        <w:tabs>
          <w:tab w:val="clear" w:pos="8640"/>
          <w:tab w:val="left" w:leader="dot" w:pos="4320"/>
        </w:tabs>
        <w:jc w:val="both"/>
        <w:rPr>
          <w:rFonts w:ascii="Times New Roman" w:hAnsi="Times New Roman"/>
          <w:b/>
        </w:rPr>
      </w:pPr>
    </w:p>
    <w:p w14:paraId="32B707BE" w14:textId="77777777" w:rsidR="00507E70" w:rsidRDefault="00507E70" w:rsidP="0001256C">
      <w:pPr>
        <w:pStyle w:val="Footer"/>
        <w:tabs>
          <w:tab w:val="clear" w:pos="8640"/>
          <w:tab w:val="left" w:leader="dot" w:pos="4320"/>
        </w:tabs>
        <w:jc w:val="both"/>
        <w:rPr>
          <w:rFonts w:ascii="Times New Roman" w:hAnsi="Times New Roman"/>
          <w:b/>
        </w:rPr>
      </w:pPr>
    </w:p>
    <w:p w14:paraId="32B0C609" w14:textId="77777777" w:rsidR="00762F2E" w:rsidRPr="00B57F8A" w:rsidRDefault="00762F2E" w:rsidP="00B96CB2">
      <w:pPr>
        <w:jc w:val="center"/>
        <w:rPr>
          <w:b/>
          <w:sz w:val="36"/>
        </w:rPr>
      </w:pPr>
      <w:r w:rsidRPr="00B57F8A">
        <w:rPr>
          <w:b/>
          <w:sz w:val="36"/>
        </w:rPr>
        <w:t>U.S. Department of Justice</w:t>
      </w:r>
    </w:p>
    <w:p w14:paraId="42AA2215" w14:textId="77777777" w:rsidR="00762F2E" w:rsidRPr="00B57F8A" w:rsidRDefault="00762F2E" w:rsidP="00B96CB2">
      <w:pPr>
        <w:pStyle w:val="Footer"/>
        <w:tabs>
          <w:tab w:val="clear" w:pos="8640"/>
          <w:tab w:val="left" w:leader="dot" w:pos="4320"/>
        </w:tabs>
        <w:jc w:val="center"/>
        <w:rPr>
          <w:rFonts w:ascii="Times New Roman" w:hAnsi="Times New Roman"/>
          <w:b/>
        </w:rPr>
      </w:pPr>
    </w:p>
    <w:p w14:paraId="13EA5F2A" w14:textId="77777777" w:rsidR="00762F2E" w:rsidRPr="00B57F8A" w:rsidRDefault="00762F2E" w:rsidP="00B96CB2">
      <w:pPr>
        <w:pStyle w:val="Footer"/>
        <w:tabs>
          <w:tab w:val="clear" w:pos="8640"/>
          <w:tab w:val="left" w:leader="dot" w:pos="4320"/>
        </w:tabs>
        <w:jc w:val="center"/>
        <w:rPr>
          <w:rFonts w:ascii="Times New Roman" w:hAnsi="Times New Roman"/>
          <w:b/>
          <w:sz w:val="36"/>
        </w:rPr>
      </w:pPr>
      <w:r w:rsidRPr="00B57F8A">
        <w:rPr>
          <w:rFonts w:ascii="Times New Roman" w:hAnsi="Times New Roman"/>
          <w:b/>
          <w:sz w:val="36"/>
        </w:rPr>
        <w:t>FY 201</w:t>
      </w:r>
      <w:r w:rsidR="00D009C1">
        <w:rPr>
          <w:rFonts w:ascii="Times New Roman" w:hAnsi="Times New Roman"/>
          <w:b/>
          <w:sz w:val="36"/>
        </w:rPr>
        <w:t>4</w:t>
      </w:r>
      <w:r w:rsidRPr="00B57F8A">
        <w:rPr>
          <w:rFonts w:ascii="Times New Roman" w:hAnsi="Times New Roman"/>
          <w:b/>
          <w:sz w:val="36"/>
        </w:rPr>
        <w:t xml:space="preserve"> </w:t>
      </w:r>
      <w:r w:rsidR="00D47A0D">
        <w:rPr>
          <w:rFonts w:ascii="Times New Roman" w:hAnsi="Times New Roman"/>
          <w:b/>
          <w:sz w:val="36"/>
        </w:rPr>
        <w:t>PERFO</w:t>
      </w:r>
      <w:r w:rsidR="00535C5D">
        <w:rPr>
          <w:rFonts w:ascii="Times New Roman" w:hAnsi="Times New Roman"/>
          <w:b/>
          <w:sz w:val="36"/>
        </w:rPr>
        <w:t>R</w:t>
      </w:r>
      <w:r w:rsidR="00D47A0D">
        <w:rPr>
          <w:rFonts w:ascii="Times New Roman" w:hAnsi="Times New Roman"/>
          <w:b/>
          <w:sz w:val="36"/>
        </w:rPr>
        <w:t>MANCE BUDGET</w:t>
      </w:r>
    </w:p>
    <w:p w14:paraId="21519870" w14:textId="77777777" w:rsidR="00762F2E" w:rsidRPr="00B57F8A" w:rsidRDefault="00762F2E" w:rsidP="00B96CB2">
      <w:pPr>
        <w:pStyle w:val="Footer"/>
        <w:tabs>
          <w:tab w:val="clear" w:pos="8640"/>
          <w:tab w:val="left" w:leader="dot" w:pos="4320"/>
        </w:tabs>
        <w:jc w:val="center"/>
        <w:rPr>
          <w:rFonts w:ascii="Times New Roman" w:hAnsi="Times New Roman"/>
          <w:b/>
          <w:sz w:val="36"/>
        </w:rPr>
      </w:pPr>
    </w:p>
    <w:p w14:paraId="5251D3C8" w14:textId="77777777" w:rsidR="00762F2E" w:rsidRPr="00B57F8A" w:rsidRDefault="00762F2E" w:rsidP="00B96CB2">
      <w:pPr>
        <w:pStyle w:val="Heading1"/>
        <w:tabs>
          <w:tab w:val="left" w:leader="dot" w:pos="7920"/>
          <w:tab w:val="right" w:pos="8640"/>
        </w:tabs>
        <w:rPr>
          <w:rFonts w:ascii="Times New Roman" w:hAnsi="Times New Roman"/>
        </w:rPr>
      </w:pPr>
    </w:p>
    <w:p w14:paraId="28368A5B" w14:textId="77777777" w:rsidR="00762F2E" w:rsidRPr="00B57F8A" w:rsidRDefault="00762F2E" w:rsidP="00B96CB2">
      <w:pPr>
        <w:jc w:val="center"/>
      </w:pPr>
    </w:p>
    <w:p w14:paraId="4F6691B6" w14:textId="77777777" w:rsidR="00762F2E" w:rsidRPr="00B57F8A" w:rsidRDefault="00762F2E" w:rsidP="00B96CB2">
      <w:pPr>
        <w:jc w:val="center"/>
      </w:pPr>
    </w:p>
    <w:p w14:paraId="2CF0C5FD" w14:textId="77777777" w:rsidR="00762F2E" w:rsidRPr="00B57F8A" w:rsidRDefault="00762F2E" w:rsidP="00B96CB2">
      <w:pPr>
        <w:jc w:val="center"/>
        <w:rPr>
          <w:sz w:val="52"/>
        </w:rPr>
      </w:pPr>
      <w:r w:rsidRPr="00B57F8A">
        <w:rPr>
          <w:sz w:val="52"/>
        </w:rPr>
        <w:t>Office of Community Oriented Policing Services</w:t>
      </w:r>
    </w:p>
    <w:p w14:paraId="2BE850B4" w14:textId="77777777" w:rsidR="00762F2E" w:rsidRPr="00B57F8A" w:rsidRDefault="00762F2E" w:rsidP="00B96CB2">
      <w:pPr>
        <w:jc w:val="center"/>
        <w:rPr>
          <w:sz w:val="52"/>
        </w:rPr>
      </w:pPr>
    </w:p>
    <w:p w14:paraId="0A6CE269" w14:textId="77777777" w:rsidR="00762F2E" w:rsidRPr="00B57F8A" w:rsidRDefault="00762F2E" w:rsidP="00B96CB2">
      <w:pPr>
        <w:jc w:val="center"/>
        <w:rPr>
          <w:sz w:val="52"/>
        </w:rPr>
      </w:pPr>
    </w:p>
    <w:p w14:paraId="0E368188" w14:textId="77777777" w:rsidR="00762F2E" w:rsidRPr="00B57F8A" w:rsidRDefault="00762F2E" w:rsidP="0001256C">
      <w:pPr>
        <w:jc w:val="both"/>
        <w:rPr>
          <w:sz w:val="52"/>
        </w:rPr>
      </w:pPr>
    </w:p>
    <w:p w14:paraId="5C13F866" w14:textId="77777777" w:rsidR="00762F2E" w:rsidRPr="00B57F8A" w:rsidRDefault="00762F2E" w:rsidP="0001256C">
      <w:pPr>
        <w:jc w:val="both"/>
        <w:rPr>
          <w:sz w:val="52"/>
        </w:rPr>
      </w:pPr>
    </w:p>
    <w:p w14:paraId="052D5187" w14:textId="77777777" w:rsidR="00762F2E" w:rsidRPr="00B57F8A" w:rsidRDefault="00762F2E" w:rsidP="0001256C">
      <w:pPr>
        <w:jc w:val="both"/>
        <w:rPr>
          <w:sz w:val="52"/>
        </w:rPr>
      </w:pPr>
    </w:p>
    <w:p w14:paraId="369D4DCF" w14:textId="77777777" w:rsidR="00762F2E" w:rsidRPr="00B57F8A" w:rsidRDefault="00762F2E" w:rsidP="0001256C">
      <w:pPr>
        <w:jc w:val="both"/>
        <w:rPr>
          <w:sz w:val="52"/>
        </w:rPr>
      </w:pPr>
    </w:p>
    <w:p w14:paraId="4BBEC6A8" w14:textId="77777777" w:rsidR="00762F2E" w:rsidRPr="00B57F8A" w:rsidRDefault="00762F2E" w:rsidP="0001256C">
      <w:pPr>
        <w:jc w:val="both"/>
        <w:rPr>
          <w:sz w:val="52"/>
        </w:rPr>
      </w:pPr>
    </w:p>
    <w:p w14:paraId="70D7E74E" w14:textId="77777777" w:rsidR="00762F2E" w:rsidRPr="00B57F8A" w:rsidRDefault="00762F2E" w:rsidP="0001256C">
      <w:pPr>
        <w:jc w:val="both"/>
        <w:rPr>
          <w:sz w:val="52"/>
        </w:rPr>
      </w:pPr>
    </w:p>
    <w:p w14:paraId="25D19818" w14:textId="77777777" w:rsidR="00762F2E" w:rsidRPr="00B57F8A" w:rsidRDefault="00762F2E" w:rsidP="0001256C">
      <w:pPr>
        <w:jc w:val="both"/>
        <w:rPr>
          <w:sz w:val="52"/>
        </w:rPr>
      </w:pPr>
    </w:p>
    <w:p w14:paraId="74C494D3" w14:textId="77777777" w:rsidR="00762F2E" w:rsidRPr="00B57F8A" w:rsidRDefault="00762F2E" w:rsidP="0001256C">
      <w:pPr>
        <w:jc w:val="both"/>
        <w:rPr>
          <w:sz w:val="52"/>
        </w:rPr>
      </w:pPr>
    </w:p>
    <w:p w14:paraId="348E6720" w14:textId="77777777" w:rsidR="00762F2E" w:rsidRPr="00B57F8A" w:rsidRDefault="00762F2E" w:rsidP="0001256C">
      <w:pPr>
        <w:jc w:val="both"/>
        <w:rPr>
          <w:sz w:val="52"/>
        </w:rPr>
      </w:pPr>
    </w:p>
    <w:p w14:paraId="561715DC" w14:textId="77777777" w:rsidR="00D2447D" w:rsidRPr="009273C7" w:rsidRDefault="00D47A0D" w:rsidP="00B96CB2">
      <w:pPr>
        <w:jc w:val="right"/>
        <w:rPr>
          <w:i/>
          <w:sz w:val="28"/>
        </w:rPr>
      </w:pPr>
      <w:r>
        <w:rPr>
          <w:i/>
          <w:sz w:val="28"/>
        </w:rPr>
        <w:t>Congressional Justification</w:t>
      </w:r>
    </w:p>
    <w:p w14:paraId="4EAE6D97" w14:textId="77777777" w:rsidR="00762F2E" w:rsidRPr="00B57F8A" w:rsidRDefault="00466D3B" w:rsidP="00B96CB2">
      <w:pPr>
        <w:jc w:val="right"/>
        <w:rPr>
          <w:i/>
          <w:sz w:val="28"/>
        </w:rPr>
      </w:pPr>
      <w:r>
        <w:rPr>
          <w:i/>
          <w:sz w:val="28"/>
        </w:rPr>
        <w:t>3/</w:t>
      </w:r>
      <w:r w:rsidR="0001256C">
        <w:rPr>
          <w:i/>
          <w:sz w:val="28"/>
        </w:rPr>
        <w:t>2</w:t>
      </w:r>
      <w:r w:rsidR="0068698A">
        <w:rPr>
          <w:i/>
          <w:sz w:val="28"/>
        </w:rPr>
        <w:t>9</w:t>
      </w:r>
      <w:r w:rsidR="00B5090C">
        <w:rPr>
          <w:i/>
          <w:sz w:val="28"/>
        </w:rPr>
        <w:t>/2013</w:t>
      </w:r>
    </w:p>
    <w:p w14:paraId="14AF1D70" w14:textId="77777777" w:rsidR="00762F2E" w:rsidRPr="00B57F8A" w:rsidRDefault="00762F2E" w:rsidP="00B96CB2">
      <w:pPr>
        <w:jc w:val="right"/>
        <w:rPr>
          <w:i/>
        </w:rPr>
      </w:pPr>
      <w:r w:rsidRPr="00B57F8A">
        <w:rPr>
          <w:sz w:val="52"/>
        </w:rPr>
        <w:tab/>
      </w:r>
      <w:r w:rsidRPr="00B57F8A">
        <w:rPr>
          <w:sz w:val="52"/>
        </w:rPr>
        <w:tab/>
      </w:r>
      <w:r w:rsidRPr="00B57F8A">
        <w:rPr>
          <w:sz w:val="52"/>
        </w:rPr>
        <w:tab/>
      </w:r>
      <w:r w:rsidRPr="00B57F8A">
        <w:rPr>
          <w:sz w:val="52"/>
        </w:rPr>
        <w:tab/>
      </w:r>
      <w:r w:rsidRPr="00B57F8A">
        <w:rPr>
          <w:sz w:val="52"/>
        </w:rPr>
        <w:tab/>
      </w:r>
    </w:p>
    <w:p w14:paraId="1D091487" w14:textId="2EDE5D76" w:rsidR="00335A91" w:rsidRDefault="00605688" w:rsidP="0001256C">
      <w:pPr>
        <w:jc w:val="both"/>
        <w:rPr>
          <w:b/>
          <w:szCs w:val="20"/>
        </w:rPr>
      </w:pPr>
      <w:r>
        <w:rPr>
          <w:noProof/>
        </w:rPr>
        <mc:AlternateContent>
          <mc:Choice Requires="wps">
            <w:drawing>
              <wp:anchor distT="0" distB="0" distL="114300" distR="114300" simplePos="0" relativeHeight="251661312" behindDoc="0" locked="0" layoutInCell="1" allowOverlap="1" wp14:anchorId="28B6283D" wp14:editId="5C5E75E9">
                <wp:simplePos x="0" y="0"/>
                <wp:positionH relativeFrom="column">
                  <wp:posOffset>2562225</wp:posOffset>
                </wp:positionH>
                <wp:positionV relativeFrom="paragraph">
                  <wp:posOffset>1203325</wp:posOffset>
                </wp:positionV>
                <wp:extent cx="1057275" cy="34290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57275" cy="3429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092AFC0" id="Rectangle 3" o:spid="_x0000_s1026" style="position:absolute;margin-left:201.75pt;margin-top:94.75pt;width:83.25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" fillcolor="white [3212]" stroked="f" strokeweight="2pt">
                <v:path arrowok="t"/>
              </v:rect>
            </w:pict>
          </mc:Fallback>
        </mc:AlternateContent>
      </w:r>
      <w:r w:rsidR="00335A91">
        <w:br w:type="page"/>
      </w:r>
    </w:p>
    <w:p w14:paraId="0065336C" w14:textId="77777777" w:rsidR="00762F2E" w:rsidRPr="00B57F8A" w:rsidRDefault="00762F2E" w:rsidP="0001256C">
      <w:pPr>
        <w:pStyle w:val="Heading1"/>
        <w:tabs>
          <w:tab w:val="left" w:leader="dot" w:pos="7920"/>
          <w:tab w:val="right" w:pos="8640"/>
        </w:tabs>
        <w:jc w:val="both"/>
        <w:rPr>
          <w:rFonts w:ascii="Times New Roman" w:hAnsi="Times New Roman"/>
        </w:rPr>
      </w:pPr>
      <w:r w:rsidRPr="00B57F8A">
        <w:rPr>
          <w:rFonts w:ascii="Times New Roman" w:hAnsi="Times New Roman"/>
        </w:rPr>
        <w:lastRenderedPageBreak/>
        <w:t>Table of Contents</w:t>
      </w:r>
    </w:p>
    <w:p w14:paraId="45726870" w14:textId="77777777" w:rsidR="00762F2E" w:rsidRPr="00B57F8A" w:rsidRDefault="00762F2E" w:rsidP="0001256C">
      <w:pPr>
        <w:tabs>
          <w:tab w:val="left" w:leader="dot" w:pos="7920"/>
          <w:tab w:val="right" w:pos="8640"/>
        </w:tabs>
        <w:jc w:val="both"/>
        <w:rPr>
          <w:b/>
        </w:rPr>
      </w:pPr>
    </w:p>
    <w:p w14:paraId="511D5EFD" w14:textId="77777777" w:rsidR="00762F2E" w:rsidRDefault="00762F2E" w:rsidP="0001256C">
      <w:pPr>
        <w:pStyle w:val="xl19"/>
        <w:tabs>
          <w:tab w:val="left" w:pos="8640"/>
          <w:tab w:val="right" w:pos="8730"/>
          <w:tab w:val="left" w:pos="8820"/>
        </w:tabs>
        <w:spacing w:before="0" w:after="0"/>
        <w:jc w:val="both"/>
      </w:pPr>
      <w:r w:rsidRPr="00B57F8A">
        <w:t xml:space="preserve">                                                                                                                                             Page No.</w:t>
      </w:r>
    </w:p>
    <w:p w14:paraId="6ED1F104" w14:textId="77777777" w:rsidR="00EC7990" w:rsidRPr="00B57F8A" w:rsidRDefault="00EC7990" w:rsidP="0001256C">
      <w:pPr>
        <w:pStyle w:val="xl19"/>
        <w:tabs>
          <w:tab w:val="left" w:pos="8640"/>
          <w:tab w:val="right" w:pos="8730"/>
          <w:tab w:val="left" w:pos="8820"/>
        </w:tabs>
        <w:spacing w:before="0" w:after="0"/>
        <w:jc w:val="both"/>
      </w:pPr>
    </w:p>
    <w:p w14:paraId="07180FE2" w14:textId="77777777" w:rsidR="00762F2E" w:rsidRPr="00B57F8A" w:rsidRDefault="00762F2E" w:rsidP="0001256C">
      <w:pPr>
        <w:tabs>
          <w:tab w:val="left" w:leader="dot" w:pos="7920"/>
          <w:tab w:val="right" w:pos="8640"/>
        </w:tabs>
        <w:jc w:val="both"/>
      </w:pPr>
    </w:p>
    <w:p w14:paraId="4125F418" w14:textId="77777777" w:rsidR="00762F2E" w:rsidRPr="00B57F8A" w:rsidRDefault="00762F2E" w:rsidP="0001256C">
      <w:pPr>
        <w:pStyle w:val="xl19"/>
        <w:tabs>
          <w:tab w:val="left" w:pos="630"/>
          <w:tab w:val="left" w:leader="dot" w:pos="7920"/>
          <w:tab w:val="right" w:pos="8640"/>
        </w:tabs>
        <w:spacing w:before="0" w:after="0"/>
        <w:jc w:val="both"/>
        <w:rPr>
          <w:b/>
        </w:rPr>
      </w:pPr>
    </w:p>
    <w:p w14:paraId="68120FE3" w14:textId="77777777" w:rsidR="00897F1D" w:rsidRDefault="00897F1D" w:rsidP="0001256C">
      <w:pPr>
        <w:pStyle w:val="BodyText"/>
        <w:numPr>
          <w:ilvl w:val="0"/>
          <w:numId w:val="28"/>
        </w:numPr>
        <w:jc w:val="both"/>
        <w:rPr>
          <w:b/>
        </w:rPr>
      </w:pPr>
      <w:r w:rsidRPr="00897F1D">
        <w:rPr>
          <w:b/>
        </w:rPr>
        <w:t>Overview</w:t>
      </w:r>
      <w:r w:rsidR="003920F8">
        <w:rPr>
          <w:b/>
        </w:rPr>
        <w:t xml:space="preserve">                                                     </w:t>
      </w:r>
      <w:r w:rsidR="003920F8">
        <w:rPr>
          <w:b/>
        </w:rPr>
        <w:tab/>
      </w:r>
      <w:r w:rsidR="003920F8">
        <w:rPr>
          <w:b/>
        </w:rPr>
        <w:tab/>
      </w:r>
      <w:r w:rsidR="003920F8">
        <w:rPr>
          <w:b/>
        </w:rPr>
        <w:tab/>
      </w:r>
      <w:r w:rsidR="003920F8">
        <w:rPr>
          <w:b/>
        </w:rPr>
        <w:tab/>
      </w:r>
      <w:r w:rsidR="003920F8">
        <w:rPr>
          <w:b/>
        </w:rPr>
        <w:tab/>
      </w:r>
      <w:r w:rsidR="003920F8">
        <w:rPr>
          <w:b/>
        </w:rPr>
        <w:tab/>
        <w:t xml:space="preserve">         2</w:t>
      </w:r>
    </w:p>
    <w:p w14:paraId="17F86922" w14:textId="77777777" w:rsidR="00EC7990" w:rsidRDefault="00EC7990" w:rsidP="0001256C">
      <w:pPr>
        <w:pStyle w:val="BodyText"/>
        <w:ind w:left="360"/>
        <w:jc w:val="both"/>
        <w:rPr>
          <w:b/>
        </w:rPr>
      </w:pPr>
    </w:p>
    <w:p w14:paraId="2FE605E2" w14:textId="77777777" w:rsidR="00EC7990" w:rsidRPr="00B57F8A" w:rsidRDefault="00EC7990" w:rsidP="0001256C">
      <w:pPr>
        <w:pStyle w:val="BodyText"/>
        <w:numPr>
          <w:ilvl w:val="0"/>
          <w:numId w:val="28"/>
        </w:numPr>
        <w:jc w:val="both"/>
      </w:pPr>
      <w:r w:rsidRPr="00897F1D">
        <w:rPr>
          <w:b/>
        </w:rPr>
        <w:t xml:space="preserve">Summary of Program Changes </w:t>
      </w:r>
      <w:r w:rsidRPr="00897F1D">
        <w:rPr>
          <w:b/>
        </w:rPr>
        <w:tab/>
      </w:r>
      <w:r w:rsidRPr="00B57F8A">
        <w:rPr>
          <w:b/>
        </w:rPr>
        <w:tab/>
      </w:r>
      <w:r w:rsidR="003920F8">
        <w:rPr>
          <w:b/>
        </w:rPr>
        <w:tab/>
      </w:r>
      <w:r w:rsidR="003920F8">
        <w:rPr>
          <w:b/>
        </w:rPr>
        <w:tab/>
      </w:r>
      <w:r w:rsidR="003920F8">
        <w:rPr>
          <w:b/>
        </w:rPr>
        <w:tab/>
      </w:r>
      <w:r w:rsidR="003920F8">
        <w:rPr>
          <w:b/>
        </w:rPr>
        <w:tab/>
      </w:r>
      <w:r w:rsidR="003920F8">
        <w:rPr>
          <w:b/>
        </w:rPr>
        <w:tab/>
        <w:t xml:space="preserve">       </w:t>
      </w:r>
      <w:r w:rsidR="006E724A">
        <w:rPr>
          <w:b/>
        </w:rPr>
        <w:t>1</w:t>
      </w:r>
      <w:r w:rsidR="00B07519">
        <w:rPr>
          <w:b/>
        </w:rPr>
        <w:t>4</w:t>
      </w:r>
      <w:r w:rsidRPr="00B57F8A">
        <w:rPr>
          <w:b/>
        </w:rPr>
        <w:tab/>
      </w:r>
      <w:r w:rsidRPr="00B57F8A">
        <w:rPr>
          <w:b/>
        </w:rPr>
        <w:tab/>
      </w:r>
      <w:r w:rsidRPr="00B57F8A">
        <w:rPr>
          <w:b/>
        </w:rPr>
        <w:tab/>
      </w:r>
      <w:r w:rsidRPr="00B57F8A">
        <w:rPr>
          <w:b/>
        </w:rPr>
        <w:tab/>
      </w:r>
    </w:p>
    <w:p w14:paraId="267C8259" w14:textId="77777777" w:rsidR="00EC7990" w:rsidRPr="00B57F8A" w:rsidRDefault="00EC7990" w:rsidP="0001256C">
      <w:pPr>
        <w:pStyle w:val="xl27"/>
        <w:numPr>
          <w:ilvl w:val="0"/>
          <w:numId w:val="28"/>
        </w:numPr>
        <w:spacing w:before="0" w:after="0"/>
        <w:jc w:val="both"/>
        <w:rPr>
          <w:rFonts w:ascii="Times New Roman" w:hAnsi="Times New Roman"/>
        </w:rPr>
      </w:pPr>
      <w:r w:rsidRPr="00B57F8A">
        <w:rPr>
          <w:rFonts w:ascii="Times New Roman" w:hAnsi="Times New Roman"/>
        </w:rPr>
        <w:t xml:space="preserve">Appropriation Language and Analysis of Appropriations Language </w:t>
      </w:r>
      <w:r w:rsidR="003920F8">
        <w:rPr>
          <w:rFonts w:ascii="Times New Roman" w:hAnsi="Times New Roman"/>
        </w:rPr>
        <w:t xml:space="preserve">                       </w:t>
      </w:r>
      <w:r w:rsidR="00186E8D">
        <w:rPr>
          <w:rFonts w:ascii="Times New Roman" w:hAnsi="Times New Roman"/>
        </w:rPr>
        <w:t>15</w:t>
      </w:r>
      <w:r w:rsidR="00186E8D" w:rsidRPr="00B57F8A">
        <w:rPr>
          <w:rFonts w:ascii="Times New Roman" w:hAnsi="Times New Roman"/>
        </w:rPr>
        <w:t xml:space="preserve">          </w:t>
      </w:r>
    </w:p>
    <w:p w14:paraId="11A1629B" w14:textId="77777777" w:rsidR="00EC7990" w:rsidRPr="00B57F8A" w:rsidRDefault="00EC7990" w:rsidP="0001256C">
      <w:pPr>
        <w:pStyle w:val="xl27"/>
        <w:tabs>
          <w:tab w:val="left" w:leader="dot" w:pos="7920"/>
          <w:tab w:val="right" w:pos="8640"/>
        </w:tabs>
        <w:spacing w:before="0" w:after="0"/>
        <w:jc w:val="both"/>
        <w:rPr>
          <w:rFonts w:ascii="Times New Roman" w:hAnsi="Times New Roman"/>
        </w:rPr>
      </w:pPr>
    </w:p>
    <w:p w14:paraId="775098B7" w14:textId="77777777" w:rsidR="00EC7990" w:rsidRPr="00B57F8A" w:rsidRDefault="003A1242" w:rsidP="0001256C">
      <w:pPr>
        <w:pStyle w:val="xl27"/>
        <w:numPr>
          <w:ilvl w:val="0"/>
          <w:numId w:val="28"/>
        </w:numPr>
        <w:spacing w:before="0" w:after="0"/>
        <w:jc w:val="both"/>
        <w:rPr>
          <w:rFonts w:ascii="Times New Roman" w:hAnsi="Times New Roman"/>
        </w:rPr>
      </w:pPr>
      <w:r>
        <w:rPr>
          <w:rFonts w:ascii="Times New Roman" w:hAnsi="Times New Roman"/>
        </w:rPr>
        <w:t>Program Activity</w:t>
      </w:r>
      <w:r w:rsidR="00EC7990" w:rsidRPr="00B57F8A">
        <w:rPr>
          <w:rFonts w:ascii="Times New Roman" w:hAnsi="Times New Roman"/>
        </w:rPr>
        <w:t xml:space="preserve"> </w:t>
      </w:r>
      <w:r w:rsidR="00A97E1B">
        <w:rPr>
          <w:rFonts w:ascii="Times New Roman" w:hAnsi="Times New Roman"/>
        </w:rPr>
        <w:t>Justification</w:t>
      </w:r>
      <w:r w:rsidR="003A7791">
        <w:rPr>
          <w:rFonts w:ascii="Times New Roman" w:hAnsi="Times New Roman"/>
        </w:rPr>
        <w:tab/>
      </w:r>
      <w:r w:rsidR="003A7791">
        <w:rPr>
          <w:rFonts w:ascii="Times New Roman" w:hAnsi="Times New Roman"/>
        </w:rPr>
        <w:tab/>
      </w:r>
      <w:r w:rsidR="003A7791">
        <w:rPr>
          <w:rFonts w:ascii="Times New Roman" w:hAnsi="Times New Roman"/>
        </w:rPr>
        <w:tab/>
      </w:r>
      <w:r w:rsidR="003A7791">
        <w:rPr>
          <w:rFonts w:ascii="Times New Roman" w:hAnsi="Times New Roman"/>
        </w:rPr>
        <w:tab/>
      </w:r>
      <w:r w:rsidR="003A7791">
        <w:rPr>
          <w:rFonts w:ascii="Times New Roman" w:hAnsi="Times New Roman"/>
        </w:rPr>
        <w:tab/>
      </w:r>
      <w:r w:rsidR="003A7791">
        <w:rPr>
          <w:rFonts w:ascii="Times New Roman" w:hAnsi="Times New Roman"/>
        </w:rPr>
        <w:tab/>
      </w:r>
      <w:r w:rsidR="003A7791">
        <w:rPr>
          <w:rFonts w:ascii="Times New Roman" w:hAnsi="Times New Roman"/>
        </w:rPr>
        <w:tab/>
        <w:t xml:space="preserve">       </w:t>
      </w:r>
      <w:r w:rsidR="006E724A">
        <w:rPr>
          <w:rFonts w:ascii="Times New Roman" w:hAnsi="Times New Roman"/>
        </w:rPr>
        <w:t>1</w:t>
      </w:r>
      <w:r w:rsidR="00B07519">
        <w:rPr>
          <w:rFonts w:ascii="Times New Roman" w:hAnsi="Times New Roman"/>
        </w:rPr>
        <w:t>9</w:t>
      </w:r>
      <w:r w:rsidR="00186E8D">
        <w:rPr>
          <w:rFonts w:ascii="Times New Roman" w:hAnsi="Times New Roman"/>
        </w:rPr>
        <w:t xml:space="preserve">          </w:t>
      </w:r>
    </w:p>
    <w:p w14:paraId="69FF9E76" w14:textId="77777777" w:rsidR="00EC7990" w:rsidRPr="00B57F8A" w:rsidRDefault="00EC7990" w:rsidP="0001256C">
      <w:pPr>
        <w:pStyle w:val="xl27"/>
        <w:tabs>
          <w:tab w:val="left" w:leader="dot" w:pos="7920"/>
          <w:tab w:val="right" w:pos="8640"/>
        </w:tabs>
        <w:spacing w:before="0" w:after="0"/>
        <w:jc w:val="both"/>
        <w:rPr>
          <w:rFonts w:ascii="Times New Roman" w:hAnsi="Times New Roman"/>
        </w:rPr>
      </w:pPr>
    </w:p>
    <w:p w14:paraId="0E6F09FC" w14:textId="77777777" w:rsidR="00EC7990" w:rsidRPr="00B57F8A" w:rsidRDefault="00EC7990" w:rsidP="0001256C">
      <w:pPr>
        <w:pStyle w:val="xl19"/>
        <w:tabs>
          <w:tab w:val="left" w:pos="720"/>
          <w:tab w:val="left" w:leader="dot" w:pos="7920"/>
          <w:tab w:val="right" w:pos="8640"/>
        </w:tabs>
        <w:spacing w:before="0" w:after="0"/>
        <w:ind w:left="360" w:hanging="360"/>
        <w:jc w:val="both"/>
      </w:pPr>
      <w:r w:rsidRPr="00B57F8A">
        <w:tab/>
      </w:r>
      <w:r w:rsidRPr="00B57F8A">
        <w:tab/>
        <w:t>A.  Community Oriented Policing</w:t>
      </w:r>
      <w:r w:rsidR="003920F8">
        <w:t xml:space="preserve">                                                                                    </w:t>
      </w:r>
      <w:r w:rsidR="003920F8" w:rsidRPr="003920F8">
        <w:rPr>
          <w:b/>
        </w:rPr>
        <w:t xml:space="preserve"> </w:t>
      </w:r>
    </w:p>
    <w:p w14:paraId="54DEB85A" w14:textId="77777777" w:rsidR="00A97E1B" w:rsidRDefault="00093A7A" w:rsidP="0001256C">
      <w:pPr>
        <w:tabs>
          <w:tab w:val="left" w:pos="1170"/>
          <w:tab w:val="left" w:pos="1530"/>
          <w:tab w:val="left" w:pos="1710"/>
        </w:tabs>
        <w:ind w:left="1080"/>
        <w:jc w:val="both"/>
      </w:pPr>
      <w:r>
        <w:t xml:space="preserve"> </w:t>
      </w:r>
      <w:r w:rsidR="00EC7990" w:rsidRPr="00B57F8A">
        <w:t>1.</w:t>
      </w:r>
      <w:r w:rsidR="00A97E1B">
        <w:t xml:space="preserve">  Program Description</w:t>
      </w:r>
      <w:r w:rsidR="00EC7990" w:rsidRPr="00B57F8A">
        <w:t xml:space="preserve"> </w:t>
      </w:r>
      <w:r w:rsidR="003A7791">
        <w:t xml:space="preserve">                                  </w:t>
      </w:r>
      <w:r w:rsidR="003A7791">
        <w:tab/>
      </w:r>
      <w:r w:rsidR="003A7791">
        <w:tab/>
      </w:r>
      <w:r w:rsidR="003A7791">
        <w:tab/>
      </w:r>
      <w:r w:rsidR="003A7791">
        <w:tab/>
        <w:t xml:space="preserve">                    </w:t>
      </w:r>
    </w:p>
    <w:p w14:paraId="7F532A2F" w14:textId="77777777" w:rsidR="006E724A" w:rsidRDefault="00A97E1B" w:rsidP="0001256C">
      <w:pPr>
        <w:tabs>
          <w:tab w:val="left" w:pos="720"/>
          <w:tab w:val="left" w:pos="1170"/>
        </w:tabs>
        <w:ind w:firstLine="720"/>
        <w:jc w:val="both"/>
      </w:pPr>
      <w:r>
        <w:t xml:space="preserve">      </w:t>
      </w:r>
      <w:r w:rsidR="00093A7A">
        <w:t xml:space="preserve"> </w:t>
      </w:r>
      <w:r>
        <w:t>2.  Performance Tables</w:t>
      </w:r>
      <w:r w:rsidR="00EC7990" w:rsidRPr="00B57F8A">
        <w:tab/>
      </w:r>
      <w:r w:rsidR="00EC7990" w:rsidRPr="00B57F8A">
        <w:tab/>
      </w:r>
      <w:r w:rsidR="003A7791">
        <w:t xml:space="preserve">                                                                                </w:t>
      </w:r>
      <w:r w:rsidR="00EC7990">
        <w:t xml:space="preserve">         </w:t>
      </w:r>
    </w:p>
    <w:p w14:paraId="348656F1" w14:textId="77777777" w:rsidR="00EC7990" w:rsidRPr="00B57F8A" w:rsidRDefault="006E724A" w:rsidP="0001256C">
      <w:pPr>
        <w:tabs>
          <w:tab w:val="left" w:pos="720"/>
          <w:tab w:val="left" w:pos="1170"/>
        </w:tabs>
        <w:ind w:firstLine="720"/>
        <w:jc w:val="both"/>
      </w:pPr>
      <w:r>
        <w:tab/>
      </w:r>
      <w:r w:rsidR="00A97E1B">
        <w:t>3</w:t>
      </w:r>
      <w:r w:rsidR="00EC7990" w:rsidRPr="00B57F8A">
        <w:t xml:space="preserve">. </w:t>
      </w:r>
      <w:r w:rsidR="00093A7A">
        <w:t xml:space="preserve"> </w:t>
      </w:r>
      <w:r w:rsidR="00EC7990" w:rsidRPr="00B57F8A">
        <w:t>Performance, Resources, and Strategies</w:t>
      </w:r>
      <w:r w:rsidR="00EC7990" w:rsidRPr="00B57F8A">
        <w:tab/>
      </w:r>
      <w:r w:rsidR="003A7791">
        <w:t xml:space="preserve">                                                        </w:t>
      </w:r>
      <w:r w:rsidR="00EC7990">
        <w:t xml:space="preserve">        </w:t>
      </w:r>
    </w:p>
    <w:p w14:paraId="20C23DC9" w14:textId="77777777" w:rsidR="00EC7990" w:rsidRPr="00B57F8A" w:rsidRDefault="00EC7990" w:rsidP="0001256C">
      <w:pPr>
        <w:tabs>
          <w:tab w:val="left" w:leader="dot" w:pos="7920"/>
          <w:tab w:val="right" w:pos="8640"/>
        </w:tabs>
        <w:ind w:left="360" w:firstLine="720"/>
        <w:jc w:val="both"/>
      </w:pPr>
      <w:r w:rsidRPr="00B57F8A">
        <w:t xml:space="preserve">    a. </w:t>
      </w:r>
      <w:smartTag w:uri="urn:schemas-microsoft-com:office:smarttags" w:element="PersonName">
        <w:r w:rsidRPr="00B57F8A">
          <w:t>Performance</w:t>
        </w:r>
      </w:smartTag>
      <w:r w:rsidRPr="00B57F8A">
        <w:t xml:space="preserve"> Plan and Report for Outcomes</w:t>
      </w:r>
    </w:p>
    <w:p w14:paraId="56C90084" w14:textId="77777777" w:rsidR="00EC7990" w:rsidRDefault="00EC7990" w:rsidP="0001256C">
      <w:pPr>
        <w:tabs>
          <w:tab w:val="left" w:leader="dot" w:pos="7920"/>
          <w:tab w:val="right" w:pos="8640"/>
        </w:tabs>
        <w:ind w:left="360" w:firstLine="720"/>
        <w:jc w:val="both"/>
      </w:pPr>
      <w:r w:rsidRPr="00B57F8A">
        <w:t xml:space="preserve">    b. Strategies to Accomplish Outcomes</w:t>
      </w:r>
    </w:p>
    <w:p w14:paraId="7825A024" w14:textId="77777777" w:rsidR="003239E9" w:rsidRPr="00B57F8A" w:rsidRDefault="00093A7A" w:rsidP="0001256C">
      <w:pPr>
        <w:tabs>
          <w:tab w:val="left" w:pos="1530"/>
          <w:tab w:val="left" w:leader="dot" w:pos="7920"/>
          <w:tab w:val="right" w:pos="8640"/>
        </w:tabs>
        <w:ind w:left="360" w:firstLine="720"/>
        <w:jc w:val="both"/>
      </w:pPr>
      <w:r>
        <w:t xml:space="preserve">    c. </w:t>
      </w:r>
      <w:r w:rsidR="003239E9">
        <w:t>Priority Goals</w:t>
      </w:r>
    </w:p>
    <w:p w14:paraId="567D7D43" w14:textId="77777777" w:rsidR="00EC7990" w:rsidRPr="00B57F8A" w:rsidRDefault="00EC7990" w:rsidP="0001256C">
      <w:pPr>
        <w:tabs>
          <w:tab w:val="left" w:leader="dot" w:pos="7920"/>
          <w:tab w:val="right" w:pos="8640"/>
        </w:tabs>
        <w:ind w:left="360" w:firstLine="720"/>
        <w:jc w:val="both"/>
        <w:rPr>
          <w:b/>
        </w:rPr>
      </w:pPr>
    </w:p>
    <w:p w14:paraId="273B5AAB" w14:textId="77777777" w:rsidR="00EC7990" w:rsidRPr="00B57F8A" w:rsidRDefault="00EC7990" w:rsidP="0001256C">
      <w:pPr>
        <w:pStyle w:val="BodyText"/>
        <w:numPr>
          <w:ilvl w:val="0"/>
          <w:numId w:val="28"/>
        </w:numPr>
        <w:tabs>
          <w:tab w:val="left" w:pos="3420"/>
        </w:tabs>
        <w:jc w:val="both"/>
        <w:rPr>
          <w:b/>
        </w:rPr>
      </w:pPr>
      <w:r w:rsidRPr="00B57F8A">
        <w:rPr>
          <w:b/>
        </w:rPr>
        <w:t>Program Increases by Item</w:t>
      </w:r>
      <w:r w:rsidRPr="00B57F8A">
        <w:rPr>
          <w:b/>
        </w:rPr>
        <w:tab/>
      </w:r>
      <w:r w:rsidR="00545848">
        <w:rPr>
          <w:b/>
        </w:rPr>
        <w:tab/>
      </w:r>
      <w:r w:rsidR="00545848">
        <w:rPr>
          <w:b/>
        </w:rPr>
        <w:tab/>
      </w:r>
      <w:r w:rsidR="00545848">
        <w:rPr>
          <w:b/>
        </w:rPr>
        <w:tab/>
      </w:r>
      <w:r w:rsidR="00545848">
        <w:rPr>
          <w:b/>
        </w:rPr>
        <w:tab/>
      </w:r>
      <w:r w:rsidR="00545848">
        <w:rPr>
          <w:b/>
        </w:rPr>
        <w:tab/>
      </w:r>
      <w:r w:rsidR="00545848">
        <w:rPr>
          <w:b/>
        </w:rPr>
        <w:tab/>
      </w:r>
      <w:r w:rsidR="008E43FC">
        <w:rPr>
          <w:b/>
        </w:rPr>
        <w:t xml:space="preserve">        </w:t>
      </w:r>
      <w:r w:rsidR="003A1242">
        <w:rPr>
          <w:b/>
        </w:rPr>
        <w:t xml:space="preserve">           </w:t>
      </w:r>
      <w:r w:rsidR="006E724A">
        <w:rPr>
          <w:b/>
        </w:rPr>
        <w:t>4</w:t>
      </w:r>
      <w:r w:rsidR="00B07519">
        <w:rPr>
          <w:b/>
        </w:rPr>
        <w:t>5</w:t>
      </w:r>
      <w:r w:rsidR="00545848">
        <w:rPr>
          <w:b/>
        </w:rPr>
        <w:t xml:space="preserve">        </w:t>
      </w:r>
      <w:r w:rsidRPr="00B57F8A">
        <w:rPr>
          <w:b/>
        </w:rPr>
        <w:tab/>
      </w:r>
      <w:r w:rsidRPr="00B57F8A">
        <w:rPr>
          <w:b/>
        </w:rPr>
        <w:tab/>
      </w:r>
      <w:r w:rsidRPr="00B57F8A">
        <w:rPr>
          <w:b/>
        </w:rPr>
        <w:tab/>
      </w:r>
      <w:r w:rsidRPr="00B57F8A">
        <w:rPr>
          <w:b/>
        </w:rPr>
        <w:tab/>
      </w:r>
      <w:r w:rsidRPr="00B57F8A">
        <w:rPr>
          <w:b/>
        </w:rPr>
        <w:tab/>
      </w:r>
      <w:r w:rsidRPr="00B57F8A">
        <w:rPr>
          <w:b/>
        </w:rPr>
        <w:tab/>
      </w:r>
      <w:r w:rsidRPr="00B57F8A">
        <w:rPr>
          <w:b/>
        </w:rPr>
        <w:tab/>
      </w:r>
      <w:r>
        <w:rPr>
          <w:b/>
        </w:rPr>
        <w:t xml:space="preserve">        </w:t>
      </w:r>
    </w:p>
    <w:p w14:paraId="2B12181B" w14:textId="77777777" w:rsidR="00EC7990" w:rsidRPr="00B57F8A" w:rsidRDefault="00EC7990" w:rsidP="0001256C">
      <w:pPr>
        <w:pStyle w:val="xl27"/>
        <w:numPr>
          <w:ilvl w:val="0"/>
          <w:numId w:val="28"/>
        </w:numPr>
        <w:tabs>
          <w:tab w:val="left" w:leader="dot" w:pos="7920"/>
          <w:tab w:val="right" w:pos="8640"/>
        </w:tabs>
        <w:spacing w:before="0" w:after="0"/>
        <w:jc w:val="both"/>
        <w:rPr>
          <w:rFonts w:ascii="Times New Roman" w:hAnsi="Times New Roman"/>
        </w:rPr>
      </w:pPr>
      <w:r w:rsidRPr="00B57F8A">
        <w:rPr>
          <w:rFonts w:ascii="Times New Roman" w:hAnsi="Times New Roman"/>
        </w:rPr>
        <w:t xml:space="preserve">Exhibits - Grants </w:t>
      </w:r>
      <w:r w:rsidR="000B136C">
        <w:rPr>
          <w:rFonts w:ascii="Times New Roman" w:hAnsi="Times New Roman"/>
        </w:rPr>
        <w:t>and Salaries and Expenses (S&amp;E)</w:t>
      </w:r>
    </w:p>
    <w:p w14:paraId="7033904F" w14:textId="77777777" w:rsidR="00EC7990" w:rsidRPr="00B57F8A" w:rsidRDefault="00EC7990" w:rsidP="0001256C">
      <w:pPr>
        <w:tabs>
          <w:tab w:val="left" w:leader="dot" w:pos="7920"/>
          <w:tab w:val="right" w:pos="8640"/>
        </w:tabs>
        <w:jc w:val="both"/>
        <w:rPr>
          <w:b/>
        </w:rPr>
      </w:pPr>
    </w:p>
    <w:p w14:paraId="05341200" w14:textId="77777777" w:rsidR="00EC7990" w:rsidRPr="00B57F8A" w:rsidRDefault="00EC7990" w:rsidP="0001256C">
      <w:pPr>
        <w:numPr>
          <w:ilvl w:val="0"/>
          <w:numId w:val="4"/>
        </w:numPr>
        <w:tabs>
          <w:tab w:val="left" w:leader="dot" w:pos="7920"/>
          <w:tab w:val="right" w:pos="8640"/>
        </w:tabs>
        <w:ind w:left="1080"/>
        <w:jc w:val="both"/>
      </w:pPr>
      <w:r>
        <w:t xml:space="preserve">  Organizational Chart</w:t>
      </w:r>
      <w:r w:rsidR="001B7613">
        <w:t xml:space="preserve"> </w:t>
      </w:r>
    </w:p>
    <w:p w14:paraId="39A341AC" w14:textId="77777777" w:rsidR="00EC7990" w:rsidRPr="00B57F8A" w:rsidRDefault="00EC7990" w:rsidP="0001256C">
      <w:pPr>
        <w:pStyle w:val="xl19"/>
        <w:numPr>
          <w:ilvl w:val="0"/>
          <w:numId w:val="5"/>
        </w:numPr>
        <w:tabs>
          <w:tab w:val="left" w:leader="dot" w:pos="7920"/>
          <w:tab w:val="right" w:pos="8640"/>
        </w:tabs>
        <w:spacing w:before="0" w:after="0"/>
        <w:ind w:left="1080"/>
        <w:jc w:val="both"/>
      </w:pPr>
      <w:r w:rsidRPr="00B57F8A">
        <w:t xml:space="preserve">  Summary of Requirements </w:t>
      </w:r>
    </w:p>
    <w:p w14:paraId="471B3BC0" w14:textId="77777777" w:rsidR="00EC7990" w:rsidRPr="00B57F8A" w:rsidRDefault="00EC7990" w:rsidP="0001256C">
      <w:pPr>
        <w:numPr>
          <w:ilvl w:val="0"/>
          <w:numId w:val="6"/>
        </w:numPr>
        <w:tabs>
          <w:tab w:val="left" w:leader="dot" w:pos="7920"/>
          <w:tab w:val="right" w:pos="8640"/>
        </w:tabs>
        <w:ind w:left="1080"/>
        <w:jc w:val="both"/>
      </w:pPr>
      <w:r w:rsidRPr="00B57F8A">
        <w:t xml:space="preserve">  </w:t>
      </w:r>
      <w:r>
        <w:t>FY 201</w:t>
      </w:r>
      <w:r w:rsidR="000908F2">
        <w:t>4</w:t>
      </w:r>
      <w:r>
        <w:t xml:space="preserve"> </w:t>
      </w:r>
      <w:r w:rsidRPr="00B57F8A">
        <w:t>Program Increases</w:t>
      </w:r>
      <w:r>
        <w:t>/Offsets</w:t>
      </w:r>
      <w:r w:rsidRPr="00B57F8A">
        <w:t xml:space="preserve"> by Decision Unit </w:t>
      </w:r>
    </w:p>
    <w:p w14:paraId="7AD00D89" w14:textId="77777777" w:rsidR="00EC7990" w:rsidRPr="00B57F8A" w:rsidRDefault="00EC7990" w:rsidP="0001256C">
      <w:pPr>
        <w:numPr>
          <w:ilvl w:val="0"/>
          <w:numId w:val="7"/>
        </w:numPr>
        <w:tabs>
          <w:tab w:val="left" w:leader="dot" w:pos="7920"/>
          <w:tab w:val="right" w:pos="8640"/>
        </w:tabs>
        <w:ind w:left="1080"/>
        <w:jc w:val="both"/>
      </w:pPr>
      <w:r w:rsidRPr="00B57F8A">
        <w:t xml:space="preserve">  Resources by DO</w:t>
      </w:r>
      <w:r>
        <w:t xml:space="preserve">J Strategic Goal/Objective </w:t>
      </w:r>
    </w:p>
    <w:p w14:paraId="1AA44A57" w14:textId="77777777" w:rsidR="00EC7990" w:rsidRPr="00B57F8A" w:rsidRDefault="00EC7990" w:rsidP="0001256C">
      <w:pPr>
        <w:numPr>
          <w:ilvl w:val="0"/>
          <w:numId w:val="8"/>
        </w:numPr>
        <w:tabs>
          <w:tab w:val="left" w:leader="dot" w:pos="7920"/>
          <w:tab w:val="right" w:pos="8640"/>
        </w:tabs>
        <w:ind w:left="1080"/>
        <w:jc w:val="both"/>
      </w:pPr>
      <w:r w:rsidRPr="00B57F8A">
        <w:t xml:space="preserve">  Justification for B</w:t>
      </w:r>
      <w:r>
        <w:t xml:space="preserve">ase Adjustments </w:t>
      </w:r>
    </w:p>
    <w:p w14:paraId="2BC4B1F7" w14:textId="77777777" w:rsidR="00EC7990" w:rsidRPr="00B57F8A" w:rsidRDefault="00EC7990" w:rsidP="0001256C">
      <w:pPr>
        <w:numPr>
          <w:ilvl w:val="0"/>
          <w:numId w:val="9"/>
        </w:numPr>
        <w:tabs>
          <w:tab w:val="left" w:leader="dot" w:pos="7920"/>
          <w:tab w:val="right" w:pos="8640"/>
        </w:tabs>
        <w:ind w:left="1080"/>
        <w:jc w:val="both"/>
      </w:pPr>
      <w:r w:rsidRPr="00B57F8A">
        <w:t xml:space="preserve">  Crosswalk of 201</w:t>
      </w:r>
      <w:r w:rsidR="000908F2">
        <w:t>4</w:t>
      </w:r>
      <w:r w:rsidRPr="00B57F8A">
        <w:t xml:space="preserve"> Availability</w:t>
      </w:r>
    </w:p>
    <w:p w14:paraId="33EC19B6" w14:textId="77777777" w:rsidR="00EC7990" w:rsidRPr="00B57F8A" w:rsidRDefault="00EC7990" w:rsidP="0001256C">
      <w:pPr>
        <w:numPr>
          <w:ilvl w:val="0"/>
          <w:numId w:val="10"/>
        </w:numPr>
        <w:tabs>
          <w:tab w:val="left" w:leader="dot" w:pos="7920"/>
          <w:tab w:val="right" w:pos="8640"/>
        </w:tabs>
        <w:ind w:left="1080"/>
        <w:jc w:val="both"/>
      </w:pPr>
      <w:r w:rsidRPr="00B57F8A">
        <w:t xml:space="preserve">  Crosswalk of 201</w:t>
      </w:r>
      <w:r w:rsidR="000908F2">
        <w:t>4</w:t>
      </w:r>
      <w:r w:rsidRPr="00B57F8A">
        <w:t xml:space="preserve"> Availability </w:t>
      </w:r>
    </w:p>
    <w:p w14:paraId="03A331D0" w14:textId="77777777" w:rsidR="00EC7990" w:rsidRPr="00B57F8A" w:rsidRDefault="00EC7990" w:rsidP="0001256C">
      <w:pPr>
        <w:numPr>
          <w:ilvl w:val="0"/>
          <w:numId w:val="11"/>
        </w:numPr>
        <w:tabs>
          <w:tab w:val="left" w:leader="dot" w:pos="7830"/>
          <w:tab w:val="right" w:pos="8640"/>
        </w:tabs>
        <w:ind w:left="1080"/>
        <w:jc w:val="both"/>
      </w:pPr>
      <w:r w:rsidRPr="00B57F8A">
        <w:t xml:space="preserve">  Summary</w:t>
      </w:r>
      <w:r w:rsidR="003920F8">
        <w:t xml:space="preserve"> of Reimbursable Resources </w:t>
      </w:r>
      <w:r w:rsidR="00DD1986">
        <w:t>(N/A)</w:t>
      </w:r>
    </w:p>
    <w:p w14:paraId="26BAB21C" w14:textId="77777777" w:rsidR="00EC7990" w:rsidRPr="00B57F8A" w:rsidRDefault="00EC7990" w:rsidP="0001256C">
      <w:pPr>
        <w:numPr>
          <w:ilvl w:val="0"/>
          <w:numId w:val="12"/>
        </w:numPr>
        <w:tabs>
          <w:tab w:val="left" w:leader="dot" w:pos="7920"/>
          <w:tab w:val="right" w:pos="8640"/>
        </w:tabs>
        <w:ind w:left="1080"/>
        <w:jc w:val="both"/>
      </w:pPr>
      <w:r w:rsidRPr="00B57F8A">
        <w:t xml:space="preserve">  Detail of Permanent Positi</w:t>
      </w:r>
      <w:r w:rsidR="001F159D">
        <w:t>ons by Category</w:t>
      </w:r>
      <w:r w:rsidR="003B6667">
        <w:t xml:space="preserve"> (N/A for Grants)</w:t>
      </w:r>
    </w:p>
    <w:p w14:paraId="634FA2D4" w14:textId="77777777" w:rsidR="00EC7990" w:rsidRPr="00B57F8A" w:rsidRDefault="00EC7990" w:rsidP="0001256C">
      <w:pPr>
        <w:numPr>
          <w:ilvl w:val="0"/>
          <w:numId w:val="13"/>
        </w:numPr>
        <w:tabs>
          <w:tab w:val="left" w:leader="dot" w:pos="7920"/>
          <w:tab w:val="right" w:pos="8640"/>
        </w:tabs>
        <w:ind w:left="1080"/>
        <w:jc w:val="both"/>
      </w:pPr>
      <w:r w:rsidRPr="00B57F8A">
        <w:t xml:space="preserve">  Financial Analysis of Prog</w:t>
      </w:r>
      <w:bookmarkStart w:id="0" w:name="OLE_LINK3"/>
      <w:r w:rsidRPr="00B57F8A">
        <w:t xml:space="preserve">ram </w:t>
      </w:r>
      <w:bookmarkEnd w:id="0"/>
      <w:r w:rsidR="00E82052">
        <w:t>Changes</w:t>
      </w:r>
      <w:r w:rsidR="00E25F56">
        <w:t xml:space="preserve"> </w:t>
      </w:r>
      <w:r w:rsidR="000B136C">
        <w:t>(N/A for Grants)</w:t>
      </w:r>
    </w:p>
    <w:p w14:paraId="012683E0" w14:textId="77777777" w:rsidR="00EC7990" w:rsidRPr="00B57F8A" w:rsidRDefault="00EC7990" w:rsidP="0001256C">
      <w:pPr>
        <w:numPr>
          <w:ilvl w:val="0"/>
          <w:numId w:val="14"/>
        </w:numPr>
        <w:tabs>
          <w:tab w:val="left" w:leader="dot" w:pos="7920"/>
          <w:tab w:val="right" w:pos="8640"/>
        </w:tabs>
        <w:ind w:left="1080"/>
        <w:jc w:val="both"/>
      </w:pPr>
      <w:r w:rsidRPr="00B57F8A">
        <w:t xml:space="preserve">  Summary of Requir</w:t>
      </w:r>
      <w:r w:rsidR="001F159D">
        <w:t xml:space="preserve">ements by Grade </w:t>
      </w:r>
      <w:r w:rsidR="00DD1986">
        <w:t>(N/A for Grants)</w:t>
      </w:r>
    </w:p>
    <w:p w14:paraId="3D9DC838" w14:textId="77777777" w:rsidR="00EC7990" w:rsidRPr="00B57F8A" w:rsidRDefault="00EC7990" w:rsidP="0001256C">
      <w:pPr>
        <w:numPr>
          <w:ilvl w:val="0"/>
          <w:numId w:val="15"/>
        </w:numPr>
        <w:tabs>
          <w:tab w:val="left" w:leader="dot" w:pos="7920"/>
          <w:tab w:val="right" w:pos="8640"/>
        </w:tabs>
        <w:ind w:left="1080"/>
        <w:jc w:val="both"/>
      </w:pPr>
      <w:r w:rsidRPr="00B57F8A">
        <w:t xml:space="preserve">  Summary of Requirements by Object Class</w:t>
      </w:r>
    </w:p>
    <w:p w14:paraId="6916EDC0" w14:textId="77777777" w:rsidR="00EC7990" w:rsidRDefault="00EC7990" w:rsidP="0001256C">
      <w:pPr>
        <w:jc w:val="both"/>
      </w:pPr>
      <w:r>
        <w:br w:type="page"/>
      </w:r>
    </w:p>
    <w:p w14:paraId="2FABC926" w14:textId="77777777" w:rsidR="00EC7990" w:rsidRDefault="00EC7990" w:rsidP="0001256C">
      <w:pPr>
        <w:pStyle w:val="BodyText"/>
        <w:jc w:val="both"/>
        <w:rPr>
          <w:b/>
        </w:rPr>
      </w:pPr>
      <w:r>
        <w:rPr>
          <w:b/>
        </w:rPr>
        <w:lastRenderedPageBreak/>
        <w:t>I.  Overview of the Office of Community Oriented Policing Services</w:t>
      </w:r>
    </w:p>
    <w:p w14:paraId="6C508DF2" w14:textId="77777777" w:rsidR="00EC7990" w:rsidRPr="00897F1D" w:rsidRDefault="00EC7990" w:rsidP="0001256C">
      <w:pPr>
        <w:pStyle w:val="BodyText"/>
        <w:jc w:val="both"/>
        <w:rPr>
          <w:b/>
        </w:rPr>
      </w:pPr>
    </w:p>
    <w:p w14:paraId="69626044" w14:textId="77777777" w:rsidR="00A059A3" w:rsidRPr="009273C7" w:rsidRDefault="00A059A3" w:rsidP="0001256C">
      <w:pPr>
        <w:pStyle w:val="xl27"/>
        <w:spacing w:before="0" w:after="0"/>
        <w:jc w:val="both"/>
        <w:rPr>
          <w:rFonts w:ascii="Times New Roman" w:hAnsi="Times New Roman"/>
          <w:szCs w:val="24"/>
        </w:rPr>
      </w:pPr>
      <w:r w:rsidRPr="009273C7">
        <w:rPr>
          <w:rFonts w:ascii="Times New Roman" w:hAnsi="Times New Roman"/>
          <w:szCs w:val="24"/>
        </w:rPr>
        <w:t>1. Introduction</w:t>
      </w:r>
    </w:p>
    <w:p w14:paraId="7E140B82" w14:textId="77777777" w:rsidR="00A059A3" w:rsidRPr="009273C7" w:rsidRDefault="00A059A3" w:rsidP="0001256C">
      <w:pPr>
        <w:pStyle w:val="BodyText"/>
        <w:jc w:val="both"/>
        <w:rPr>
          <w:szCs w:val="24"/>
        </w:rPr>
      </w:pPr>
    </w:p>
    <w:p w14:paraId="620A6F43" w14:textId="77777777" w:rsidR="009274A3" w:rsidRDefault="009274A3" w:rsidP="0001256C">
      <w:pPr>
        <w:pStyle w:val="BodyText"/>
        <w:jc w:val="both"/>
        <w:rPr>
          <w:rStyle w:val="Hyperlink"/>
        </w:rPr>
      </w:pPr>
      <w:r w:rsidRPr="009273C7">
        <w:rPr>
          <w:szCs w:val="24"/>
        </w:rPr>
        <w:t xml:space="preserve">In </w:t>
      </w:r>
      <w:r w:rsidR="004046CE">
        <w:rPr>
          <w:szCs w:val="24"/>
        </w:rPr>
        <w:t>Fiscal Year (</w:t>
      </w:r>
      <w:r w:rsidRPr="009273C7">
        <w:rPr>
          <w:szCs w:val="24"/>
        </w:rPr>
        <w:t>FY</w:t>
      </w:r>
      <w:r w:rsidR="004046CE">
        <w:rPr>
          <w:szCs w:val="24"/>
        </w:rPr>
        <w:t>)</w:t>
      </w:r>
      <w:r w:rsidRPr="009273C7">
        <w:rPr>
          <w:szCs w:val="24"/>
        </w:rPr>
        <w:t xml:space="preserve"> 201</w:t>
      </w:r>
      <w:r w:rsidR="00066548">
        <w:rPr>
          <w:szCs w:val="24"/>
        </w:rPr>
        <w:t>4</w:t>
      </w:r>
      <w:r w:rsidRPr="009273C7">
        <w:rPr>
          <w:szCs w:val="24"/>
        </w:rPr>
        <w:t xml:space="preserve">, the </w:t>
      </w:r>
      <w:r w:rsidRPr="009273C7">
        <w:rPr>
          <w:b/>
          <w:szCs w:val="24"/>
        </w:rPr>
        <w:t>Office of Community Oriented Policing Services (COPS)</w:t>
      </w:r>
      <w:r w:rsidRPr="009273C7">
        <w:rPr>
          <w:szCs w:val="24"/>
        </w:rPr>
        <w:t xml:space="preserve"> requests a total of $</w:t>
      </w:r>
      <w:r w:rsidR="00F908F7">
        <w:rPr>
          <w:szCs w:val="24"/>
        </w:rPr>
        <w:t>439,500,000</w:t>
      </w:r>
      <w:r w:rsidRPr="009273C7">
        <w:rPr>
          <w:szCs w:val="24"/>
        </w:rPr>
        <w:t xml:space="preserve">, </w:t>
      </w:r>
      <w:r w:rsidR="00F24A0F">
        <w:rPr>
          <w:szCs w:val="24"/>
        </w:rPr>
        <w:t>188</w:t>
      </w:r>
      <w:r w:rsidR="002E21F6" w:rsidRPr="009273C7">
        <w:rPr>
          <w:szCs w:val="24"/>
        </w:rPr>
        <w:t xml:space="preserve"> </w:t>
      </w:r>
      <w:r w:rsidRPr="009273C7">
        <w:rPr>
          <w:szCs w:val="24"/>
        </w:rPr>
        <w:t xml:space="preserve">positions and </w:t>
      </w:r>
      <w:r w:rsidR="00F24A0F">
        <w:rPr>
          <w:szCs w:val="24"/>
        </w:rPr>
        <w:t>128</w:t>
      </w:r>
      <w:r w:rsidR="002E21F6">
        <w:rPr>
          <w:szCs w:val="24"/>
        </w:rPr>
        <w:t xml:space="preserve"> </w:t>
      </w:r>
      <w:r>
        <w:rPr>
          <w:szCs w:val="24"/>
        </w:rPr>
        <w:t xml:space="preserve">FTE </w:t>
      </w:r>
      <w:r w:rsidRPr="009273C7">
        <w:rPr>
          <w:szCs w:val="24"/>
        </w:rPr>
        <w:t>to further the Department</w:t>
      </w:r>
      <w:r w:rsidR="004046CE">
        <w:rPr>
          <w:szCs w:val="24"/>
        </w:rPr>
        <w:t xml:space="preserve"> of Justice</w:t>
      </w:r>
      <w:r w:rsidRPr="009273C7">
        <w:rPr>
          <w:szCs w:val="24"/>
        </w:rPr>
        <w:t xml:space="preserve">’s </w:t>
      </w:r>
      <w:r>
        <w:rPr>
          <w:szCs w:val="24"/>
        </w:rPr>
        <w:t>goal</w:t>
      </w:r>
      <w:r w:rsidRPr="009273C7">
        <w:rPr>
          <w:szCs w:val="24"/>
        </w:rPr>
        <w:t xml:space="preserve"> to successfully assist state, local, and tribal law enforcement agencies </w:t>
      </w:r>
      <w:r>
        <w:rPr>
          <w:szCs w:val="24"/>
        </w:rPr>
        <w:t xml:space="preserve">in their efforts </w:t>
      </w:r>
      <w:r w:rsidRPr="009273C7">
        <w:rPr>
          <w:szCs w:val="24"/>
        </w:rPr>
        <w:t xml:space="preserve">to prevent crime, enforce laws, and represent the rights and interests of the American people. </w:t>
      </w:r>
      <w:r w:rsidRPr="0066751E">
        <w:t xml:space="preserve">The COPS Office is proposing </w:t>
      </w:r>
      <w:r w:rsidR="00B7542D">
        <w:t>funding for several programs</w:t>
      </w:r>
      <w:r w:rsidRPr="0066751E">
        <w:t xml:space="preserve"> to assist state, local, and tribal law enforcement to combat crime and increase law enforcement effectiveness by leveraging resources and maximizing cooperative efforts.</w:t>
      </w:r>
      <w:r w:rsidRPr="00725334">
        <w:t xml:space="preserve">  The highli</w:t>
      </w:r>
      <w:r>
        <w:t>ght</w:t>
      </w:r>
      <w:r w:rsidR="005A005C">
        <w:t>s</w:t>
      </w:r>
      <w:r>
        <w:t xml:space="preserve"> of this request </w:t>
      </w:r>
      <w:r w:rsidR="00582EE9">
        <w:t>include</w:t>
      </w:r>
      <w:r>
        <w:t xml:space="preserve"> $</w:t>
      </w:r>
      <w:r w:rsidR="00066548">
        <w:t xml:space="preserve">257 million </w:t>
      </w:r>
      <w:r>
        <w:t>for the COPS</w:t>
      </w:r>
      <w:r w:rsidRPr="00725334">
        <w:t xml:space="preserve"> Hiring Program to assist in </w:t>
      </w:r>
      <w:r>
        <w:t>hiring</w:t>
      </w:r>
      <w:r w:rsidRPr="00725334">
        <w:t xml:space="preserve"> a</w:t>
      </w:r>
      <w:r>
        <w:t>dditional law enforcement professionals</w:t>
      </w:r>
      <w:r w:rsidR="007D6C6F">
        <w:t xml:space="preserve"> and $150 million</w:t>
      </w:r>
      <w:r w:rsidR="00582EE9">
        <w:t xml:space="preserve"> for a new Comprehensive School Safety Program</w:t>
      </w:r>
      <w:r>
        <w:t xml:space="preserve">. </w:t>
      </w:r>
    </w:p>
    <w:p w14:paraId="455B530D" w14:textId="77777777" w:rsidR="00F1451B" w:rsidRDefault="00F1451B" w:rsidP="0001256C">
      <w:pPr>
        <w:pStyle w:val="BodyText"/>
        <w:jc w:val="both"/>
      </w:pPr>
    </w:p>
    <w:p w14:paraId="5B8E0146" w14:textId="77777777" w:rsidR="009274A3" w:rsidRPr="009273C7" w:rsidRDefault="00066548" w:rsidP="0001256C">
      <w:pPr>
        <w:pStyle w:val="BodyText"/>
        <w:jc w:val="both"/>
        <w:rPr>
          <w:szCs w:val="24"/>
        </w:rPr>
      </w:pPr>
      <w:r>
        <w:rPr>
          <w:szCs w:val="24"/>
        </w:rPr>
        <w:t xml:space="preserve">In FY 2014, the COPS Office proposes that </w:t>
      </w:r>
      <w:r w:rsidR="009274A3" w:rsidRPr="009273C7">
        <w:rPr>
          <w:szCs w:val="24"/>
        </w:rPr>
        <w:t xml:space="preserve">Management and </w:t>
      </w:r>
      <w:r w:rsidR="00DF7FD3">
        <w:rPr>
          <w:szCs w:val="24"/>
        </w:rPr>
        <w:t>A</w:t>
      </w:r>
      <w:r w:rsidR="00DF7FD3" w:rsidRPr="009273C7">
        <w:rPr>
          <w:szCs w:val="24"/>
        </w:rPr>
        <w:t xml:space="preserve">dministration </w:t>
      </w:r>
      <w:r w:rsidR="009274A3">
        <w:rPr>
          <w:szCs w:val="24"/>
        </w:rPr>
        <w:t>needs be supported with program funding.  These funds will</w:t>
      </w:r>
      <w:r w:rsidR="009274A3" w:rsidRPr="009273C7">
        <w:rPr>
          <w:szCs w:val="24"/>
        </w:rPr>
        <w:t xml:space="preserve"> </w:t>
      </w:r>
      <w:r>
        <w:rPr>
          <w:szCs w:val="24"/>
        </w:rPr>
        <w:t>support</w:t>
      </w:r>
      <w:r w:rsidR="009274A3">
        <w:rPr>
          <w:szCs w:val="24"/>
        </w:rPr>
        <w:t xml:space="preserve"> </w:t>
      </w:r>
      <w:r w:rsidR="00F24A0F">
        <w:rPr>
          <w:szCs w:val="24"/>
        </w:rPr>
        <w:t>188</w:t>
      </w:r>
      <w:r w:rsidR="00F908F7">
        <w:rPr>
          <w:szCs w:val="24"/>
        </w:rPr>
        <w:t xml:space="preserve"> </w:t>
      </w:r>
      <w:r w:rsidR="009274A3">
        <w:rPr>
          <w:szCs w:val="24"/>
        </w:rPr>
        <w:t xml:space="preserve">positions and </w:t>
      </w:r>
      <w:r w:rsidR="00F908F7">
        <w:rPr>
          <w:szCs w:val="24"/>
        </w:rPr>
        <w:t>1</w:t>
      </w:r>
      <w:r w:rsidR="00F24A0F">
        <w:rPr>
          <w:szCs w:val="24"/>
        </w:rPr>
        <w:t>28</w:t>
      </w:r>
      <w:r w:rsidR="00F908F7" w:rsidRPr="009273C7">
        <w:rPr>
          <w:szCs w:val="24"/>
        </w:rPr>
        <w:t xml:space="preserve"> </w:t>
      </w:r>
      <w:r w:rsidR="009274A3" w:rsidRPr="009273C7">
        <w:rPr>
          <w:szCs w:val="24"/>
        </w:rPr>
        <w:t>FTE</w:t>
      </w:r>
      <w:r w:rsidR="009274A3">
        <w:rPr>
          <w:szCs w:val="24"/>
        </w:rPr>
        <w:t xml:space="preserve">; </w:t>
      </w:r>
      <w:r w:rsidR="009274A3" w:rsidRPr="009273C7">
        <w:rPr>
          <w:szCs w:val="24"/>
        </w:rPr>
        <w:t xml:space="preserve">administrative and oversight costs of </w:t>
      </w:r>
      <w:r w:rsidR="004046CE">
        <w:rPr>
          <w:szCs w:val="24"/>
        </w:rPr>
        <w:t>FY 201</w:t>
      </w:r>
      <w:r w:rsidR="000D1566">
        <w:rPr>
          <w:szCs w:val="24"/>
        </w:rPr>
        <w:t>4</w:t>
      </w:r>
      <w:r w:rsidR="004046CE">
        <w:rPr>
          <w:szCs w:val="24"/>
        </w:rPr>
        <w:t xml:space="preserve"> </w:t>
      </w:r>
      <w:r w:rsidR="009274A3">
        <w:rPr>
          <w:szCs w:val="24"/>
        </w:rPr>
        <w:t>COPS</w:t>
      </w:r>
      <w:r w:rsidR="009274A3" w:rsidRPr="009273C7">
        <w:rPr>
          <w:szCs w:val="24"/>
        </w:rPr>
        <w:t xml:space="preserve"> programs</w:t>
      </w:r>
      <w:r w:rsidR="00B7542D">
        <w:rPr>
          <w:szCs w:val="24"/>
        </w:rPr>
        <w:t xml:space="preserve"> </w:t>
      </w:r>
      <w:r w:rsidR="004046CE">
        <w:rPr>
          <w:szCs w:val="24"/>
        </w:rPr>
        <w:t>and activities</w:t>
      </w:r>
      <w:r w:rsidR="00BD6839">
        <w:rPr>
          <w:szCs w:val="24"/>
        </w:rPr>
        <w:t>;</w:t>
      </w:r>
      <w:r w:rsidR="004046CE">
        <w:rPr>
          <w:szCs w:val="24"/>
        </w:rPr>
        <w:t xml:space="preserve"> and active grants associated with </w:t>
      </w:r>
      <w:r w:rsidR="009274A3" w:rsidRPr="009273C7">
        <w:rPr>
          <w:szCs w:val="24"/>
        </w:rPr>
        <w:t xml:space="preserve">programs appropriated in prior fiscal years. </w:t>
      </w:r>
    </w:p>
    <w:p w14:paraId="71D3B551" w14:textId="77777777" w:rsidR="009274A3" w:rsidRPr="009273C7" w:rsidRDefault="009274A3" w:rsidP="0001256C">
      <w:pPr>
        <w:pStyle w:val="BodyText"/>
        <w:jc w:val="both"/>
        <w:rPr>
          <w:szCs w:val="24"/>
        </w:rPr>
      </w:pPr>
    </w:p>
    <w:p w14:paraId="61DFCAED" w14:textId="77777777" w:rsidR="009274A3" w:rsidRPr="009273C7" w:rsidRDefault="009274A3" w:rsidP="0001256C">
      <w:pPr>
        <w:pStyle w:val="BodyText"/>
        <w:jc w:val="both"/>
        <w:rPr>
          <w:b/>
          <w:szCs w:val="24"/>
        </w:rPr>
      </w:pPr>
      <w:r w:rsidRPr="009273C7">
        <w:rPr>
          <w:b/>
          <w:szCs w:val="24"/>
        </w:rPr>
        <w:t>2.  Background</w:t>
      </w:r>
    </w:p>
    <w:p w14:paraId="6178D284" w14:textId="77777777" w:rsidR="009274A3" w:rsidRPr="009273C7" w:rsidRDefault="009274A3" w:rsidP="0001256C">
      <w:pPr>
        <w:pStyle w:val="BodyText"/>
        <w:jc w:val="both"/>
        <w:rPr>
          <w:szCs w:val="24"/>
        </w:rPr>
      </w:pPr>
    </w:p>
    <w:p w14:paraId="73310BC9" w14:textId="77777777" w:rsidR="009274A3" w:rsidRDefault="009274A3" w:rsidP="0001256C">
      <w:pPr>
        <w:jc w:val="both"/>
      </w:pPr>
      <w:r w:rsidRPr="009273C7">
        <w:t xml:space="preserve">The COPS Office was established in 1994 to assist </w:t>
      </w:r>
      <w:r>
        <w:t xml:space="preserve">state, local and tribal </w:t>
      </w:r>
      <w:r w:rsidRPr="009273C7">
        <w:t xml:space="preserve">law enforcement agencies in enhancing </w:t>
      </w:r>
      <w:r>
        <w:t xml:space="preserve">their effectiveness in building their capacity to advance </w:t>
      </w:r>
      <w:r w:rsidRPr="009273C7">
        <w:t xml:space="preserve">public safety through the implementation of community policing strategies. </w:t>
      </w:r>
      <w:r w:rsidRPr="008E6443">
        <w:t xml:space="preserve">Community policing is </w:t>
      </w:r>
      <w:r w:rsidR="00FA4A4E">
        <w:t>defined as developing partnerships between law enforcement agencies and the communities they serve so they can work collab</w:t>
      </w:r>
      <w:r w:rsidR="000908F2">
        <w:t xml:space="preserve">oratively to resolve problems.  </w:t>
      </w:r>
      <w:r w:rsidR="00FA4A4E">
        <w:t xml:space="preserve">It is </w:t>
      </w:r>
      <w:r w:rsidRPr="008E6443">
        <w:t>a philosophy that promotes organizational strategies</w:t>
      </w:r>
      <w:r>
        <w:t xml:space="preserve"> that</w:t>
      </w:r>
      <w:r w:rsidRPr="008E6443">
        <w:t xml:space="preserve"> support the systematic use of partnerships and </w:t>
      </w:r>
      <w:r>
        <w:t>problem solving</w:t>
      </w:r>
      <w:r w:rsidRPr="008E6443">
        <w:t xml:space="preserve"> techniques, </w:t>
      </w:r>
      <w:r>
        <w:t xml:space="preserve">in order </w:t>
      </w:r>
      <w:r w:rsidRPr="008E6443">
        <w:t>to proactively address the immediate conditions that give rise to public safety issues such as crime</w:t>
      </w:r>
      <w:r>
        <w:t>;</w:t>
      </w:r>
      <w:r w:rsidRPr="008E6443">
        <w:t xml:space="preserve"> social disorder</w:t>
      </w:r>
      <w:r>
        <w:t>;</w:t>
      </w:r>
      <w:r w:rsidRPr="008E6443">
        <w:t xml:space="preserve"> fear of crime</w:t>
      </w:r>
      <w:r>
        <w:t>; and satisfaction with police services</w:t>
      </w:r>
      <w:r w:rsidRPr="008E6443">
        <w:t>.</w:t>
      </w:r>
      <w:r>
        <w:t xml:space="preserve"> Community policing is comprised of three key components:</w:t>
      </w:r>
    </w:p>
    <w:p w14:paraId="3B9E0532" w14:textId="77777777" w:rsidR="009274A3" w:rsidRPr="008E6443" w:rsidRDefault="009274A3" w:rsidP="0001256C">
      <w:pPr>
        <w:jc w:val="both"/>
      </w:pPr>
    </w:p>
    <w:p w14:paraId="383A2DA6" w14:textId="77777777" w:rsidR="009274A3" w:rsidRPr="008E6443" w:rsidRDefault="009274A3" w:rsidP="00231531">
      <w:pPr>
        <w:autoSpaceDE w:val="0"/>
        <w:autoSpaceDN w:val="0"/>
        <w:adjustRightInd w:val="0"/>
        <w:spacing w:before="100" w:after="100"/>
        <w:ind w:left="720" w:hanging="360"/>
      </w:pPr>
      <w:r w:rsidRPr="008E6443">
        <w:rPr>
          <w:b/>
          <w:bCs/>
        </w:rPr>
        <w:t>Community Partnerships</w:t>
      </w:r>
      <w:r w:rsidRPr="008E6443">
        <w:rPr>
          <w:b/>
          <w:bCs/>
        </w:rPr>
        <w:br/>
      </w:r>
      <w:r w:rsidRPr="008E6443">
        <w:t>Collaborative partnerships between the law enforcement agency and the individuals and organizations they serve to develop solutions to problems and increase trust in police</w:t>
      </w:r>
      <w:r>
        <w:t>:</w:t>
      </w:r>
      <w:r w:rsidRPr="008E6443">
        <w:t xml:space="preserve"> </w:t>
      </w:r>
    </w:p>
    <w:p w14:paraId="2AF61505" w14:textId="77777777" w:rsidR="009274A3" w:rsidRPr="008E6443" w:rsidRDefault="009274A3" w:rsidP="0001256C">
      <w:pPr>
        <w:autoSpaceDE w:val="0"/>
        <w:autoSpaceDN w:val="0"/>
        <w:adjustRightInd w:val="0"/>
        <w:spacing w:before="100" w:after="100"/>
        <w:ind w:left="1440" w:hanging="360"/>
        <w:jc w:val="both"/>
      </w:pPr>
      <w:r w:rsidRPr="008E6443">
        <w:t xml:space="preserve">Other Government Agencies </w:t>
      </w:r>
    </w:p>
    <w:p w14:paraId="3D9120E1" w14:textId="77777777" w:rsidR="009274A3" w:rsidRPr="008E6443" w:rsidRDefault="009274A3" w:rsidP="0001256C">
      <w:pPr>
        <w:autoSpaceDE w:val="0"/>
        <w:autoSpaceDN w:val="0"/>
        <w:adjustRightInd w:val="0"/>
        <w:spacing w:before="100" w:after="100"/>
        <w:ind w:left="1440" w:hanging="360"/>
        <w:jc w:val="both"/>
      </w:pPr>
      <w:r w:rsidRPr="008E6443">
        <w:t xml:space="preserve">Community Members/Groups </w:t>
      </w:r>
    </w:p>
    <w:p w14:paraId="03A73D32" w14:textId="77777777" w:rsidR="009274A3" w:rsidRPr="008E6443" w:rsidRDefault="009274A3" w:rsidP="0001256C">
      <w:pPr>
        <w:autoSpaceDE w:val="0"/>
        <w:autoSpaceDN w:val="0"/>
        <w:adjustRightInd w:val="0"/>
        <w:spacing w:before="100" w:after="100"/>
        <w:ind w:left="1440" w:hanging="360"/>
        <w:jc w:val="both"/>
      </w:pPr>
      <w:r w:rsidRPr="008E6443">
        <w:t xml:space="preserve">Nonprofits/Service Providers </w:t>
      </w:r>
    </w:p>
    <w:p w14:paraId="41E35864" w14:textId="77777777" w:rsidR="009274A3" w:rsidRPr="008E6443" w:rsidRDefault="009274A3" w:rsidP="0001256C">
      <w:pPr>
        <w:autoSpaceDE w:val="0"/>
        <w:autoSpaceDN w:val="0"/>
        <w:adjustRightInd w:val="0"/>
        <w:spacing w:before="100" w:after="100"/>
        <w:ind w:left="1440" w:hanging="360"/>
        <w:jc w:val="both"/>
      </w:pPr>
      <w:r w:rsidRPr="008E6443">
        <w:t xml:space="preserve">Private Businesses </w:t>
      </w:r>
    </w:p>
    <w:p w14:paraId="49C2DB21" w14:textId="77777777" w:rsidR="009274A3" w:rsidRPr="008E6443" w:rsidRDefault="009274A3" w:rsidP="0001256C">
      <w:pPr>
        <w:tabs>
          <w:tab w:val="left" w:pos="3210"/>
        </w:tabs>
        <w:autoSpaceDE w:val="0"/>
        <w:autoSpaceDN w:val="0"/>
        <w:adjustRightInd w:val="0"/>
        <w:spacing w:before="100" w:after="100"/>
        <w:ind w:left="1440" w:hanging="360"/>
        <w:jc w:val="both"/>
      </w:pPr>
      <w:r w:rsidRPr="008E6443">
        <w:t>Media</w:t>
      </w:r>
      <w:r w:rsidR="00E158AD">
        <w:tab/>
      </w:r>
      <w:r w:rsidRPr="008E6443">
        <w:br/>
      </w:r>
    </w:p>
    <w:p w14:paraId="535D62EB" w14:textId="77777777" w:rsidR="009274A3" w:rsidRDefault="009274A3" w:rsidP="00231531">
      <w:pPr>
        <w:autoSpaceDE w:val="0"/>
        <w:autoSpaceDN w:val="0"/>
        <w:adjustRightInd w:val="0"/>
        <w:spacing w:before="100" w:after="100"/>
        <w:ind w:left="720" w:hanging="360"/>
      </w:pPr>
      <w:r w:rsidRPr="008E6443">
        <w:rPr>
          <w:b/>
          <w:bCs/>
        </w:rPr>
        <w:t>Organizational Transformation</w:t>
      </w:r>
      <w:r w:rsidRPr="008E6443">
        <w:rPr>
          <w:b/>
          <w:bCs/>
        </w:rPr>
        <w:br/>
      </w:r>
      <w:r w:rsidRPr="008E6443">
        <w:t>The alignment of organizational management, structure, personnel, and information systems to support community partnerships and proactive problem solving</w:t>
      </w:r>
      <w:r>
        <w:t>:</w:t>
      </w:r>
    </w:p>
    <w:p w14:paraId="40A8BAB8" w14:textId="77777777" w:rsidR="009274A3" w:rsidRPr="008E6443" w:rsidRDefault="009274A3" w:rsidP="0001256C">
      <w:pPr>
        <w:autoSpaceDE w:val="0"/>
        <w:autoSpaceDN w:val="0"/>
        <w:adjustRightInd w:val="0"/>
        <w:spacing w:before="100" w:after="100"/>
        <w:ind w:left="720" w:hanging="360"/>
        <w:jc w:val="both"/>
      </w:pPr>
      <w:r w:rsidRPr="008E6443">
        <w:t xml:space="preserve"> </w:t>
      </w:r>
      <w:r>
        <w:t xml:space="preserve">     </w:t>
      </w:r>
      <w:r w:rsidRPr="008E6443">
        <w:rPr>
          <w:i/>
          <w:iCs/>
        </w:rPr>
        <w:t>Agency Management</w:t>
      </w:r>
      <w:r w:rsidRPr="008E6443">
        <w:t xml:space="preserve"> </w:t>
      </w:r>
    </w:p>
    <w:p w14:paraId="24100D85" w14:textId="77777777" w:rsidR="009274A3" w:rsidRPr="008E6443" w:rsidRDefault="009274A3" w:rsidP="0001256C">
      <w:pPr>
        <w:autoSpaceDE w:val="0"/>
        <w:autoSpaceDN w:val="0"/>
        <w:adjustRightInd w:val="0"/>
        <w:spacing w:before="100" w:after="100"/>
        <w:ind w:left="1440" w:hanging="360"/>
        <w:jc w:val="both"/>
      </w:pPr>
      <w:r w:rsidRPr="008E6443">
        <w:t xml:space="preserve">Climate and culture </w:t>
      </w:r>
    </w:p>
    <w:p w14:paraId="16E377A4" w14:textId="77777777" w:rsidR="009274A3" w:rsidRPr="008E6443" w:rsidRDefault="009274A3" w:rsidP="0001256C">
      <w:pPr>
        <w:autoSpaceDE w:val="0"/>
        <w:autoSpaceDN w:val="0"/>
        <w:adjustRightInd w:val="0"/>
        <w:spacing w:before="100" w:after="100"/>
        <w:ind w:left="1440" w:hanging="360"/>
        <w:jc w:val="both"/>
      </w:pPr>
      <w:r w:rsidRPr="008E6443">
        <w:lastRenderedPageBreak/>
        <w:t xml:space="preserve">Leadership </w:t>
      </w:r>
    </w:p>
    <w:p w14:paraId="2F719DA1" w14:textId="77777777" w:rsidR="009274A3" w:rsidRPr="008E6443" w:rsidRDefault="009274A3" w:rsidP="0001256C">
      <w:pPr>
        <w:autoSpaceDE w:val="0"/>
        <w:autoSpaceDN w:val="0"/>
        <w:adjustRightInd w:val="0"/>
        <w:spacing w:before="100" w:after="100"/>
        <w:ind w:left="1440" w:hanging="360"/>
        <w:jc w:val="both"/>
      </w:pPr>
      <w:r w:rsidRPr="008E6443">
        <w:t xml:space="preserve">Labor relations </w:t>
      </w:r>
    </w:p>
    <w:p w14:paraId="34B8F52B" w14:textId="77777777" w:rsidR="009274A3" w:rsidRPr="008E6443" w:rsidRDefault="009274A3" w:rsidP="0001256C">
      <w:pPr>
        <w:autoSpaceDE w:val="0"/>
        <w:autoSpaceDN w:val="0"/>
        <w:adjustRightInd w:val="0"/>
        <w:spacing w:before="100" w:after="100"/>
        <w:ind w:left="1440" w:hanging="360"/>
        <w:jc w:val="both"/>
      </w:pPr>
      <w:r w:rsidRPr="008E6443">
        <w:t xml:space="preserve">Decision-making </w:t>
      </w:r>
    </w:p>
    <w:p w14:paraId="36A237A2" w14:textId="77777777" w:rsidR="009274A3" w:rsidRPr="008E6443" w:rsidRDefault="009274A3" w:rsidP="0001256C">
      <w:pPr>
        <w:autoSpaceDE w:val="0"/>
        <w:autoSpaceDN w:val="0"/>
        <w:adjustRightInd w:val="0"/>
        <w:spacing w:before="100" w:after="100"/>
        <w:ind w:left="1440" w:hanging="360"/>
        <w:jc w:val="both"/>
      </w:pPr>
      <w:r w:rsidRPr="008E6443">
        <w:t xml:space="preserve">Strategic planning </w:t>
      </w:r>
    </w:p>
    <w:p w14:paraId="083D007F" w14:textId="77777777" w:rsidR="009274A3" w:rsidRPr="008E6443" w:rsidRDefault="009274A3" w:rsidP="0001256C">
      <w:pPr>
        <w:autoSpaceDE w:val="0"/>
        <w:autoSpaceDN w:val="0"/>
        <w:adjustRightInd w:val="0"/>
        <w:spacing w:before="100" w:after="100"/>
        <w:ind w:left="1440" w:hanging="360"/>
        <w:jc w:val="both"/>
      </w:pPr>
      <w:r w:rsidRPr="008E6443">
        <w:t xml:space="preserve">Policies </w:t>
      </w:r>
    </w:p>
    <w:p w14:paraId="2748B5EB" w14:textId="77777777" w:rsidR="009274A3" w:rsidRPr="008E6443" w:rsidRDefault="009274A3" w:rsidP="0001256C">
      <w:pPr>
        <w:autoSpaceDE w:val="0"/>
        <w:autoSpaceDN w:val="0"/>
        <w:adjustRightInd w:val="0"/>
        <w:spacing w:before="100" w:after="100"/>
        <w:ind w:left="1440" w:hanging="360"/>
        <w:jc w:val="both"/>
      </w:pPr>
      <w:r w:rsidRPr="008E6443">
        <w:t xml:space="preserve">Organizational evaluations </w:t>
      </w:r>
    </w:p>
    <w:p w14:paraId="2B77D18A" w14:textId="77777777" w:rsidR="009274A3" w:rsidRPr="008E6443" w:rsidRDefault="009274A3" w:rsidP="0001256C">
      <w:pPr>
        <w:autoSpaceDE w:val="0"/>
        <w:autoSpaceDN w:val="0"/>
        <w:adjustRightInd w:val="0"/>
        <w:spacing w:before="100" w:after="100"/>
        <w:ind w:left="1440" w:hanging="360"/>
        <w:jc w:val="both"/>
      </w:pPr>
      <w:r w:rsidRPr="008E6443">
        <w:t xml:space="preserve">Transparency </w:t>
      </w:r>
    </w:p>
    <w:p w14:paraId="2EAE5474" w14:textId="77777777" w:rsidR="009274A3" w:rsidRPr="008E6443" w:rsidRDefault="009274A3" w:rsidP="0001256C">
      <w:pPr>
        <w:autoSpaceDE w:val="0"/>
        <w:autoSpaceDN w:val="0"/>
        <w:adjustRightInd w:val="0"/>
        <w:spacing w:before="100" w:after="100"/>
        <w:ind w:left="1440" w:hanging="360"/>
        <w:jc w:val="both"/>
      </w:pPr>
      <w:r w:rsidRPr="008E6443">
        <w:t>Organizational Structure</w:t>
      </w:r>
    </w:p>
    <w:p w14:paraId="70EABE41" w14:textId="77777777" w:rsidR="009274A3" w:rsidRPr="008E6443" w:rsidRDefault="009274A3" w:rsidP="0001256C">
      <w:pPr>
        <w:autoSpaceDE w:val="0"/>
        <w:autoSpaceDN w:val="0"/>
        <w:adjustRightInd w:val="0"/>
        <w:spacing w:before="100" w:after="100"/>
        <w:ind w:left="720"/>
        <w:jc w:val="both"/>
      </w:pPr>
      <w:r w:rsidRPr="008E6443">
        <w:rPr>
          <w:i/>
          <w:iCs/>
        </w:rPr>
        <w:t xml:space="preserve">Geographic </w:t>
      </w:r>
      <w:r>
        <w:rPr>
          <w:i/>
          <w:iCs/>
        </w:rPr>
        <w:t>A</w:t>
      </w:r>
      <w:r w:rsidRPr="008E6443">
        <w:rPr>
          <w:i/>
          <w:iCs/>
        </w:rPr>
        <w:t xml:space="preserve">ssignment of </w:t>
      </w:r>
      <w:r>
        <w:rPr>
          <w:i/>
          <w:iCs/>
        </w:rPr>
        <w:t>O</w:t>
      </w:r>
      <w:r w:rsidRPr="008E6443">
        <w:rPr>
          <w:i/>
          <w:iCs/>
        </w:rPr>
        <w:t>fficers</w:t>
      </w:r>
      <w:r w:rsidRPr="008E6443">
        <w:t xml:space="preserve"> </w:t>
      </w:r>
    </w:p>
    <w:p w14:paraId="7891B4D4" w14:textId="77777777" w:rsidR="009274A3" w:rsidRPr="008E6443" w:rsidRDefault="009274A3" w:rsidP="0001256C">
      <w:pPr>
        <w:autoSpaceDE w:val="0"/>
        <w:autoSpaceDN w:val="0"/>
        <w:adjustRightInd w:val="0"/>
        <w:spacing w:before="100" w:after="100"/>
        <w:ind w:left="1440" w:hanging="360"/>
        <w:jc w:val="both"/>
      </w:pPr>
      <w:r w:rsidRPr="008E6443">
        <w:t xml:space="preserve">Despecialization </w:t>
      </w:r>
    </w:p>
    <w:p w14:paraId="08D3148B" w14:textId="77777777" w:rsidR="009274A3" w:rsidRPr="008E6443" w:rsidRDefault="009274A3" w:rsidP="0001256C">
      <w:pPr>
        <w:autoSpaceDE w:val="0"/>
        <w:autoSpaceDN w:val="0"/>
        <w:adjustRightInd w:val="0"/>
        <w:spacing w:before="100" w:after="100"/>
        <w:ind w:left="1440" w:hanging="360"/>
        <w:jc w:val="both"/>
      </w:pPr>
      <w:r w:rsidRPr="008E6443">
        <w:t>Resources and finances</w:t>
      </w:r>
    </w:p>
    <w:p w14:paraId="24C7BEC9" w14:textId="77777777" w:rsidR="009274A3" w:rsidRPr="008E6443" w:rsidRDefault="009274A3" w:rsidP="0001256C">
      <w:pPr>
        <w:autoSpaceDE w:val="0"/>
        <w:autoSpaceDN w:val="0"/>
        <w:adjustRightInd w:val="0"/>
        <w:spacing w:before="100" w:after="100"/>
        <w:ind w:left="720"/>
        <w:jc w:val="both"/>
      </w:pPr>
      <w:r w:rsidRPr="008E6443">
        <w:rPr>
          <w:i/>
          <w:iCs/>
        </w:rPr>
        <w:t>Personnel</w:t>
      </w:r>
      <w:r w:rsidRPr="008E6443">
        <w:t xml:space="preserve"> </w:t>
      </w:r>
    </w:p>
    <w:p w14:paraId="1DEEF7E5" w14:textId="77777777" w:rsidR="009274A3" w:rsidRPr="008E6443" w:rsidRDefault="009274A3" w:rsidP="0001256C">
      <w:pPr>
        <w:autoSpaceDE w:val="0"/>
        <w:autoSpaceDN w:val="0"/>
        <w:adjustRightInd w:val="0"/>
        <w:spacing w:before="100" w:after="100"/>
        <w:ind w:left="1440" w:hanging="360"/>
        <w:jc w:val="both"/>
      </w:pPr>
      <w:r w:rsidRPr="008E6443">
        <w:t xml:space="preserve">Recruitment, hiring, and selection </w:t>
      </w:r>
    </w:p>
    <w:p w14:paraId="73A8BB9E" w14:textId="77777777" w:rsidR="009274A3" w:rsidRPr="008E6443" w:rsidRDefault="009274A3" w:rsidP="0001256C">
      <w:pPr>
        <w:autoSpaceDE w:val="0"/>
        <w:autoSpaceDN w:val="0"/>
        <w:adjustRightInd w:val="0"/>
        <w:spacing w:before="100" w:after="100"/>
        <w:ind w:left="1440" w:hanging="360"/>
        <w:jc w:val="both"/>
      </w:pPr>
      <w:r w:rsidRPr="008E6443">
        <w:t xml:space="preserve">Personnel supervision/evaluations </w:t>
      </w:r>
    </w:p>
    <w:p w14:paraId="2B329BC7" w14:textId="77777777" w:rsidR="009274A3" w:rsidRPr="008E6443" w:rsidRDefault="009274A3" w:rsidP="0001256C">
      <w:pPr>
        <w:autoSpaceDE w:val="0"/>
        <w:autoSpaceDN w:val="0"/>
        <w:adjustRightInd w:val="0"/>
        <w:spacing w:before="100" w:after="100"/>
        <w:ind w:left="1440" w:hanging="360"/>
        <w:jc w:val="both"/>
      </w:pPr>
      <w:r w:rsidRPr="008E6443">
        <w:t>Training</w:t>
      </w:r>
    </w:p>
    <w:p w14:paraId="4F8EF30A" w14:textId="77777777" w:rsidR="009274A3" w:rsidRPr="008E6443" w:rsidRDefault="009274A3" w:rsidP="0001256C">
      <w:pPr>
        <w:autoSpaceDE w:val="0"/>
        <w:autoSpaceDN w:val="0"/>
        <w:adjustRightInd w:val="0"/>
        <w:spacing w:before="100" w:after="100"/>
        <w:ind w:left="720"/>
        <w:jc w:val="both"/>
      </w:pPr>
      <w:r w:rsidRPr="008E6443">
        <w:rPr>
          <w:i/>
          <w:iCs/>
        </w:rPr>
        <w:t>Information Systems (Technology)</w:t>
      </w:r>
      <w:r w:rsidRPr="008E6443">
        <w:t xml:space="preserve"> </w:t>
      </w:r>
    </w:p>
    <w:p w14:paraId="3A0EA6FE" w14:textId="77777777" w:rsidR="009274A3" w:rsidRPr="008E6443" w:rsidRDefault="009274A3" w:rsidP="0001256C">
      <w:pPr>
        <w:autoSpaceDE w:val="0"/>
        <w:autoSpaceDN w:val="0"/>
        <w:adjustRightInd w:val="0"/>
        <w:spacing w:before="100" w:after="100"/>
        <w:ind w:left="1440" w:hanging="360"/>
        <w:jc w:val="both"/>
      </w:pPr>
      <w:r w:rsidRPr="008E6443">
        <w:t xml:space="preserve">Communication/access to data </w:t>
      </w:r>
    </w:p>
    <w:p w14:paraId="5F292860" w14:textId="77777777" w:rsidR="009274A3" w:rsidRPr="008E6443" w:rsidRDefault="009274A3" w:rsidP="00231531">
      <w:pPr>
        <w:autoSpaceDE w:val="0"/>
        <w:autoSpaceDN w:val="0"/>
        <w:adjustRightInd w:val="0"/>
        <w:spacing w:before="100" w:after="100"/>
        <w:ind w:left="1440" w:hanging="360"/>
      </w:pPr>
      <w:r w:rsidRPr="008E6443">
        <w:t>Quality and accuracy of data</w:t>
      </w:r>
      <w:r w:rsidRPr="008E6443">
        <w:br/>
      </w:r>
    </w:p>
    <w:p w14:paraId="48FEDD5D" w14:textId="77777777" w:rsidR="009274A3" w:rsidRDefault="009274A3" w:rsidP="00231531">
      <w:pPr>
        <w:autoSpaceDE w:val="0"/>
        <w:autoSpaceDN w:val="0"/>
        <w:adjustRightInd w:val="0"/>
        <w:spacing w:before="100" w:after="100"/>
        <w:ind w:left="720" w:hanging="360"/>
      </w:pPr>
      <w:r>
        <w:rPr>
          <w:b/>
          <w:bCs/>
        </w:rPr>
        <w:t>Problem Solving</w:t>
      </w:r>
      <w:r w:rsidRPr="008E6443">
        <w:rPr>
          <w:b/>
          <w:bCs/>
        </w:rPr>
        <w:br/>
      </w:r>
      <w:r w:rsidRPr="008E6443">
        <w:t>The process of engaging in the proactive and systematic examination of identified problems to develop and rigorously evaluate effective responses</w:t>
      </w:r>
      <w:r>
        <w:t>:</w:t>
      </w:r>
    </w:p>
    <w:p w14:paraId="747F279A" w14:textId="77777777" w:rsidR="009274A3" w:rsidRPr="008E6443" w:rsidRDefault="009274A3" w:rsidP="0001256C">
      <w:pPr>
        <w:autoSpaceDE w:val="0"/>
        <w:autoSpaceDN w:val="0"/>
        <w:adjustRightInd w:val="0"/>
        <w:spacing w:before="100" w:after="100"/>
        <w:ind w:left="1440" w:hanging="360"/>
        <w:jc w:val="both"/>
      </w:pPr>
      <w:r w:rsidRPr="008E6443">
        <w:t xml:space="preserve">Scanning: Identifying and prioritizing problems </w:t>
      </w:r>
    </w:p>
    <w:p w14:paraId="4D1F3196" w14:textId="77777777" w:rsidR="009274A3" w:rsidRPr="008E6443" w:rsidRDefault="009274A3" w:rsidP="0001256C">
      <w:pPr>
        <w:autoSpaceDE w:val="0"/>
        <w:autoSpaceDN w:val="0"/>
        <w:adjustRightInd w:val="0"/>
        <w:spacing w:before="100" w:after="100"/>
        <w:ind w:left="1440" w:hanging="360"/>
        <w:jc w:val="both"/>
      </w:pPr>
      <w:r w:rsidRPr="008E6443">
        <w:t xml:space="preserve">Analysis: Researching what is known about the problem </w:t>
      </w:r>
    </w:p>
    <w:p w14:paraId="40BE1E09" w14:textId="77777777" w:rsidR="009274A3" w:rsidRPr="008E6443" w:rsidRDefault="009274A3" w:rsidP="0001256C">
      <w:pPr>
        <w:autoSpaceDE w:val="0"/>
        <w:autoSpaceDN w:val="0"/>
        <w:adjustRightInd w:val="0"/>
        <w:spacing w:before="100" w:after="100"/>
        <w:ind w:left="1440" w:hanging="360"/>
        <w:jc w:val="both"/>
      </w:pPr>
      <w:r w:rsidRPr="008E6443">
        <w:t xml:space="preserve">Response: Developing solutions to bring about lasting reductions in the number and extent of problems </w:t>
      </w:r>
    </w:p>
    <w:p w14:paraId="5893113D" w14:textId="77777777" w:rsidR="009274A3" w:rsidRPr="008E6443" w:rsidRDefault="009274A3" w:rsidP="0001256C">
      <w:pPr>
        <w:autoSpaceDE w:val="0"/>
        <w:autoSpaceDN w:val="0"/>
        <w:adjustRightInd w:val="0"/>
        <w:spacing w:before="100" w:after="100"/>
        <w:ind w:left="1440" w:hanging="360"/>
        <w:jc w:val="both"/>
      </w:pPr>
      <w:r w:rsidRPr="008E6443">
        <w:t xml:space="preserve">Assessment: Evaluating the success of the responses </w:t>
      </w:r>
    </w:p>
    <w:p w14:paraId="1D09466D" w14:textId="77777777" w:rsidR="009274A3" w:rsidRPr="008E6443" w:rsidRDefault="009274A3" w:rsidP="0001256C">
      <w:pPr>
        <w:autoSpaceDE w:val="0"/>
        <w:autoSpaceDN w:val="0"/>
        <w:adjustRightInd w:val="0"/>
        <w:spacing w:before="100" w:after="100"/>
        <w:ind w:left="1440" w:hanging="360"/>
        <w:jc w:val="both"/>
      </w:pPr>
      <w:r w:rsidRPr="008E6443">
        <w:t>Using the crime triangle to focus on immediate conditions (victim/offender/location)</w:t>
      </w:r>
    </w:p>
    <w:p w14:paraId="07DF8158" w14:textId="77777777" w:rsidR="009274A3" w:rsidRDefault="009274A3" w:rsidP="0001256C">
      <w:pPr>
        <w:jc w:val="both"/>
      </w:pPr>
    </w:p>
    <w:p w14:paraId="2471B3DC" w14:textId="77777777" w:rsidR="009274A3" w:rsidRPr="009273C7" w:rsidRDefault="009274A3" w:rsidP="0001256C">
      <w:pPr>
        <w:jc w:val="both"/>
      </w:pPr>
      <w:r>
        <w:t>In FY 201</w:t>
      </w:r>
      <w:r w:rsidR="000D1566">
        <w:t>4</w:t>
      </w:r>
      <w:r>
        <w:t>, t</w:t>
      </w:r>
      <w:r w:rsidRPr="009273C7">
        <w:t xml:space="preserve">he COPS Office will continue to fulfill its mission of advancing </w:t>
      </w:r>
      <w:r>
        <w:t xml:space="preserve">public safety through </w:t>
      </w:r>
      <w:r w:rsidRPr="009273C7">
        <w:t>community policing by:</w:t>
      </w:r>
    </w:p>
    <w:p w14:paraId="390DBCD0" w14:textId="77777777" w:rsidR="00695EA4" w:rsidRPr="002F36C5" w:rsidRDefault="009274A3" w:rsidP="0001256C">
      <w:pPr>
        <w:pStyle w:val="ListParagraph"/>
        <w:numPr>
          <w:ilvl w:val="0"/>
          <w:numId w:val="35"/>
        </w:numPr>
        <w:jc w:val="both"/>
        <w:rPr>
          <w:b/>
        </w:rPr>
      </w:pPr>
      <w:r>
        <w:t>P</w:t>
      </w:r>
      <w:r w:rsidRPr="009273C7">
        <w:t>rovi</w:t>
      </w:r>
      <w:r w:rsidRPr="005B6AFD">
        <w:t>ding grants under the COPS Hiring Program to support the hiring of</w:t>
      </w:r>
      <w:r w:rsidR="00373F62">
        <w:t xml:space="preserve"> sworn and non-sworn</w:t>
      </w:r>
      <w:r w:rsidRPr="005B6AFD">
        <w:t xml:space="preserve"> </w:t>
      </w:r>
      <w:r w:rsidR="005B6AFD" w:rsidRPr="005B6AFD">
        <w:t>law enforcement personnel</w:t>
      </w:r>
      <w:r w:rsidRPr="005B6AFD">
        <w:t xml:space="preserve"> nationwide</w:t>
      </w:r>
      <w:r w:rsidR="007F1198">
        <w:t>;</w:t>
      </w:r>
    </w:p>
    <w:p w14:paraId="5F1152C0" w14:textId="77777777" w:rsidR="002F36C5" w:rsidRPr="002F36C5" w:rsidRDefault="002F36C5" w:rsidP="0001256C">
      <w:pPr>
        <w:pStyle w:val="ListParagraph"/>
        <w:numPr>
          <w:ilvl w:val="0"/>
          <w:numId w:val="35"/>
        </w:numPr>
        <w:jc w:val="both"/>
        <w:rPr>
          <w:b/>
        </w:rPr>
      </w:pPr>
      <w:r>
        <w:t xml:space="preserve">Providing grants under a </w:t>
      </w:r>
      <w:r w:rsidRPr="004359B7">
        <w:t xml:space="preserve">new Comprehensive School Safety </w:t>
      </w:r>
      <w:r>
        <w:t>Program to fund holistic, integrated, and individually tailored school safety and security resources for primary and secondary schools.  The program aims to bring the law enforcement, mental health, and education disciplines together to provide a comprehensive approach to school safety</w:t>
      </w:r>
      <w:r w:rsidR="007F1198">
        <w:t>;</w:t>
      </w:r>
    </w:p>
    <w:p w14:paraId="36A06BC3" w14:textId="77777777" w:rsidR="008A7A3A" w:rsidRDefault="008A7A3A" w:rsidP="0001256C">
      <w:pPr>
        <w:pStyle w:val="ListParagraph"/>
        <w:numPr>
          <w:ilvl w:val="0"/>
          <w:numId w:val="35"/>
        </w:numPr>
        <w:autoSpaceDE w:val="0"/>
        <w:autoSpaceDN w:val="0"/>
        <w:adjustRightInd w:val="0"/>
        <w:jc w:val="both"/>
        <w:rPr>
          <w:rFonts w:eastAsiaTheme="minorHAnsi"/>
        </w:rPr>
      </w:pPr>
      <w:r>
        <w:rPr>
          <w:rFonts w:eastAsiaTheme="minorHAnsi"/>
        </w:rPr>
        <w:t>Enhanc</w:t>
      </w:r>
      <w:r w:rsidR="006E1542">
        <w:rPr>
          <w:rFonts w:eastAsiaTheme="minorHAnsi"/>
        </w:rPr>
        <w:t>ing</w:t>
      </w:r>
      <w:r>
        <w:rPr>
          <w:rFonts w:eastAsiaTheme="minorHAnsi"/>
        </w:rPr>
        <w:t xml:space="preserve"> t</w:t>
      </w:r>
      <w:r w:rsidRPr="00A54801">
        <w:rPr>
          <w:rFonts w:eastAsiaTheme="minorHAnsi"/>
        </w:rPr>
        <w:t xml:space="preserve">he Collaborative Reform Model </w:t>
      </w:r>
      <w:r w:rsidR="006E1542">
        <w:rPr>
          <w:rFonts w:eastAsiaTheme="minorHAnsi"/>
        </w:rPr>
        <w:t xml:space="preserve">of Technical Assistance </w:t>
      </w:r>
      <w:r w:rsidRPr="00A54801">
        <w:rPr>
          <w:rFonts w:eastAsiaTheme="minorHAnsi"/>
        </w:rPr>
        <w:t>for a proac</w:t>
      </w:r>
      <w:r w:rsidR="006C3788">
        <w:rPr>
          <w:rFonts w:eastAsiaTheme="minorHAnsi"/>
        </w:rPr>
        <w:t>tive, non-adversarial, and cost-</w:t>
      </w:r>
      <w:r w:rsidRPr="00A54801">
        <w:rPr>
          <w:rFonts w:eastAsiaTheme="minorHAnsi"/>
        </w:rPr>
        <w:t>effective approach to practical technical assistance for agencies with significant law enforcement-related issues</w:t>
      </w:r>
      <w:r w:rsidR="007F1198">
        <w:rPr>
          <w:rFonts w:eastAsiaTheme="minorHAnsi"/>
        </w:rPr>
        <w:t>;</w:t>
      </w:r>
      <w:r w:rsidRPr="00A54801">
        <w:rPr>
          <w:rFonts w:eastAsiaTheme="minorHAnsi"/>
        </w:rPr>
        <w:t xml:space="preserve"> </w:t>
      </w:r>
    </w:p>
    <w:p w14:paraId="4352F3C7" w14:textId="77777777" w:rsidR="005B6AFD" w:rsidRPr="004907EE" w:rsidRDefault="00695EA4" w:rsidP="0001256C">
      <w:pPr>
        <w:pStyle w:val="ListParagraph"/>
        <w:numPr>
          <w:ilvl w:val="0"/>
          <w:numId w:val="35"/>
        </w:numPr>
        <w:jc w:val="both"/>
        <w:rPr>
          <w:b/>
        </w:rPr>
      </w:pPr>
      <w:r>
        <w:lastRenderedPageBreak/>
        <w:t xml:space="preserve">Focusing hiring grants </w:t>
      </w:r>
      <w:r w:rsidR="005B6AFD" w:rsidRPr="005B6AFD">
        <w:t>on “neighborhood level” community policing partnerships and problem solving;</w:t>
      </w:r>
    </w:p>
    <w:p w14:paraId="605EEE43" w14:textId="77777777" w:rsidR="004907EE" w:rsidRPr="005B6AFD" w:rsidRDefault="004907EE" w:rsidP="0001256C">
      <w:pPr>
        <w:pStyle w:val="ListParagraph"/>
        <w:numPr>
          <w:ilvl w:val="0"/>
          <w:numId w:val="35"/>
        </w:numPr>
        <w:jc w:val="both"/>
        <w:rPr>
          <w:b/>
        </w:rPr>
      </w:pPr>
      <w:r>
        <w:t>Aligning training and technical assistance in a more substantial way to office</w:t>
      </w:r>
      <w:r w:rsidR="00695EA4">
        <w:t>r</w:t>
      </w:r>
      <w:r>
        <w:t xml:space="preserve"> hiring;</w:t>
      </w:r>
    </w:p>
    <w:p w14:paraId="34E7596E" w14:textId="77777777" w:rsidR="009274A3" w:rsidRPr="009273C7" w:rsidRDefault="005B6AFD" w:rsidP="0001256C">
      <w:pPr>
        <w:numPr>
          <w:ilvl w:val="0"/>
          <w:numId w:val="29"/>
        </w:numPr>
        <w:jc w:val="both"/>
      </w:pPr>
      <w:r>
        <w:t>Continuing to promote</w:t>
      </w:r>
      <w:r w:rsidR="009274A3" w:rsidRPr="009273C7">
        <w:t xml:space="preserve"> </w:t>
      </w:r>
      <w:r w:rsidR="009274A3">
        <w:t>improved public safety outcomes</w:t>
      </w:r>
      <w:r w:rsidR="009274A3" w:rsidRPr="009273C7">
        <w:t xml:space="preserve"> by infusing its core principles in all grant programs</w:t>
      </w:r>
      <w:r w:rsidR="00007D0A">
        <w:t>, acting on evidence that community policing advances public safety</w:t>
      </w:r>
      <w:r w:rsidR="00B7542D">
        <w:t>;</w:t>
      </w:r>
    </w:p>
    <w:p w14:paraId="2A5EA9AD" w14:textId="77777777" w:rsidR="009274A3" w:rsidRPr="009273C7" w:rsidRDefault="009274A3" w:rsidP="0001256C">
      <w:pPr>
        <w:numPr>
          <w:ilvl w:val="0"/>
          <w:numId w:val="29"/>
        </w:numPr>
        <w:jc w:val="both"/>
      </w:pPr>
      <w:r>
        <w:t>C</w:t>
      </w:r>
      <w:r w:rsidRPr="009273C7">
        <w:t>ontinuing to support innovative programs that respond directly to the emerging needs of state, local, and tribal law enforcement</w:t>
      </w:r>
      <w:r>
        <w:t xml:space="preserve"> in order</w:t>
      </w:r>
      <w:r w:rsidRPr="009273C7">
        <w:t xml:space="preserve"> to shift law enforcement’s focus to preventing, rather than reacting to crime and disorder within their communities</w:t>
      </w:r>
      <w:r w:rsidR="00B7542D">
        <w:t>;</w:t>
      </w:r>
    </w:p>
    <w:p w14:paraId="0CA02E16" w14:textId="77777777" w:rsidR="009274A3" w:rsidRPr="009273C7" w:rsidRDefault="009274A3" w:rsidP="0001256C">
      <w:pPr>
        <w:numPr>
          <w:ilvl w:val="0"/>
          <w:numId w:val="29"/>
        </w:numPr>
        <w:jc w:val="both"/>
      </w:pPr>
      <w:r>
        <w:t>D</w:t>
      </w:r>
      <w:r w:rsidRPr="009273C7">
        <w:t>eveloping</w:t>
      </w:r>
      <w:r w:rsidR="00007D0A">
        <w:t xml:space="preserve">, </w:t>
      </w:r>
      <w:r>
        <w:t>delivering</w:t>
      </w:r>
      <w:r w:rsidR="00007D0A">
        <w:t xml:space="preserve"> and continuing to evaluate</w:t>
      </w:r>
      <w:r>
        <w:t xml:space="preserve"> </w:t>
      </w:r>
      <w:r w:rsidRPr="009273C7">
        <w:t>state-of-the-art training and technical assistance to enhance law enforcement officers’ problem-solving and community interaction skills</w:t>
      </w:r>
      <w:r w:rsidR="00B7542D">
        <w:t>;</w:t>
      </w:r>
    </w:p>
    <w:p w14:paraId="7814CC78" w14:textId="77777777" w:rsidR="009274A3" w:rsidRPr="009273C7" w:rsidRDefault="009274A3" w:rsidP="0001256C">
      <w:pPr>
        <w:numPr>
          <w:ilvl w:val="0"/>
          <w:numId w:val="29"/>
        </w:numPr>
        <w:jc w:val="both"/>
      </w:pPr>
      <w:r>
        <w:t xml:space="preserve">Promoting </w:t>
      </w:r>
      <w:r w:rsidRPr="009273C7">
        <w:t>collaboration between law enforcement</w:t>
      </w:r>
      <w:r>
        <w:t xml:space="preserve">; community </w:t>
      </w:r>
      <w:r w:rsidRPr="009273C7">
        <w:t>members</w:t>
      </w:r>
      <w:r>
        <w:t>;</w:t>
      </w:r>
      <w:r w:rsidRPr="009273C7">
        <w:t xml:space="preserve"> academic institutions</w:t>
      </w:r>
      <w:r>
        <w:t>;</w:t>
      </w:r>
      <w:r w:rsidRPr="009273C7">
        <w:t xml:space="preserve"> and other key stakeholders to develop innovative </w:t>
      </w:r>
      <w:r w:rsidR="00007D0A">
        <w:t xml:space="preserve">evidence-based </w:t>
      </w:r>
      <w:r w:rsidRPr="009273C7">
        <w:t>initiatives to prevent crime</w:t>
      </w:r>
      <w:r w:rsidR="00B7542D">
        <w:t>; and</w:t>
      </w:r>
    </w:p>
    <w:p w14:paraId="50F50690" w14:textId="77777777" w:rsidR="009274A3" w:rsidRPr="009273C7" w:rsidRDefault="009274A3" w:rsidP="0001256C">
      <w:pPr>
        <w:numPr>
          <w:ilvl w:val="0"/>
          <w:numId w:val="29"/>
        </w:numPr>
        <w:jc w:val="both"/>
      </w:pPr>
      <w:r>
        <w:t>P</w:t>
      </w:r>
      <w:r w:rsidRPr="009273C7">
        <w:t xml:space="preserve">roviding responsive, cost effective service delivery to grantees to ensure success in </w:t>
      </w:r>
      <w:r>
        <w:t>implementing</w:t>
      </w:r>
      <w:r w:rsidRPr="009273C7">
        <w:t xml:space="preserve"> community policing strategies within their communities</w:t>
      </w:r>
      <w:r w:rsidR="00F1451B">
        <w:t>.</w:t>
      </w:r>
    </w:p>
    <w:p w14:paraId="63099C99" w14:textId="77777777" w:rsidR="009274A3" w:rsidRPr="009273C7" w:rsidRDefault="009274A3" w:rsidP="0001256C">
      <w:pPr>
        <w:jc w:val="both"/>
      </w:pPr>
    </w:p>
    <w:p w14:paraId="02C99511" w14:textId="77777777" w:rsidR="009274A3" w:rsidRDefault="009274A3" w:rsidP="0001256C">
      <w:pPr>
        <w:numPr>
          <w:ilvl w:val="12"/>
          <w:numId w:val="0"/>
        </w:numPr>
        <w:jc w:val="both"/>
      </w:pPr>
      <w:r w:rsidRPr="009273C7">
        <w:t>Since the COPS Office began in 1994, the programs and initiatives developed have provided funding to more than 13,000 law enforcement agencies</w:t>
      </w:r>
      <w:r w:rsidR="00B7542D">
        <w:t xml:space="preserve">.  </w:t>
      </w:r>
      <w:r w:rsidRPr="009273C7">
        <w:t>By funding over 13,000 of the nation’s 18,000 law enforcement agencies, the COPS Office has helped create a community policing in</w:t>
      </w:r>
      <w:r>
        <w:t xml:space="preserve">frastructure across the nation.  </w:t>
      </w:r>
    </w:p>
    <w:p w14:paraId="0A686DD8" w14:textId="77777777" w:rsidR="009274A3" w:rsidRDefault="009274A3" w:rsidP="0001256C">
      <w:pPr>
        <w:numPr>
          <w:ilvl w:val="12"/>
          <w:numId w:val="0"/>
        </w:numPr>
        <w:jc w:val="both"/>
      </w:pPr>
    </w:p>
    <w:p w14:paraId="634AA194" w14:textId="77777777" w:rsidR="009274A3" w:rsidRDefault="009274A3" w:rsidP="0001256C">
      <w:pPr>
        <w:jc w:val="both"/>
      </w:pPr>
      <w:r w:rsidRPr="00B7542D">
        <w:t>Research</w:t>
      </w:r>
      <w:r w:rsidR="00723A6F">
        <w:t xml:space="preserve"> evaluating the COPS Office </w:t>
      </w:r>
      <w:r w:rsidRPr="00B7542D">
        <w:t xml:space="preserve">supports the positive effect of federal funding to communities from the COPS Office on crime and police practices. For example, a study published by Evans and Owens (2007) showed that the crime problems targeted by COPS Office grantees “led </w:t>
      </w:r>
      <w:r w:rsidR="00417AB7">
        <w:t>to a statistically precise drop</w:t>
      </w:r>
      <w:r w:rsidRPr="00B7542D">
        <w:t xml:space="preserve"> in crime in subsequent years for four of the seven index crimes.” The four index crimes (auto theft, burglary, robbery and aggravated assault) are among several crime problems applicants requesting COPS Hiring Program funding can select to target funding to improve public safety in their communities.</w:t>
      </w:r>
    </w:p>
    <w:p w14:paraId="41259EBF" w14:textId="77777777" w:rsidR="005B4321" w:rsidRDefault="005B4321" w:rsidP="0001256C">
      <w:pPr>
        <w:jc w:val="both"/>
      </w:pPr>
    </w:p>
    <w:p w14:paraId="5B47D6D5" w14:textId="77777777" w:rsidR="005B4321" w:rsidRPr="009273C7" w:rsidRDefault="005B4321" w:rsidP="0001256C">
      <w:pPr>
        <w:jc w:val="both"/>
      </w:pPr>
      <w:r w:rsidRPr="009273C7">
        <w:t xml:space="preserve">The findings from </w:t>
      </w:r>
      <w:r w:rsidR="00CC45CD">
        <w:t>a</w:t>
      </w:r>
      <w:r w:rsidR="00CC45CD" w:rsidRPr="009273C7">
        <w:t xml:space="preserve"> </w:t>
      </w:r>
      <w:r w:rsidR="00656E3D">
        <w:t>United States Government Accountability Office (</w:t>
      </w:r>
      <w:r w:rsidRPr="009273C7">
        <w:t>GAO</w:t>
      </w:r>
      <w:r w:rsidR="00656E3D">
        <w:t>)</w:t>
      </w:r>
      <w:r w:rsidRPr="009273C7">
        <w:t xml:space="preserve"> study </w:t>
      </w:r>
      <w:r w:rsidR="00CC45CD">
        <w:t xml:space="preserve">on the impact of COPS grants that was conducted from January 2004 to August 2005 </w:t>
      </w:r>
      <w:r w:rsidRPr="009273C7">
        <w:t>demonstrate that COPS grants resulted in significantly greater numbers of law enforcement officers than would have been expected without grant funds</w:t>
      </w:r>
      <w:r w:rsidR="00CC45CD">
        <w:t xml:space="preserve"> and therefore increased the </w:t>
      </w:r>
      <w:r w:rsidRPr="009273C7">
        <w:t>community policing capacity of law enforcement agencies.</w:t>
      </w:r>
      <w:r>
        <w:t xml:space="preserve">  </w:t>
      </w:r>
      <w:r w:rsidRPr="009273C7">
        <w:t>The GAO also stated that</w:t>
      </w:r>
      <w:r w:rsidR="00CC45CD">
        <w:t xml:space="preserve"> COPS grants were a modest contribut</w:t>
      </w:r>
      <w:r w:rsidR="007E7A37">
        <w:t>or</w:t>
      </w:r>
      <w:r w:rsidR="00CC45CD">
        <w:t xml:space="preserve"> to the reduction of crime rate.  T</w:t>
      </w:r>
      <w:r w:rsidRPr="009273C7">
        <w:t>he total crime rate dropped 26</w:t>
      </w:r>
      <w:r>
        <w:t xml:space="preserve"> percent</w:t>
      </w:r>
      <w:r w:rsidRPr="009273C7">
        <w:t xml:space="preserve"> from 1993 to 2000.  Of this 26</w:t>
      </w:r>
      <w:r>
        <w:t xml:space="preserve"> percent</w:t>
      </w:r>
      <w:r w:rsidRPr="009273C7">
        <w:t xml:space="preserve"> reduction, </w:t>
      </w:r>
      <w:r w:rsidR="00563D5C">
        <w:t>GAO was able to “</w:t>
      </w:r>
      <w:r w:rsidRPr="009273C7">
        <w:t xml:space="preserve">attribute about </w:t>
      </w:r>
      <w:r w:rsidR="00563D5C">
        <w:t xml:space="preserve">5 percent to the effect of COPS,” </w:t>
      </w:r>
      <w:r w:rsidRPr="009273C7">
        <w:t>suggest</w:t>
      </w:r>
      <w:r w:rsidR="00563D5C">
        <w:t>ing</w:t>
      </w:r>
      <w:r w:rsidRPr="009273C7">
        <w:t xml:space="preserve"> a significant relationship between the programs and public safety outcomes. A key finding is that these reductions in crime were found to be in line with the amount of COPS funds expended. COPS funds amounted to about </w:t>
      </w:r>
      <w:r w:rsidR="0001256C">
        <w:t>one</w:t>
      </w:r>
      <w:r w:rsidRPr="009273C7">
        <w:t xml:space="preserve"> percent of all local law enforcement expenditures. A significant finding that cannot be overlooked is that, according to the GAO, for every $1 in COPS hiring grant expenditures per capita, there was a reduction of almost 30 index crimes per 100,000 persons.   </w:t>
      </w:r>
    </w:p>
    <w:p w14:paraId="6E099439" w14:textId="77777777" w:rsidR="005B4321" w:rsidRDefault="005B4321" w:rsidP="0001256C">
      <w:pPr>
        <w:jc w:val="both"/>
      </w:pPr>
    </w:p>
    <w:p w14:paraId="00884FAA" w14:textId="77777777" w:rsidR="009274A3" w:rsidDel="005813D0" w:rsidRDefault="009274A3" w:rsidP="0001256C">
      <w:pPr>
        <w:jc w:val="both"/>
      </w:pPr>
      <w:r w:rsidDel="005813D0">
        <w:t>In FY 201</w:t>
      </w:r>
      <w:r w:rsidR="009B3C92" w:rsidDel="005813D0">
        <w:t>4</w:t>
      </w:r>
      <w:r w:rsidDel="005813D0">
        <w:t xml:space="preserve">, the COPS Office </w:t>
      </w:r>
      <w:r w:rsidR="000D1566" w:rsidDel="005813D0">
        <w:t xml:space="preserve">will </w:t>
      </w:r>
      <w:r w:rsidR="009B3C92" w:rsidDel="005813D0">
        <w:t xml:space="preserve">maintain </w:t>
      </w:r>
      <w:r w:rsidR="000D1566" w:rsidDel="005813D0">
        <w:t>a</w:t>
      </w:r>
      <w:r w:rsidR="009B3C92" w:rsidDel="005813D0">
        <w:t xml:space="preserve">n </w:t>
      </w:r>
      <w:r w:rsidDel="005813D0">
        <w:t xml:space="preserve">outcome performance measure </w:t>
      </w:r>
      <w:r w:rsidR="009B3C92" w:rsidDel="005813D0">
        <w:t xml:space="preserve">established in FY 2013 </w:t>
      </w:r>
      <w:r w:rsidDel="005813D0">
        <w:t xml:space="preserve">to assess the impact of the COPS Hiring Program funding on the crime problem of homicide. </w:t>
      </w:r>
      <w:r w:rsidR="009B3C92" w:rsidDel="005813D0">
        <w:t xml:space="preserve">The COPS Office will demonstrate the impact of </w:t>
      </w:r>
      <w:r w:rsidR="00695EA4" w:rsidDel="005813D0">
        <w:t xml:space="preserve">COPS </w:t>
      </w:r>
      <w:r w:rsidR="009B3C92" w:rsidDel="005813D0">
        <w:t xml:space="preserve">grant funding and training and technical assistance on local communities’ public safety through the </w:t>
      </w:r>
      <w:r w:rsidDel="005813D0">
        <w:t xml:space="preserve">three-year collection and analysis of homicide crime rate data. We also anticipate </w:t>
      </w:r>
      <w:r w:rsidR="00031830" w:rsidDel="005813D0">
        <w:t xml:space="preserve">that </w:t>
      </w:r>
      <w:r w:rsidDel="005813D0">
        <w:t xml:space="preserve">the annual and final results of the performance </w:t>
      </w:r>
      <w:r w:rsidDel="005813D0">
        <w:lastRenderedPageBreak/>
        <w:t xml:space="preserve">measure </w:t>
      </w:r>
      <w:r w:rsidR="00031830" w:rsidDel="005813D0">
        <w:t>will</w:t>
      </w:r>
      <w:r w:rsidDel="005813D0">
        <w:t xml:space="preserve"> support lessons learned that </w:t>
      </w:r>
      <w:r w:rsidR="009B3C92" w:rsidDel="005813D0">
        <w:t>can be used internally to enhance</w:t>
      </w:r>
      <w:r w:rsidDel="005813D0">
        <w:t xml:space="preserve"> program development and externally </w:t>
      </w:r>
      <w:r w:rsidR="009B3C92" w:rsidDel="005813D0">
        <w:t>as</w:t>
      </w:r>
      <w:r w:rsidDel="005813D0">
        <w:t xml:space="preserve"> an evidence-based resource for the law enforcement community. </w:t>
      </w:r>
    </w:p>
    <w:p w14:paraId="0864D11A" w14:textId="77777777" w:rsidR="007F1198" w:rsidRDefault="007F1198" w:rsidP="0001256C">
      <w:pPr>
        <w:pStyle w:val="xl27"/>
        <w:numPr>
          <w:ilvl w:val="12"/>
          <w:numId w:val="0"/>
        </w:numPr>
        <w:spacing w:before="0" w:after="0"/>
        <w:jc w:val="both"/>
        <w:rPr>
          <w:rFonts w:ascii="Times New Roman" w:hAnsi="Times New Roman"/>
          <w:szCs w:val="24"/>
          <w:u w:val="single"/>
        </w:rPr>
      </w:pPr>
    </w:p>
    <w:p w14:paraId="1EB68999" w14:textId="77777777" w:rsidR="009274A3" w:rsidRPr="009273C7" w:rsidRDefault="009274A3" w:rsidP="0001256C">
      <w:pPr>
        <w:pStyle w:val="xl27"/>
        <w:numPr>
          <w:ilvl w:val="12"/>
          <w:numId w:val="0"/>
        </w:numPr>
        <w:spacing w:before="0" w:after="0"/>
        <w:jc w:val="both"/>
        <w:rPr>
          <w:rFonts w:ascii="Times New Roman" w:hAnsi="Times New Roman"/>
          <w:szCs w:val="24"/>
          <w:u w:val="single"/>
        </w:rPr>
      </w:pPr>
      <w:r w:rsidRPr="009273C7">
        <w:rPr>
          <w:rFonts w:ascii="Times New Roman" w:hAnsi="Times New Roman"/>
          <w:szCs w:val="24"/>
          <w:u w:val="single"/>
        </w:rPr>
        <w:t>Supporting the President’s Transparency and Accountability Goals</w:t>
      </w:r>
    </w:p>
    <w:p w14:paraId="5BC96592" w14:textId="77777777" w:rsidR="009274A3" w:rsidRPr="009273C7" w:rsidRDefault="009274A3" w:rsidP="0001256C">
      <w:pPr>
        <w:pStyle w:val="xl27"/>
        <w:numPr>
          <w:ilvl w:val="12"/>
          <w:numId w:val="0"/>
        </w:numPr>
        <w:spacing w:before="0" w:after="0"/>
        <w:jc w:val="both"/>
        <w:rPr>
          <w:rFonts w:ascii="Times New Roman" w:hAnsi="Times New Roman"/>
          <w:szCs w:val="24"/>
          <w:u w:val="single"/>
        </w:rPr>
      </w:pPr>
    </w:p>
    <w:p w14:paraId="584A6FF6" w14:textId="77777777" w:rsidR="009274A3" w:rsidRDefault="009274A3" w:rsidP="0001256C">
      <w:pPr>
        <w:numPr>
          <w:ilvl w:val="12"/>
          <w:numId w:val="0"/>
        </w:numPr>
        <w:jc w:val="both"/>
      </w:pPr>
      <w:r w:rsidRPr="009273C7">
        <w:t xml:space="preserve">In </w:t>
      </w:r>
      <w:r w:rsidR="000D1566">
        <w:t>support of the President’s goal of a more transparent and accountable federal government, the COPS Office continues</w:t>
      </w:r>
      <w:r w:rsidRPr="009273C7">
        <w:t xml:space="preserve"> to review and </w:t>
      </w:r>
      <w:r w:rsidR="001A55FC">
        <w:t>improve</w:t>
      </w:r>
      <w:r w:rsidRPr="009273C7">
        <w:t xml:space="preserve"> our business processes</w:t>
      </w:r>
      <w:r w:rsidR="001A55FC">
        <w:t xml:space="preserve"> to achieve greater efficiencies and be more responsive to the needs of the law enforcement community</w:t>
      </w:r>
      <w:r w:rsidR="00734E06">
        <w:t xml:space="preserve">. These efforts have led to the </w:t>
      </w:r>
      <w:r w:rsidR="00F949DE">
        <w:t xml:space="preserve">implementation of </w:t>
      </w:r>
      <w:r w:rsidRPr="009273C7">
        <w:t xml:space="preserve">innovative projects to promote </w:t>
      </w:r>
      <w:r w:rsidR="00F949DE">
        <w:t xml:space="preserve">the </w:t>
      </w:r>
      <w:r w:rsidRPr="009273C7">
        <w:t>COPS</w:t>
      </w:r>
      <w:r w:rsidR="00A01904">
        <w:t xml:space="preserve"> Office’s</w:t>
      </w:r>
      <w:r w:rsidRPr="009273C7">
        <w:t xml:space="preserve"> primary mission and </w:t>
      </w:r>
      <w:r w:rsidR="00734E06">
        <w:t>improve</w:t>
      </w:r>
      <w:r w:rsidR="000D1566">
        <w:t xml:space="preserve"> grantees’</w:t>
      </w:r>
      <w:r w:rsidRPr="009273C7">
        <w:t xml:space="preserve"> access to COPS resources</w:t>
      </w:r>
      <w:r w:rsidR="00734E06">
        <w:t xml:space="preserve"> and overall experiences with the COPS Office</w:t>
      </w:r>
      <w:r w:rsidRPr="009273C7">
        <w:t xml:space="preserve">; expand our current E-government capabilities; </w:t>
      </w:r>
      <w:r w:rsidR="00C95E51">
        <w:t xml:space="preserve">enhance customer service; </w:t>
      </w:r>
      <w:r w:rsidRPr="009273C7">
        <w:t>and empower employees to meet our mission.</w:t>
      </w:r>
    </w:p>
    <w:p w14:paraId="3AB61153" w14:textId="77777777" w:rsidR="00C81A2A" w:rsidRDefault="00C81A2A" w:rsidP="0001256C">
      <w:pPr>
        <w:numPr>
          <w:ilvl w:val="12"/>
          <w:numId w:val="0"/>
        </w:numPr>
        <w:jc w:val="both"/>
      </w:pPr>
    </w:p>
    <w:tbl>
      <w:tblPr>
        <w:tblStyle w:val="TableGrid"/>
        <w:tblW w:w="0" w:type="auto"/>
        <w:tblLook w:val="04A0" w:firstRow="1" w:lastRow="0" w:firstColumn="1" w:lastColumn="0" w:noHBand="0" w:noVBand="1"/>
      </w:tblPr>
      <w:tblGrid>
        <w:gridCol w:w="9350"/>
      </w:tblGrid>
      <w:tr w:rsidR="00C81A2A" w14:paraId="66F7FD19" w14:textId="77777777" w:rsidTr="00D17BCA">
        <w:trPr>
          <w:trHeight w:val="748"/>
        </w:trPr>
        <w:tc>
          <w:tcPr>
            <w:tcW w:w="9558" w:type="dxa"/>
            <w:vAlign w:val="center"/>
          </w:tcPr>
          <w:p w14:paraId="75C378A3" w14:textId="77777777" w:rsidR="00C81A2A" w:rsidRPr="00312CDD" w:rsidRDefault="00C81A2A" w:rsidP="0001256C">
            <w:pPr>
              <w:numPr>
                <w:ilvl w:val="12"/>
                <w:numId w:val="0"/>
              </w:numPr>
              <w:jc w:val="both"/>
              <w:rPr>
                <w:b/>
                <w:highlight w:val="yellow"/>
                <w:u w:val="single"/>
              </w:rPr>
            </w:pPr>
            <w:r w:rsidRPr="0004475E">
              <w:rPr>
                <w:b/>
                <w:u w:val="single"/>
              </w:rPr>
              <w:t>Community Policing Enhancements</w:t>
            </w:r>
          </w:p>
        </w:tc>
      </w:tr>
      <w:tr w:rsidR="00C81A2A" w14:paraId="6F042ACD" w14:textId="77777777" w:rsidTr="00C524E3">
        <w:trPr>
          <w:trHeight w:val="980"/>
        </w:trPr>
        <w:tc>
          <w:tcPr>
            <w:tcW w:w="9558" w:type="dxa"/>
          </w:tcPr>
          <w:p w14:paraId="52B599E6" w14:textId="77777777" w:rsidR="00C81A2A" w:rsidRPr="0067770F" w:rsidRDefault="00C81A2A" w:rsidP="0001256C">
            <w:pPr>
              <w:numPr>
                <w:ilvl w:val="12"/>
                <w:numId w:val="0"/>
              </w:numPr>
              <w:jc w:val="both"/>
            </w:pPr>
            <w:r w:rsidRPr="0067770F">
              <w:t xml:space="preserve">In FY </w:t>
            </w:r>
            <w:r w:rsidR="00712C14">
              <w:t xml:space="preserve">2013 and </w:t>
            </w:r>
            <w:r w:rsidR="00337905" w:rsidRPr="0067770F">
              <w:t>201</w:t>
            </w:r>
            <w:r w:rsidR="00337905">
              <w:t>4</w:t>
            </w:r>
            <w:r w:rsidRPr="0067770F">
              <w:t>, the COPS Office</w:t>
            </w:r>
            <w:r w:rsidR="005D5504" w:rsidRPr="0067770F">
              <w:t xml:space="preserve"> </w:t>
            </w:r>
            <w:r w:rsidR="00337905">
              <w:t xml:space="preserve">will </w:t>
            </w:r>
            <w:r w:rsidR="005D5504" w:rsidRPr="0067770F">
              <w:t xml:space="preserve">continue </w:t>
            </w:r>
            <w:r w:rsidR="00337905">
              <w:t xml:space="preserve">to use </w:t>
            </w:r>
            <w:r w:rsidR="005D5504" w:rsidRPr="0067770F">
              <w:t xml:space="preserve">community policing enhancements </w:t>
            </w:r>
            <w:r w:rsidRPr="0067770F">
              <w:t xml:space="preserve">implemented </w:t>
            </w:r>
            <w:r w:rsidR="005D5504" w:rsidRPr="0067770F">
              <w:t>in FY 2011</w:t>
            </w:r>
            <w:r w:rsidR="00103E9C">
              <w:t xml:space="preserve"> and FY 2012</w:t>
            </w:r>
            <w:r w:rsidR="005D5504" w:rsidRPr="0067770F">
              <w:t xml:space="preserve">.  The enhancements were a part of </w:t>
            </w:r>
            <w:r w:rsidRPr="0067770F">
              <w:t xml:space="preserve">an office-wide initiative to </w:t>
            </w:r>
            <w:r w:rsidR="005D5504" w:rsidRPr="0067770F">
              <w:t>further</w:t>
            </w:r>
            <w:r w:rsidRPr="0067770F">
              <w:t xml:space="preserve"> integra</w:t>
            </w:r>
            <w:r w:rsidR="005D5504" w:rsidRPr="0067770F">
              <w:t>te</w:t>
            </w:r>
            <w:r w:rsidRPr="0067770F">
              <w:t xml:space="preserve"> community policing principles into our grant programs</w:t>
            </w:r>
            <w:r w:rsidR="005D5504" w:rsidRPr="0067770F">
              <w:t>.</w:t>
            </w:r>
            <w:r w:rsidRPr="0067770F">
              <w:t xml:space="preserve">  The initiative consists of </w:t>
            </w:r>
            <w:r w:rsidR="005D7F41">
              <w:t xml:space="preserve">enhancements </w:t>
            </w:r>
            <w:r w:rsidRPr="0067770F">
              <w:t xml:space="preserve">to COPS grant programs and knowledge resource management </w:t>
            </w:r>
            <w:r w:rsidR="00CE4EF8" w:rsidRPr="0067770F">
              <w:t xml:space="preserve">activities </w:t>
            </w:r>
            <w:r w:rsidRPr="0067770F">
              <w:t>in an effort to better meet our mission to “advance public safety through community policing</w:t>
            </w:r>
            <w:r w:rsidR="00CE4EF8" w:rsidRPr="0067770F">
              <w:t>.”</w:t>
            </w:r>
            <w:r w:rsidRPr="0067770F">
              <w:t xml:space="preserve">  In FY 201</w:t>
            </w:r>
            <w:r w:rsidR="00D53EB9" w:rsidRPr="0067770F">
              <w:t>2</w:t>
            </w:r>
            <w:r w:rsidRPr="0067770F">
              <w:t>, the COPS Office</w:t>
            </w:r>
            <w:r w:rsidR="002F36C5">
              <w:t xml:space="preserve"> accomplished the following, which we plan to continue in FY</w:t>
            </w:r>
            <w:r w:rsidR="00244DEB">
              <w:t xml:space="preserve"> 20</w:t>
            </w:r>
            <w:r w:rsidR="002F36C5">
              <w:t>13 and FY</w:t>
            </w:r>
            <w:r w:rsidR="00244DEB">
              <w:t xml:space="preserve"> 20</w:t>
            </w:r>
            <w:r w:rsidR="002F36C5">
              <w:t>14</w:t>
            </w:r>
            <w:r w:rsidRPr="0067770F">
              <w:t>:</w:t>
            </w:r>
          </w:p>
          <w:p w14:paraId="1BDDE306" w14:textId="77777777" w:rsidR="00C81A2A" w:rsidRPr="0067770F" w:rsidRDefault="00C81A2A" w:rsidP="0001256C">
            <w:pPr>
              <w:numPr>
                <w:ilvl w:val="12"/>
                <w:numId w:val="0"/>
              </w:numPr>
              <w:jc w:val="both"/>
            </w:pPr>
          </w:p>
          <w:p w14:paraId="2A5B282F" w14:textId="77777777" w:rsidR="00C81A2A" w:rsidRPr="0067770F" w:rsidRDefault="005D7F41" w:rsidP="0001256C">
            <w:pPr>
              <w:pStyle w:val="ListParagraph"/>
              <w:numPr>
                <w:ilvl w:val="0"/>
                <w:numId w:val="33"/>
              </w:numPr>
              <w:jc w:val="both"/>
            </w:pPr>
            <w:r>
              <w:t>Required</w:t>
            </w:r>
            <w:r w:rsidR="0067770F" w:rsidRPr="0067770F">
              <w:t xml:space="preserve"> </w:t>
            </w:r>
            <w:r w:rsidR="00C81A2A" w:rsidRPr="0067770F">
              <w:t xml:space="preserve">hiring grant applicants to complete a more comprehensive community policing plan that incorporates a problem solving component </w:t>
            </w:r>
            <w:r w:rsidR="00CE4EF8" w:rsidRPr="0067770F">
              <w:t>by asking</w:t>
            </w:r>
            <w:r w:rsidR="00C81A2A" w:rsidRPr="0067770F">
              <w:t xml:space="preserve"> applicants to specify crime issues that they will target with hiring funding;</w:t>
            </w:r>
          </w:p>
          <w:p w14:paraId="06216619" w14:textId="77777777" w:rsidR="00D53EB9" w:rsidRPr="00103E9C" w:rsidRDefault="00C950FF" w:rsidP="0001256C">
            <w:pPr>
              <w:pStyle w:val="ListParagraph"/>
              <w:numPr>
                <w:ilvl w:val="0"/>
                <w:numId w:val="33"/>
              </w:numPr>
              <w:autoSpaceDE w:val="0"/>
              <w:autoSpaceDN w:val="0"/>
              <w:adjustRightInd w:val="0"/>
              <w:jc w:val="both"/>
            </w:pPr>
            <w:r w:rsidRPr="00103E9C">
              <w:t xml:space="preserve">Implemented </w:t>
            </w:r>
            <w:r w:rsidR="00D53EB9" w:rsidRPr="00103E9C">
              <w:t>more detailed progress report community policing implementation questions across all COPS programs</w:t>
            </w:r>
            <w:r w:rsidR="005D7F41" w:rsidRPr="00103E9C">
              <w:t>;</w:t>
            </w:r>
            <w:r w:rsidR="00D53EB9" w:rsidRPr="00103E9C">
              <w:t xml:space="preserve"> </w:t>
            </w:r>
          </w:p>
          <w:p w14:paraId="4A568A73" w14:textId="77777777" w:rsidR="00C81A2A" w:rsidRPr="0067770F" w:rsidRDefault="00C950FF" w:rsidP="0001256C">
            <w:pPr>
              <w:pStyle w:val="ListParagraph"/>
              <w:numPr>
                <w:ilvl w:val="0"/>
                <w:numId w:val="33"/>
              </w:numPr>
              <w:jc w:val="both"/>
            </w:pPr>
            <w:r>
              <w:t>Implemented a</w:t>
            </w:r>
            <w:r w:rsidR="00C81A2A" w:rsidRPr="0067770F">
              <w:t xml:space="preserve"> COPS Office’s grant monitoring strategy </w:t>
            </w:r>
            <w:r w:rsidR="0067770F" w:rsidRPr="0067770F">
              <w:t>involving</w:t>
            </w:r>
            <w:r w:rsidR="00C81A2A" w:rsidRPr="0067770F">
              <w:t xml:space="preserve"> a more comprehensive review of the agency’s community policing efforts and </w:t>
            </w:r>
            <w:r w:rsidR="0067770F" w:rsidRPr="0067770F">
              <w:t xml:space="preserve">providing </w:t>
            </w:r>
            <w:r w:rsidR="00C81A2A" w:rsidRPr="0067770F">
              <w:t>additional on-site community policing technical assistance;</w:t>
            </w:r>
          </w:p>
          <w:p w14:paraId="750A2E8C" w14:textId="77777777" w:rsidR="00D53EB9" w:rsidRDefault="00C81A2A" w:rsidP="0001256C">
            <w:pPr>
              <w:pStyle w:val="ListParagraph"/>
              <w:numPr>
                <w:ilvl w:val="0"/>
                <w:numId w:val="33"/>
              </w:numPr>
              <w:jc w:val="both"/>
            </w:pPr>
            <w:r w:rsidRPr="0067770F">
              <w:t>Began using a standardized assessment tool to capture community policing progress within law enforcement agencies</w:t>
            </w:r>
            <w:r w:rsidR="00103E9C">
              <w:t xml:space="preserve">. </w:t>
            </w:r>
            <w:r w:rsidR="0001256C">
              <w:t xml:space="preserve"> </w:t>
            </w:r>
            <w:r w:rsidR="00D53EB9" w:rsidRPr="0067770F">
              <w:t>Further aligned training and knowledge resources with grant programs</w:t>
            </w:r>
            <w:r w:rsidR="00C950FF">
              <w:t xml:space="preserve">; </w:t>
            </w:r>
            <w:r w:rsidR="00D53EB9" w:rsidRPr="0067770F">
              <w:t xml:space="preserve"> </w:t>
            </w:r>
          </w:p>
          <w:p w14:paraId="22A8A9B9" w14:textId="77777777" w:rsidR="0001256C" w:rsidRPr="0067770F" w:rsidRDefault="0001256C" w:rsidP="0001256C">
            <w:pPr>
              <w:pStyle w:val="ListParagraph"/>
              <w:numPr>
                <w:ilvl w:val="0"/>
                <w:numId w:val="33"/>
              </w:numPr>
              <w:jc w:val="both"/>
            </w:pPr>
            <w:r w:rsidRPr="00712C14">
              <w:t>Contacted all FY 2012 grantees to provide information regarding grant requirements, guidance on completion of the assessment tool, and to offer technical assistance for the problem area specified in their 2012 application</w:t>
            </w:r>
            <w:r>
              <w:t>;</w:t>
            </w:r>
          </w:p>
          <w:p w14:paraId="3B83D13C" w14:textId="77777777" w:rsidR="009644D9" w:rsidRPr="00712C14" w:rsidRDefault="0067770F" w:rsidP="0001256C">
            <w:pPr>
              <w:pStyle w:val="ListParagraph"/>
              <w:numPr>
                <w:ilvl w:val="0"/>
                <w:numId w:val="33"/>
              </w:numPr>
              <w:jc w:val="both"/>
            </w:pPr>
            <w:r w:rsidRPr="00712C14">
              <w:t>Co</w:t>
            </w:r>
            <w:r w:rsidR="00C950FF" w:rsidRPr="00712C14">
              <w:t>mpleted</w:t>
            </w:r>
            <w:r w:rsidR="00C81A2A" w:rsidRPr="00712C14">
              <w:t xml:space="preserve"> compilation of a Community Policing Body of Knowledge that contains core community policing resources for the three elements of community policing: </w:t>
            </w:r>
            <w:r w:rsidR="00C81A2A" w:rsidRPr="0001256C">
              <w:rPr>
                <w:i/>
              </w:rPr>
              <w:t>community partnerships, organizational transformation</w:t>
            </w:r>
            <w:r w:rsidR="00C81A2A" w:rsidRPr="00712C14">
              <w:t xml:space="preserve"> and </w:t>
            </w:r>
            <w:r w:rsidR="00C81A2A" w:rsidRPr="0001256C">
              <w:rPr>
                <w:i/>
              </w:rPr>
              <w:t>problem-solving</w:t>
            </w:r>
            <w:r w:rsidR="0001256C">
              <w:t>;</w:t>
            </w:r>
            <w:r w:rsidR="007B7308" w:rsidRPr="00712C14">
              <w:t xml:space="preserve"> </w:t>
            </w:r>
          </w:p>
          <w:p w14:paraId="4AFEB906" w14:textId="77777777" w:rsidR="007B7308" w:rsidRDefault="007F1198" w:rsidP="0001256C">
            <w:pPr>
              <w:pStyle w:val="ListParagraph"/>
              <w:numPr>
                <w:ilvl w:val="0"/>
                <w:numId w:val="33"/>
              </w:numPr>
              <w:jc w:val="both"/>
            </w:pPr>
            <w:r>
              <w:t xml:space="preserve">Established the Community Policing Outreach Section, in which staff are dedicated to providing technical assistance on specific problems identified by the grantee, such as homicide issues.  </w:t>
            </w:r>
            <w:r w:rsidR="00160FC4" w:rsidRPr="00712C14">
              <w:t xml:space="preserve"> </w:t>
            </w:r>
          </w:p>
          <w:p w14:paraId="290CE6EF" w14:textId="77777777" w:rsidR="00C81A2A" w:rsidRPr="00103E9C" w:rsidRDefault="002E21F6" w:rsidP="00D50C6D">
            <w:pPr>
              <w:pStyle w:val="ListParagraph"/>
              <w:numPr>
                <w:ilvl w:val="0"/>
                <w:numId w:val="33"/>
              </w:numPr>
              <w:spacing w:after="200" w:line="276" w:lineRule="auto"/>
              <w:contextualSpacing/>
              <w:jc w:val="both"/>
            </w:pPr>
            <w:r>
              <w:t>Developed</w:t>
            </w:r>
            <w:r w:rsidR="005948A2">
              <w:t xml:space="preserve"> the Collaborative Reform Model to provide technical assistance to agencies on significant law enforcement related issues. </w:t>
            </w:r>
            <w:r>
              <w:t>The</w:t>
            </w:r>
            <w:r w:rsidR="005948A2">
              <w:t xml:space="preserve"> program can assist agencies in enhancing and improving their policies and procedures, their systems, and their culture</w:t>
            </w:r>
            <w:r w:rsidR="0047561C">
              <w:t>.</w:t>
            </w:r>
            <w:r>
              <w:t xml:space="preserve"> In FY 2012, the </w:t>
            </w:r>
            <w:r w:rsidR="005948A2">
              <w:t xml:space="preserve">COPS </w:t>
            </w:r>
            <w:r>
              <w:t xml:space="preserve">Office completed our </w:t>
            </w:r>
            <w:r w:rsidR="005948A2">
              <w:t xml:space="preserve">first initiative under this program. The </w:t>
            </w:r>
            <w:r w:rsidR="005948A2">
              <w:lastRenderedPageBreak/>
              <w:t>report</w:t>
            </w:r>
            <w:r w:rsidR="00185CD2">
              <w:t xml:space="preserve"> on this effort currently serves</w:t>
            </w:r>
            <w:r w:rsidR="00B829A0">
              <w:t xml:space="preserve"> </w:t>
            </w:r>
            <w:r w:rsidR="005948A2">
              <w:t xml:space="preserve">as an assessment tool for other agencies </w:t>
            </w:r>
            <w:r w:rsidR="00185CD2">
              <w:t xml:space="preserve">with similar issues that </w:t>
            </w:r>
            <w:r w:rsidR="005948A2">
              <w:t>wish to evaluate their own policies</w:t>
            </w:r>
            <w:r w:rsidR="00B829A0">
              <w:t>.</w:t>
            </w:r>
            <w:r w:rsidR="005948A2">
              <w:t xml:space="preserve"> </w:t>
            </w:r>
          </w:p>
        </w:tc>
      </w:tr>
    </w:tbl>
    <w:p w14:paraId="0DEADB5C" w14:textId="77777777" w:rsidR="00C81A2A" w:rsidRDefault="00C81A2A" w:rsidP="0001256C">
      <w:pPr>
        <w:numPr>
          <w:ilvl w:val="12"/>
          <w:numId w:val="0"/>
        </w:numPr>
        <w:jc w:val="both"/>
      </w:pPr>
    </w:p>
    <w:tbl>
      <w:tblPr>
        <w:tblStyle w:val="TableGrid"/>
        <w:tblW w:w="0" w:type="auto"/>
        <w:tblLook w:val="04A0" w:firstRow="1" w:lastRow="0" w:firstColumn="1" w:lastColumn="0" w:noHBand="0" w:noVBand="1"/>
      </w:tblPr>
      <w:tblGrid>
        <w:gridCol w:w="9350"/>
      </w:tblGrid>
      <w:tr w:rsidR="00C81A2A" w14:paraId="17821148" w14:textId="77777777" w:rsidTr="00D17BCA">
        <w:trPr>
          <w:trHeight w:val="638"/>
        </w:trPr>
        <w:tc>
          <w:tcPr>
            <w:tcW w:w="9558" w:type="dxa"/>
            <w:vAlign w:val="center"/>
          </w:tcPr>
          <w:p w14:paraId="05EE06A8" w14:textId="77777777" w:rsidR="00C81A2A" w:rsidRPr="00E30AE2" w:rsidRDefault="00C81A2A" w:rsidP="0001256C">
            <w:pPr>
              <w:numPr>
                <w:ilvl w:val="12"/>
                <w:numId w:val="0"/>
              </w:numPr>
              <w:jc w:val="both"/>
              <w:rPr>
                <w:b/>
                <w:u w:val="single"/>
              </w:rPr>
            </w:pPr>
            <w:r w:rsidRPr="00E30AE2">
              <w:rPr>
                <w:b/>
                <w:u w:val="single"/>
              </w:rPr>
              <w:t xml:space="preserve">COPS Business Process Improvement </w:t>
            </w:r>
          </w:p>
        </w:tc>
      </w:tr>
      <w:tr w:rsidR="00C81A2A" w14:paraId="60BFBEC8" w14:textId="77777777" w:rsidTr="00D17BCA">
        <w:tc>
          <w:tcPr>
            <w:tcW w:w="9558" w:type="dxa"/>
          </w:tcPr>
          <w:p w14:paraId="73DDBE1C" w14:textId="77777777" w:rsidR="00C81A2A" w:rsidRDefault="00C81A2A" w:rsidP="0001256C">
            <w:pPr>
              <w:numPr>
                <w:ilvl w:val="12"/>
                <w:numId w:val="0"/>
              </w:numPr>
              <w:jc w:val="both"/>
            </w:pPr>
            <w:r w:rsidRPr="0083511E">
              <w:t xml:space="preserve">The COPS Office </w:t>
            </w:r>
            <w:r w:rsidR="005D7F41">
              <w:t>remains committed</w:t>
            </w:r>
            <w:r w:rsidRPr="0083511E">
              <w:t xml:space="preserve"> to </w:t>
            </w:r>
            <w:r w:rsidR="005D7F41">
              <w:t>being</w:t>
            </w:r>
            <w:r w:rsidRPr="0083511E">
              <w:t xml:space="preserve"> a continuously improving organization that excels at meeting its mission and provid</w:t>
            </w:r>
            <w:r w:rsidR="005D7F41">
              <w:t>es</w:t>
            </w:r>
            <w:r w:rsidRPr="0083511E">
              <w:t xml:space="preserve"> excellent customer service.  </w:t>
            </w:r>
            <w:r w:rsidR="005D7943" w:rsidRPr="0083511E">
              <w:t xml:space="preserve">To address the challenges presented by the current economic environment, </w:t>
            </w:r>
            <w:r w:rsidR="005D7F41">
              <w:t xml:space="preserve">in FY 2012 </w:t>
            </w:r>
            <w:r w:rsidR="00210368">
              <w:t>the</w:t>
            </w:r>
            <w:r w:rsidR="005D7943" w:rsidRPr="0083511E">
              <w:t xml:space="preserve"> COPS Office </w:t>
            </w:r>
            <w:r w:rsidR="00185CD2">
              <w:t xml:space="preserve">engaged in additional </w:t>
            </w:r>
            <w:r w:rsidR="005D7F41">
              <w:t xml:space="preserve">business process analysis efforts </w:t>
            </w:r>
            <w:r w:rsidR="0083511E" w:rsidRPr="0083511E">
              <w:t>to identify and implement more efficient and effect</w:t>
            </w:r>
            <w:r w:rsidR="00FC1F3B">
              <w:t>ive</w:t>
            </w:r>
            <w:r w:rsidR="0083511E" w:rsidRPr="0083511E">
              <w:t xml:space="preserve"> practices within our</w:t>
            </w:r>
            <w:r w:rsidRPr="0083511E">
              <w:t xml:space="preserve"> grant management, knowledge resource management (i.e. publications, training and technical assistance, etc.), and administrative support functions.  </w:t>
            </w:r>
            <w:r w:rsidR="00C04D38">
              <w:t xml:space="preserve">In FY 2013, the COPS Office </w:t>
            </w:r>
            <w:r w:rsidR="00185CD2">
              <w:t xml:space="preserve">will </w:t>
            </w:r>
            <w:r w:rsidR="00C04D38">
              <w:t xml:space="preserve">continue to finalize and implement the recommendations </w:t>
            </w:r>
            <w:r w:rsidR="00185CD2">
              <w:t xml:space="preserve">from the business process analyses </w:t>
            </w:r>
            <w:r w:rsidR="00C04D38">
              <w:t xml:space="preserve">to ensure that we </w:t>
            </w:r>
            <w:r w:rsidR="00185CD2">
              <w:t>gain further efficiencies in our business</w:t>
            </w:r>
            <w:r w:rsidR="00C04D38">
              <w:t xml:space="preserve"> processes in FY 2013 and FY 2014.</w:t>
            </w:r>
          </w:p>
          <w:p w14:paraId="1CD338E7" w14:textId="77777777" w:rsidR="00155061" w:rsidRDefault="00155061" w:rsidP="0001256C">
            <w:pPr>
              <w:numPr>
                <w:ilvl w:val="12"/>
                <w:numId w:val="0"/>
              </w:numPr>
              <w:jc w:val="both"/>
            </w:pPr>
          </w:p>
          <w:p w14:paraId="6E3AABCA" w14:textId="77777777" w:rsidR="00E87549" w:rsidRDefault="00155061" w:rsidP="0001256C">
            <w:pPr>
              <w:jc w:val="both"/>
              <w:rPr>
                <w:color w:val="000000"/>
              </w:rPr>
            </w:pPr>
            <w:r>
              <w:t xml:space="preserve">In FY 2012, the COPS Grants Administration Division reorganized </w:t>
            </w:r>
            <w:r w:rsidRPr="00E87549">
              <w:rPr>
                <w:color w:val="000000"/>
              </w:rPr>
              <w:t>to better position the division to address new community policing, grant-making and grant management challenges and opportunities.</w:t>
            </w:r>
            <w:r w:rsidR="00D50C6D">
              <w:rPr>
                <w:color w:val="000000"/>
              </w:rPr>
              <w:t xml:space="preserve"> </w:t>
            </w:r>
            <w:r w:rsidR="00210368" w:rsidRPr="00E87549">
              <w:rPr>
                <w:color w:val="000000"/>
              </w:rPr>
              <w:t xml:space="preserve"> </w:t>
            </w:r>
            <w:r w:rsidR="00E87549">
              <w:rPr>
                <w:color w:val="000000"/>
              </w:rPr>
              <w:t>Anticipated outcomes of the new structure include</w:t>
            </w:r>
            <w:r w:rsidR="00E87549" w:rsidRPr="00E87549">
              <w:rPr>
                <w:color w:val="000000"/>
              </w:rPr>
              <w:t xml:space="preserve"> enhanced customer service to internal and external stakeholders, expanded cross-divisional cooperation on important agency initiatives, and the ability to better manage divisional workload.</w:t>
            </w:r>
          </w:p>
          <w:p w14:paraId="5BDD5539" w14:textId="77777777" w:rsidR="00E87549" w:rsidRDefault="00E87549" w:rsidP="0001256C">
            <w:pPr>
              <w:jc w:val="both"/>
              <w:rPr>
                <w:color w:val="000000"/>
              </w:rPr>
            </w:pPr>
          </w:p>
          <w:p w14:paraId="551B5AD3" w14:textId="77777777" w:rsidR="00E87549" w:rsidRDefault="00E87549" w:rsidP="0001256C">
            <w:pPr>
              <w:jc w:val="both"/>
              <w:rPr>
                <w:color w:val="000000"/>
              </w:rPr>
            </w:pPr>
            <w:r>
              <w:rPr>
                <w:color w:val="000000"/>
              </w:rPr>
              <w:t>The</w:t>
            </w:r>
            <w:r w:rsidR="00D50C6D">
              <w:rPr>
                <w:color w:val="000000"/>
              </w:rPr>
              <w:t xml:space="preserve"> COPS Office</w:t>
            </w:r>
            <w:r>
              <w:rPr>
                <w:color w:val="000000"/>
              </w:rPr>
              <w:t xml:space="preserve"> Management Services Directorate is also involved in a business process analysis effort </w:t>
            </w:r>
            <w:r w:rsidR="005A5732">
              <w:rPr>
                <w:color w:val="000000"/>
              </w:rPr>
              <w:t>to identify and address</w:t>
            </w:r>
            <w:r>
              <w:rPr>
                <w:color w:val="000000"/>
              </w:rPr>
              <w:t xml:space="preserve"> gaps in </w:t>
            </w:r>
            <w:r w:rsidR="005A5732">
              <w:rPr>
                <w:color w:val="000000"/>
              </w:rPr>
              <w:t xml:space="preserve">administrative </w:t>
            </w:r>
            <w:r>
              <w:rPr>
                <w:color w:val="000000"/>
              </w:rPr>
              <w:t xml:space="preserve">processes and procedures.  </w:t>
            </w:r>
            <w:r w:rsidR="00C23D34">
              <w:rPr>
                <w:color w:val="000000"/>
              </w:rPr>
              <w:t>These improved processes and procedures will create efficiencies</w:t>
            </w:r>
            <w:r w:rsidR="005A5732">
              <w:rPr>
                <w:color w:val="000000"/>
              </w:rPr>
              <w:t xml:space="preserve"> through standardized and repeatable activities</w:t>
            </w:r>
            <w:r w:rsidR="00C23D34">
              <w:rPr>
                <w:color w:val="000000"/>
              </w:rPr>
              <w:t>.</w:t>
            </w:r>
            <w:r w:rsidR="00563E5A">
              <w:rPr>
                <w:color w:val="000000"/>
              </w:rPr>
              <w:t xml:space="preserve">  These improved processes and procedures will also be aligned with organizational policies that are being updated </w:t>
            </w:r>
            <w:r w:rsidR="00991D49">
              <w:rPr>
                <w:color w:val="000000"/>
              </w:rPr>
              <w:t>and improved</w:t>
            </w:r>
            <w:r w:rsidR="004C219A">
              <w:rPr>
                <w:color w:val="000000"/>
              </w:rPr>
              <w:t>.</w:t>
            </w:r>
          </w:p>
          <w:p w14:paraId="157838CE" w14:textId="77777777" w:rsidR="00991D49" w:rsidRDefault="00991D49" w:rsidP="0001256C">
            <w:pPr>
              <w:jc w:val="both"/>
              <w:rPr>
                <w:color w:val="000000"/>
              </w:rPr>
            </w:pPr>
          </w:p>
          <w:p w14:paraId="4027FCBF" w14:textId="77777777" w:rsidR="00991D49" w:rsidRPr="00923240" w:rsidRDefault="00991D49" w:rsidP="0001256C">
            <w:pPr>
              <w:autoSpaceDE w:val="0"/>
              <w:autoSpaceDN w:val="0"/>
              <w:adjustRightInd w:val="0"/>
              <w:jc w:val="both"/>
            </w:pPr>
            <w:r w:rsidRPr="00991D49">
              <w:rPr>
                <w:color w:val="000000"/>
              </w:rPr>
              <w:t xml:space="preserve">In FY 2012, the COPS Office transitioned its IT networking, security, and office automation services to </w:t>
            </w:r>
            <w:r>
              <w:rPr>
                <w:color w:val="000000"/>
              </w:rPr>
              <w:t xml:space="preserve">a consolidated DOJ system.  The COPS Office anticipates an estimate of </w:t>
            </w:r>
            <w:r>
              <w:t>$5 million in savings through FY 2016</w:t>
            </w:r>
            <w:r w:rsidR="0029532D">
              <w:t>.  This strategy allows the COPS Office to focus its resources on information technology services and applications</w:t>
            </w:r>
            <w:r w:rsidR="00D50C6D">
              <w:t xml:space="preserve"> that are</w:t>
            </w:r>
            <w:r w:rsidR="0029532D">
              <w:t xml:space="preserve"> uniquely developed to help us achieve our mission.</w:t>
            </w:r>
          </w:p>
          <w:p w14:paraId="5917F0EB" w14:textId="77777777" w:rsidR="00155061" w:rsidRDefault="00155061" w:rsidP="0001256C">
            <w:pPr>
              <w:numPr>
                <w:ilvl w:val="12"/>
                <w:numId w:val="0"/>
              </w:numPr>
              <w:jc w:val="both"/>
            </w:pPr>
          </w:p>
          <w:p w14:paraId="068256CB" w14:textId="77777777" w:rsidR="009C1DCD" w:rsidRDefault="00B16C04" w:rsidP="0001256C">
            <w:pPr>
              <w:jc w:val="both"/>
            </w:pPr>
            <w:r>
              <w:t xml:space="preserve">In FY 2013, the COPS Office began implementation of </w:t>
            </w:r>
            <w:r w:rsidR="00712C14">
              <w:t>our</w:t>
            </w:r>
            <w:r>
              <w:t xml:space="preserve"> eRecords initiative as </w:t>
            </w:r>
            <w:r w:rsidR="009C1DCD">
              <w:t xml:space="preserve">a part of </w:t>
            </w:r>
            <w:r w:rsidR="00C95E51">
              <w:t xml:space="preserve">the </w:t>
            </w:r>
            <w:r w:rsidR="009C1DCD">
              <w:t xml:space="preserve">COPS </w:t>
            </w:r>
            <w:r w:rsidR="00C95E51">
              <w:t xml:space="preserve">Office’s </w:t>
            </w:r>
            <w:r w:rsidR="009C1DCD">
              <w:t>ongoing effort to streamline our grant</w:t>
            </w:r>
            <w:r w:rsidR="00D50C6D">
              <w:t>s</w:t>
            </w:r>
            <w:r w:rsidR="009C1DCD">
              <w:t xml:space="preserve"> administration functions</w:t>
            </w:r>
            <w:r>
              <w:t>.  The COPS Office</w:t>
            </w:r>
            <w:r w:rsidR="009C1DCD">
              <w:t xml:space="preserve"> leverage</w:t>
            </w:r>
            <w:r>
              <w:t>d</w:t>
            </w:r>
            <w:r w:rsidR="009C1DCD">
              <w:t xml:space="preserve"> one of our existing contract vehicles to scan, capture, and index our existing paper based grants management files in an electronic format.  These new converted electronic grant files will be searchable, 508 compliant, and accessible to new and existing COPS grants management applications.  Once </w:t>
            </w:r>
            <w:r>
              <w:t>implementation is completed</w:t>
            </w:r>
            <w:r w:rsidR="009C1DCD">
              <w:t xml:space="preserve">, the eRecords initiative will </w:t>
            </w:r>
            <w:r w:rsidR="00D50C6D">
              <w:t xml:space="preserve">further </w:t>
            </w:r>
            <w:r w:rsidR="009C1DCD">
              <w:t>streamline our grants management process</w:t>
            </w:r>
            <w:r>
              <w:t>es</w:t>
            </w:r>
            <w:r w:rsidR="009C1DCD">
              <w:t xml:space="preserve">. </w:t>
            </w:r>
          </w:p>
          <w:p w14:paraId="5148610B" w14:textId="77777777" w:rsidR="009C1DCD" w:rsidRDefault="009C1DCD" w:rsidP="0001256C">
            <w:pPr>
              <w:numPr>
                <w:ilvl w:val="12"/>
                <w:numId w:val="0"/>
              </w:numPr>
              <w:jc w:val="both"/>
            </w:pPr>
          </w:p>
        </w:tc>
      </w:tr>
    </w:tbl>
    <w:p w14:paraId="3706EC0D" w14:textId="77777777" w:rsidR="00C81A2A" w:rsidRDefault="00C81A2A" w:rsidP="0001256C">
      <w:pPr>
        <w:numPr>
          <w:ilvl w:val="12"/>
          <w:numId w:val="0"/>
        </w:numPr>
        <w:jc w:val="both"/>
      </w:pPr>
    </w:p>
    <w:p w14:paraId="1F9A900F" w14:textId="77777777" w:rsidR="00C524E3" w:rsidRDefault="00C524E3" w:rsidP="0001256C">
      <w:pPr>
        <w:numPr>
          <w:ilvl w:val="12"/>
          <w:numId w:val="0"/>
        </w:numPr>
        <w:jc w:val="both"/>
      </w:pPr>
    </w:p>
    <w:p w14:paraId="0795410E" w14:textId="77777777" w:rsidR="00C524E3" w:rsidRDefault="00C524E3" w:rsidP="0001256C">
      <w:pPr>
        <w:numPr>
          <w:ilvl w:val="12"/>
          <w:numId w:val="0"/>
        </w:numPr>
        <w:jc w:val="both"/>
      </w:pPr>
    </w:p>
    <w:p w14:paraId="03ED7302" w14:textId="77777777" w:rsidR="00C524E3" w:rsidRDefault="00C524E3" w:rsidP="0001256C">
      <w:pPr>
        <w:numPr>
          <w:ilvl w:val="12"/>
          <w:numId w:val="0"/>
        </w:numPr>
        <w:jc w:val="both"/>
      </w:pPr>
    </w:p>
    <w:tbl>
      <w:tblPr>
        <w:tblStyle w:val="TableGrid"/>
        <w:tblW w:w="0" w:type="auto"/>
        <w:tblLook w:val="04A0" w:firstRow="1" w:lastRow="0" w:firstColumn="1" w:lastColumn="0" w:noHBand="0" w:noVBand="1"/>
      </w:tblPr>
      <w:tblGrid>
        <w:gridCol w:w="9576"/>
      </w:tblGrid>
      <w:tr w:rsidR="006A2DB9" w:rsidRPr="00F03AB4" w14:paraId="0B43DD2A" w14:textId="77777777" w:rsidTr="005F63D4">
        <w:trPr>
          <w:cantSplit/>
          <w:trHeight w:val="602"/>
        </w:trPr>
        <w:tc>
          <w:tcPr>
            <w:tcW w:w="9576" w:type="dxa"/>
            <w:shd w:val="clear" w:color="auto" w:fill="auto"/>
            <w:vAlign w:val="center"/>
          </w:tcPr>
          <w:p w14:paraId="4761BAB0" w14:textId="77777777" w:rsidR="006A2DB9" w:rsidRPr="00F03AB4" w:rsidRDefault="006A2DB9" w:rsidP="0001256C">
            <w:pPr>
              <w:numPr>
                <w:ilvl w:val="12"/>
                <w:numId w:val="0"/>
              </w:numPr>
              <w:contextualSpacing/>
              <w:jc w:val="both"/>
              <w:rPr>
                <w:b/>
                <w:u w:val="single"/>
              </w:rPr>
            </w:pPr>
            <w:r w:rsidRPr="00F03AB4">
              <w:rPr>
                <w:b/>
                <w:u w:val="single"/>
              </w:rPr>
              <w:lastRenderedPageBreak/>
              <w:t>Evidence and Evaluation</w:t>
            </w:r>
          </w:p>
        </w:tc>
      </w:tr>
      <w:tr w:rsidR="006A2DB9" w:rsidRPr="00F03AB4" w14:paraId="4BEFE335" w14:textId="77777777" w:rsidTr="00C524E3">
        <w:trPr>
          <w:trHeight w:val="12860"/>
        </w:trPr>
        <w:tc>
          <w:tcPr>
            <w:tcW w:w="9576" w:type="dxa"/>
            <w:shd w:val="clear" w:color="auto" w:fill="auto"/>
          </w:tcPr>
          <w:p w14:paraId="458844F6" w14:textId="77777777" w:rsidR="006A2DB9" w:rsidRPr="00F03AB4" w:rsidRDefault="006A2DB9" w:rsidP="00C524E3">
            <w:pPr>
              <w:numPr>
                <w:ilvl w:val="12"/>
                <w:numId w:val="0"/>
              </w:numPr>
              <w:contextualSpacing/>
              <w:jc w:val="both"/>
            </w:pPr>
            <w:r w:rsidRPr="00F03AB4">
              <w:t xml:space="preserve">Pursuant to OMB Memorandum M-12-14, </w:t>
            </w:r>
            <w:r w:rsidRPr="00D50C6D">
              <w:rPr>
                <w:i/>
              </w:rPr>
              <w:t>Use of Evidence and Evaluation in the 2014 Budget</w:t>
            </w:r>
            <w:r w:rsidRPr="00D50C6D">
              <w:t>,</w:t>
            </w:r>
            <w:r w:rsidRPr="00F03AB4">
              <w:t xml:space="preserve"> the COPS Office strives to ensure that we execute evidence-based grant-making</w:t>
            </w:r>
            <w:r w:rsidR="00923651">
              <w:t xml:space="preserve"> strategies</w:t>
            </w:r>
            <w:r w:rsidRPr="00F03AB4">
              <w:t xml:space="preserve"> and promote public adoption of evidence-based practices in the law enforcement field:  </w:t>
            </w:r>
          </w:p>
          <w:p w14:paraId="17CA6DC2" w14:textId="77777777" w:rsidR="006A2DB9" w:rsidRPr="00F03AB4" w:rsidRDefault="006A2DB9" w:rsidP="00C524E3">
            <w:pPr>
              <w:numPr>
                <w:ilvl w:val="12"/>
                <w:numId w:val="0"/>
              </w:numPr>
              <w:contextualSpacing/>
              <w:jc w:val="both"/>
            </w:pPr>
          </w:p>
          <w:p w14:paraId="4BE15D87" w14:textId="77777777" w:rsidR="006A2DB9" w:rsidRPr="00F03AB4" w:rsidRDefault="006A2DB9" w:rsidP="00C524E3">
            <w:pPr>
              <w:numPr>
                <w:ilvl w:val="12"/>
                <w:numId w:val="0"/>
              </w:numPr>
              <w:contextualSpacing/>
              <w:jc w:val="both"/>
              <w:rPr>
                <w:b/>
              </w:rPr>
            </w:pPr>
            <w:r w:rsidRPr="00F03AB4">
              <w:rPr>
                <w:b/>
              </w:rPr>
              <w:t>FOCUS 1. BUILDING EVIDENCE OF WHAT IS WORKING AND WHAT IS NOT</w:t>
            </w:r>
          </w:p>
          <w:p w14:paraId="1FCDEAC6" w14:textId="77777777" w:rsidR="006A2DB9" w:rsidRPr="00F03AB4" w:rsidRDefault="006A2DB9" w:rsidP="00C524E3">
            <w:pPr>
              <w:numPr>
                <w:ilvl w:val="12"/>
                <w:numId w:val="0"/>
              </w:numPr>
              <w:contextualSpacing/>
              <w:jc w:val="both"/>
              <w:rPr>
                <w:b/>
                <w:u w:val="single"/>
              </w:rPr>
            </w:pPr>
          </w:p>
          <w:p w14:paraId="39B46288" w14:textId="77777777" w:rsidR="006A2DB9" w:rsidRDefault="00B16C04" w:rsidP="00C524E3">
            <w:pPr>
              <w:contextualSpacing/>
              <w:jc w:val="both"/>
            </w:pPr>
            <w:r>
              <w:rPr>
                <w:b/>
              </w:rPr>
              <w:t>New</w:t>
            </w:r>
            <w:r w:rsidR="006A2DB9" w:rsidRPr="00F03AB4">
              <w:rPr>
                <w:b/>
              </w:rPr>
              <w:t xml:space="preserve"> evaluations:  </w:t>
            </w:r>
            <w:r w:rsidR="006A2DB9">
              <w:t>T</w:t>
            </w:r>
            <w:r w:rsidR="006A2DB9" w:rsidRPr="001904C8">
              <w:t xml:space="preserve">he </w:t>
            </w:r>
            <w:r w:rsidR="006A2DB9">
              <w:t>Administration</w:t>
            </w:r>
            <w:r w:rsidR="006A2DB9" w:rsidRPr="001904C8">
              <w:t xml:space="preserve"> </w:t>
            </w:r>
            <w:r w:rsidR="006A2DB9">
              <w:t>has emphasized the</w:t>
            </w:r>
            <w:r w:rsidR="006A2DB9" w:rsidRPr="001904C8">
              <w:t xml:space="preserve"> need for improved research and evaluation methods with which to assess the impact of limited resources with a proposed 2% set-aside dedicated to increased research, evaluation and statistics in FY 2014.</w:t>
            </w:r>
            <w:r w:rsidR="006A2DB9">
              <w:t xml:space="preserve">  P</w:t>
            </w:r>
            <w:r w:rsidR="006A2DB9" w:rsidRPr="001904C8">
              <w:t xml:space="preserve">art of the 2% set-aside will be directed toward </w:t>
            </w:r>
            <w:r w:rsidR="006A2DB9">
              <w:t>studies</w:t>
            </w:r>
            <w:r w:rsidR="006A2DB9" w:rsidRPr="001904C8">
              <w:t xml:space="preserve"> to understand the impact of the federal investment in the COPS Office to effect positive change in policing practices and public safety at the community level</w:t>
            </w:r>
            <w:r w:rsidR="006A2DB9">
              <w:t>.</w:t>
            </w:r>
          </w:p>
          <w:p w14:paraId="5834C283" w14:textId="77777777" w:rsidR="006A2DB9" w:rsidRDefault="006A2DB9" w:rsidP="00C524E3">
            <w:pPr>
              <w:contextualSpacing/>
              <w:jc w:val="both"/>
            </w:pPr>
          </w:p>
          <w:p w14:paraId="7B1703E3" w14:textId="77777777" w:rsidR="006A2DB9" w:rsidRPr="00842122" w:rsidRDefault="006A2DB9" w:rsidP="00C524E3">
            <w:pPr>
              <w:contextualSpacing/>
              <w:jc w:val="both"/>
            </w:pPr>
            <w:r>
              <w:t>In part, t</w:t>
            </w:r>
            <w:r w:rsidRPr="001904C8">
              <w:t xml:space="preserve">his set-aside </w:t>
            </w:r>
            <w:r>
              <w:t xml:space="preserve">will allow for funding to evaluate </w:t>
            </w:r>
            <w:r w:rsidRPr="001904C8">
              <w:t xml:space="preserve">the extent to which </w:t>
            </w:r>
            <w:r>
              <w:t xml:space="preserve">any </w:t>
            </w:r>
            <w:r w:rsidRPr="001904C8">
              <w:t xml:space="preserve">COPS-funded </w:t>
            </w:r>
            <w:r>
              <w:t xml:space="preserve">Comprehensive School Safety Program (CSSP) achieves its goals of </w:t>
            </w:r>
            <w:r w:rsidRPr="001F6C08">
              <w:t xml:space="preserve">advancing </w:t>
            </w:r>
            <w:r w:rsidRPr="00842122">
              <w:t xml:space="preserve">holistic, integrated, and individually tailored safety and security </w:t>
            </w:r>
            <w:r>
              <w:t>efforts</w:t>
            </w:r>
            <w:r w:rsidRPr="00842122">
              <w:t xml:space="preserve"> for primary and secondary schools.  </w:t>
            </w:r>
            <w:r>
              <w:t>CSSP will fill gaps in local school safety and security activities through</w:t>
            </w:r>
            <w:r w:rsidR="00E0020C">
              <w:t xml:space="preserve"> the hiring of </w:t>
            </w:r>
            <w:r w:rsidR="005B50A4" w:rsidRPr="005B50A4">
              <w:t xml:space="preserve"> school safety personnel, including</w:t>
            </w:r>
            <w:r w:rsidR="005B50A4" w:rsidRPr="005B50A4">
              <w:rPr>
                <w:color w:val="1F497D"/>
              </w:rPr>
              <w:t xml:space="preserve"> </w:t>
            </w:r>
            <w:r w:rsidR="005B50A4" w:rsidRPr="005B50A4">
              <w:t>sworn school resource officers</w:t>
            </w:r>
            <w:r w:rsidR="00923651">
              <w:t xml:space="preserve"> (SROs)</w:t>
            </w:r>
            <w:r w:rsidR="005B50A4" w:rsidRPr="005B50A4">
              <w:t>,</w:t>
            </w:r>
            <w:r w:rsidR="005B50A4" w:rsidRPr="005B50A4">
              <w:rPr>
                <w:color w:val="1F497D"/>
              </w:rPr>
              <w:t xml:space="preserve"> </w:t>
            </w:r>
            <w:r w:rsidR="005B50A4" w:rsidRPr="005B50A4">
              <w:t>civilian public safety personnel, school counselors, school psychologists, other qualified psychologists, school social workers, and child and adolescent psychiatrists</w:t>
            </w:r>
            <w:r>
              <w:rPr>
                <w:color w:val="000000"/>
              </w:rPr>
              <w:t xml:space="preserve">; the </w:t>
            </w:r>
            <w:r>
              <w:t>purchasing of</w:t>
            </w:r>
            <w:r w:rsidRPr="00842122">
              <w:t xml:space="preserve"> school safety equipment; </w:t>
            </w:r>
            <w:r>
              <w:t xml:space="preserve">the </w:t>
            </w:r>
            <w:r w:rsidRPr="00842122">
              <w:t>develop</w:t>
            </w:r>
            <w:r>
              <w:t>ment and updating</w:t>
            </w:r>
            <w:r w:rsidRPr="00842122">
              <w:t xml:space="preserve"> </w:t>
            </w:r>
            <w:r w:rsidR="0047561C">
              <w:t xml:space="preserve">of </w:t>
            </w:r>
            <w:r w:rsidRPr="00842122">
              <w:t>public safety plans; conduct</w:t>
            </w:r>
            <w:r>
              <w:t>ing</w:t>
            </w:r>
            <w:r w:rsidRPr="00842122">
              <w:t xml:space="preserve"> threat assessments; and train</w:t>
            </w:r>
            <w:r>
              <w:t>ing</w:t>
            </w:r>
            <w:r w:rsidRPr="00842122">
              <w:t xml:space="preserve"> “crisis intervention teams” of law enforcement officers to work with the mental health community to respond to and assist students in crisis.</w:t>
            </w:r>
            <w:r>
              <w:t xml:space="preserve">  The effectiveness of this funding in promoting and advancing school safety and the relative impact that different school safety interventions have in schools will be assessed.  Evaluations will </w:t>
            </w:r>
            <w:r w:rsidRPr="001904C8">
              <w:t xml:space="preserve">focus on </w:t>
            </w:r>
            <w:r>
              <w:t xml:space="preserve">such things as </w:t>
            </w:r>
            <w:r w:rsidRPr="001904C8">
              <w:t xml:space="preserve">changes in school climate and </w:t>
            </w:r>
            <w:r>
              <w:t xml:space="preserve">overall </w:t>
            </w:r>
            <w:r w:rsidRPr="001904C8">
              <w:t>safety</w:t>
            </w:r>
            <w:r>
              <w:t xml:space="preserve"> and preparedness</w:t>
            </w:r>
            <w:r w:rsidRPr="001904C8">
              <w:t xml:space="preserve">, youth behavior and discipline outcomes (including numbers of arrests), </w:t>
            </w:r>
            <w:r>
              <w:t>and student and educator satisfaction and fear of crime</w:t>
            </w:r>
            <w:r w:rsidRPr="001904C8">
              <w:t>.</w:t>
            </w:r>
          </w:p>
          <w:p w14:paraId="3CFD15AC" w14:textId="77777777" w:rsidR="006A2DB9" w:rsidRDefault="006A2DB9" w:rsidP="00C524E3">
            <w:pPr>
              <w:contextualSpacing/>
              <w:jc w:val="both"/>
            </w:pPr>
          </w:p>
          <w:p w14:paraId="54354B37" w14:textId="77777777" w:rsidR="006A2DB9" w:rsidRDefault="006A2DB9" w:rsidP="00C524E3">
            <w:pPr>
              <w:contextualSpacing/>
              <w:jc w:val="both"/>
            </w:pPr>
            <w:r>
              <w:t xml:space="preserve">Funding will also enable the Office to specifically examine the role of </w:t>
            </w:r>
            <w:r w:rsidR="00923651">
              <w:t xml:space="preserve">school resource officers </w:t>
            </w:r>
            <w:r w:rsidR="00E0020C">
              <w:t xml:space="preserve">in </w:t>
            </w:r>
            <w:r w:rsidRPr="001F6C08">
              <w:t xml:space="preserve">positively </w:t>
            </w:r>
            <w:r w:rsidR="00E0020C" w:rsidRPr="001F6C08">
              <w:t>contribut</w:t>
            </w:r>
            <w:r w:rsidR="00E0020C">
              <w:t>ing</w:t>
            </w:r>
            <w:r w:rsidR="00E0020C" w:rsidRPr="001F6C08">
              <w:t xml:space="preserve"> </w:t>
            </w:r>
            <w:r w:rsidRPr="001F6C08">
              <w:t xml:space="preserve">to safety </w:t>
            </w:r>
            <w:r>
              <w:t xml:space="preserve">and security at primary and secondary schools. It will allow </w:t>
            </w:r>
            <w:r w:rsidR="00923651">
              <w:t xml:space="preserve">for </w:t>
            </w:r>
            <w:r>
              <w:t>an assessment of the effectiveness of SRO training programs and the effectiveness of SROs in their roles in preserving order and safety, as informal counselors/mentors and as educators.</w:t>
            </w:r>
            <w:r w:rsidR="00923651">
              <w:t xml:space="preserve">  To better understand the impact, there are several factors to consider, which could include</w:t>
            </w:r>
            <w:r w:rsidRPr="001904C8">
              <w:t xml:space="preserve"> a reduction in violent behavior by students; student engagement in safety practices; perceptions from parents of safety; assistance of the SRO in referring students to services; collaborating with school administration in reducing problems that are not law violations; etc.</w:t>
            </w:r>
            <w:r>
              <w:t xml:space="preserve">  </w:t>
            </w:r>
            <w:r w:rsidRPr="001904C8">
              <w:t xml:space="preserve">The </w:t>
            </w:r>
            <w:r>
              <w:t xml:space="preserve">CSSP </w:t>
            </w:r>
            <w:r w:rsidRPr="001904C8">
              <w:t>evaluation will be administered with assistance from the Department of Education’s Institute of Education Sciences.</w:t>
            </w:r>
          </w:p>
          <w:p w14:paraId="1B934DC1" w14:textId="77777777" w:rsidR="006A2DB9" w:rsidRPr="001904C8" w:rsidRDefault="006A2DB9" w:rsidP="00C524E3">
            <w:pPr>
              <w:contextualSpacing/>
              <w:jc w:val="both"/>
            </w:pPr>
          </w:p>
          <w:p w14:paraId="7D1AB79B" w14:textId="77777777" w:rsidR="006A2DB9" w:rsidRDefault="00E0020C" w:rsidP="00C524E3">
            <w:pPr>
              <w:contextualSpacing/>
              <w:jc w:val="both"/>
              <w:rPr>
                <w:rFonts w:asciiTheme="minorHAnsi" w:eastAsiaTheme="minorHAnsi" w:hAnsiTheme="minorHAnsi" w:cstheme="minorBidi"/>
                <w:iCs/>
              </w:rPr>
            </w:pPr>
            <w:r w:rsidRPr="006E3D79">
              <w:t xml:space="preserve">The 2% set-aside </w:t>
            </w:r>
            <w:r w:rsidR="006A2DB9" w:rsidRPr="006E3D79">
              <w:t>may also enable the Office to undertake a large scale examination of the overall impact of the federal</w:t>
            </w:r>
            <w:r w:rsidR="006A2DB9" w:rsidRPr="00F03AB4">
              <w:t xml:space="preserve"> investment </w:t>
            </w:r>
            <w:r w:rsidR="006A2DB9">
              <w:t>by</w:t>
            </w:r>
            <w:r w:rsidR="006A2DB9" w:rsidRPr="00F03AB4">
              <w:t xml:space="preserve"> the COPS Office to effect positive change in policing practice</w:t>
            </w:r>
            <w:r w:rsidR="006E3D79">
              <w:t>s</w:t>
            </w:r>
            <w:r w:rsidR="006A2DB9" w:rsidRPr="00F03AB4">
              <w:t xml:space="preserve"> and public saf</w:t>
            </w:r>
            <w:r w:rsidR="006A2DB9">
              <w:t>ety</w:t>
            </w:r>
            <w:r w:rsidR="006A2DB9" w:rsidRPr="00F03AB4">
              <w:t xml:space="preserve">. </w:t>
            </w:r>
            <w:r w:rsidR="006E3D79">
              <w:t xml:space="preserve"> </w:t>
            </w:r>
            <w:r w:rsidR="006A2DB9" w:rsidRPr="00F03AB4">
              <w:t xml:space="preserve">Outcomes of this evaluation </w:t>
            </w:r>
            <w:r w:rsidR="006A2DB9">
              <w:t>will</w:t>
            </w:r>
            <w:r w:rsidR="006A2DB9" w:rsidRPr="00F03AB4">
              <w:t xml:space="preserve"> examine</w:t>
            </w:r>
            <w:r w:rsidR="00341D32">
              <w:t xml:space="preserve"> whether</w:t>
            </w:r>
            <w:r w:rsidR="006A2DB9" w:rsidRPr="00F03AB4">
              <w:t xml:space="preserve"> COPS Office grant programs have increased the capacity of l</w:t>
            </w:r>
            <w:r w:rsidR="006E3D79">
              <w:t xml:space="preserve">aw enforcement agencies to: </w:t>
            </w:r>
            <w:r w:rsidR="006A2DB9" w:rsidRPr="00F03AB4">
              <w:t>implem</w:t>
            </w:r>
            <w:r w:rsidR="006E3D79">
              <w:t xml:space="preserve">ent community policing, and </w:t>
            </w:r>
            <w:r w:rsidR="006A2DB9" w:rsidRPr="00F03AB4">
              <w:t>reduce crime, disorder, and fear of crime.</w:t>
            </w:r>
            <w:r w:rsidR="006A2DB9">
              <w:t xml:space="preserve">  Although the Office has continued to fund smaller scale evaluations of more limited</w:t>
            </w:r>
            <w:r w:rsidR="006E3D79">
              <w:t xml:space="preserve"> scope, a comprehensive outcome-</w:t>
            </w:r>
            <w:r w:rsidR="006A2DB9">
              <w:t>focused evaluation of all COPS Office grant programs has not been conducted since the first national evaluation was completed in the year 2000.</w:t>
            </w:r>
            <w:r w:rsidR="006A2DB9" w:rsidRPr="00F03AB4">
              <w:t xml:space="preserve">  </w:t>
            </w:r>
          </w:p>
          <w:p w14:paraId="0502B4FE" w14:textId="77777777" w:rsidR="006A2DB9" w:rsidRPr="00F03AB4" w:rsidRDefault="006A2DB9" w:rsidP="00C524E3">
            <w:pPr>
              <w:contextualSpacing/>
              <w:jc w:val="both"/>
              <w:rPr>
                <w:b/>
              </w:rPr>
            </w:pPr>
          </w:p>
          <w:p w14:paraId="53E6152B" w14:textId="77777777" w:rsidR="006A2DB9" w:rsidRPr="00F03AB4" w:rsidRDefault="006A2DB9" w:rsidP="00C524E3">
            <w:pPr>
              <w:contextualSpacing/>
              <w:jc w:val="both"/>
            </w:pPr>
            <w:r w:rsidRPr="00F03AB4">
              <w:rPr>
                <w:b/>
              </w:rPr>
              <w:t xml:space="preserve">Changes in funding approaches to encourage evaluation: </w:t>
            </w:r>
          </w:p>
          <w:p w14:paraId="3CC6E27F" w14:textId="77777777" w:rsidR="006A2DB9" w:rsidRPr="00F03AB4" w:rsidRDefault="006A2DB9" w:rsidP="00C524E3">
            <w:pPr>
              <w:contextualSpacing/>
              <w:jc w:val="both"/>
            </w:pPr>
            <w:r w:rsidRPr="00F03AB4">
              <w:t>In FY 2012, the COPS Office awarded a small number of awards through Community Policing Development funding to local law enforcement agencies to provide seed funding to implement and test innovative community policing strategies.  These award</w:t>
            </w:r>
            <w:r w:rsidR="006E3D79">
              <w:t>ed agencie</w:t>
            </w:r>
            <w:r w:rsidRPr="00F03AB4">
              <w:t>s</w:t>
            </w:r>
            <w:r w:rsidR="006E3D79">
              <w:t xml:space="preserve"> are required</w:t>
            </w:r>
            <w:r w:rsidRPr="00F03AB4">
              <w:t xml:space="preserve"> to include an evaluation component to test program effectiveness.  The COPS Office proposes to continue this funding model in future innovative community policing programs aimed directly at local law enforcement agencies.</w:t>
            </w:r>
          </w:p>
          <w:p w14:paraId="34EBEDBE" w14:textId="77777777" w:rsidR="006A2DB9" w:rsidRPr="00F03AB4" w:rsidRDefault="006A2DB9" w:rsidP="0001256C">
            <w:pPr>
              <w:contextualSpacing/>
              <w:jc w:val="both"/>
              <w:rPr>
                <w:b/>
                <w:u w:val="single"/>
              </w:rPr>
            </w:pPr>
          </w:p>
          <w:p w14:paraId="5A0C5010" w14:textId="77777777" w:rsidR="006A2DB9" w:rsidRPr="00F03AB4" w:rsidRDefault="006A2DB9" w:rsidP="0001256C">
            <w:pPr>
              <w:contextualSpacing/>
              <w:jc w:val="both"/>
              <w:rPr>
                <w:b/>
              </w:rPr>
            </w:pPr>
            <w:r w:rsidRPr="00F03AB4">
              <w:rPr>
                <w:b/>
              </w:rPr>
              <w:t>FOCUS 2: ACTING ON EVIDENCE</w:t>
            </w:r>
          </w:p>
          <w:p w14:paraId="25685EF0" w14:textId="77777777" w:rsidR="006A2DB9" w:rsidRPr="00F03AB4" w:rsidRDefault="006A2DB9" w:rsidP="0001256C">
            <w:pPr>
              <w:ind w:left="720"/>
              <w:contextualSpacing/>
              <w:jc w:val="both"/>
              <w:rPr>
                <w:b/>
              </w:rPr>
            </w:pPr>
          </w:p>
          <w:p w14:paraId="300EF0F5" w14:textId="77777777" w:rsidR="006A2DB9" w:rsidRPr="00F03AB4" w:rsidRDefault="006A2DB9" w:rsidP="0001256C">
            <w:pPr>
              <w:contextualSpacing/>
              <w:jc w:val="both"/>
            </w:pPr>
            <w:r w:rsidRPr="00F03AB4">
              <w:rPr>
                <w:b/>
              </w:rPr>
              <w:t xml:space="preserve">Evidence-Based Grant-Making: </w:t>
            </w:r>
            <w:r w:rsidRPr="00F03AB4">
              <w:t xml:space="preserve">The COPS Office will continue using the funding methodology that we started in 2010 to further enhance our hiring grant program application.  Such changes have served to improve objectivity and evaluation-based community policing criteria.  Further, the COPS Office developed a standard set of measurable questions to indicate the extent of community policing activities an agency is currently engaged in and plans to engage in as they relate to specific public safety problems.  This methodology allows the COPS Office to compare the relative commitment to proven community policing concepts </w:t>
            </w:r>
            <w:r w:rsidR="006E3D79">
              <w:t>among</w:t>
            </w:r>
            <w:r w:rsidRPr="00F03AB4">
              <w:t xml:space="preserve"> grantee agencies.  </w:t>
            </w:r>
          </w:p>
          <w:p w14:paraId="483EC3B1" w14:textId="77777777" w:rsidR="006A2DB9" w:rsidRPr="00F03AB4" w:rsidRDefault="006A2DB9" w:rsidP="0001256C">
            <w:pPr>
              <w:ind w:left="720"/>
              <w:contextualSpacing/>
              <w:jc w:val="both"/>
              <w:rPr>
                <w:b/>
              </w:rPr>
            </w:pPr>
          </w:p>
          <w:p w14:paraId="2AE62B3A" w14:textId="77777777" w:rsidR="006A2DB9" w:rsidRPr="00F03AB4" w:rsidRDefault="006A2DB9" w:rsidP="0001256C">
            <w:pPr>
              <w:contextualSpacing/>
              <w:jc w:val="both"/>
            </w:pPr>
            <w:r w:rsidRPr="00F03AB4">
              <w:rPr>
                <w:b/>
              </w:rPr>
              <w:t xml:space="preserve">Promoting public adoption of what works:  </w:t>
            </w:r>
            <w:r w:rsidRPr="00F03AB4">
              <w:t>The COPS Office has numerous means by which we distribute information regarding what works in policing and public safety research, which we plan to continue in FY 2014.  The COPS Office has published and developed hundreds of publications, trainings, podcasts, CDs and other knowledge products that determine what works and promote</w:t>
            </w:r>
            <w:r w:rsidR="006E3D79">
              <w:t xml:space="preserve"> evidence-</w:t>
            </w:r>
            <w:r w:rsidRPr="00F03AB4">
              <w:t>based practices.  The COPS Office will seek to continue to develop and make such information</w:t>
            </w:r>
            <w:r w:rsidR="006E3D79">
              <w:t xml:space="preserve"> available</w:t>
            </w:r>
            <w:r w:rsidRPr="00F03AB4">
              <w:t xml:space="preserve"> for the law enforcement field.</w:t>
            </w:r>
            <w:r>
              <w:t xml:space="preserve">  </w:t>
            </w:r>
          </w:p>
          <w:p w14:paraId="5B152650" w14:textId="77777777" w:rsidR="006A2DB9" w:rsidRPr="00F03AB4" w:rsidRDefault="006A2DB9" w:rsidP="0001256C">
            <w:pPr>
              <w:ind w:left="720"/>
              <w:contextualSpacing/>
              <w:jc w:val="both"/>
            </w:pPr>
          </w:p>
          <w:p w14:paraId="556BA786" w14:textId="77777777" w:rsidR="006A2DB9" w:rsidRPr="00F03AB4" w:rsidRDefault="006A2DB9" w:rsidP="0001256C">
            <w:pPr>
              <w:contextualSpacing/>
              <w:jc w:val="both"/>
              <w:rPr>
                <w:b/>
              </w:rPr>
            </w:pPr>
            <w:r w:rsidRPr="00F03AB4">
              <w:rPr>
                <w:b/>
              </w:rPr>
              <w:t>FOCUS 3: BUILDING AGENCY CAPACITY</w:t>
            </w:r>
          </w:p>
          <w:p w14:paraId="1E069F11" w14:textId="77777777" w:rsidR="006A2DB9" w:rsidRPr="00F03AB4" w:rsidRDefault="006A2DB9" w:rsidP="0001256C">
            <w:pPr>
              <w:ind w:left="720"/>
              <w:contextualSpacing/>
              <w:jc w:val="both"/>
            </w:pPr>
          </w:p>
          <w:p w14:paraId="7F110B6A" w14:textId="77777777" w:rsidR="00C524E3" w:rsidRPr="00F03AB4" w:rsidRDefault="006A2DB9" w:rsidP="00C524E3">
            <w:pPr>
              <w:contextualSpacing/>
              <w:jc w:val="both"/>
              <w:rPr>
                <w:b/>
              </w:rPr>
            </w:pPr>
            <w:r>
              <w:t xml:space="preserve">The Office is examining the initial results of the Community Policing Self Assessment Tool (CP-SAT).  The CP-SAT </w:t>
            </w:r>
            <w:r w:rsidR="00506991">
              <w:t>is an on</w:t>
            </w:r>
            <w:r>
              <w:t>line survey instrument that is designed to be distributed to all members of law enforcement organizations.  It includes tailored survey questions for line-level officers, chiefs, supervisors, civilian employees and citizen partners.  All COPS Office hiring grantees since 2011 are required to complete the CP-SAT and distribute it to members of their organizations.  To date</w:t>
            </w:r>
            <w:r w:rsidR="006E3D79">
              <w:t>,</w:t>
            </w:r>
            <w:r>
              <w:t xml:space="preserve"> the COPS Office has received over 40,000 completed individual surveys from nearly 450 agencies.  The COPS Office is currently examining the results of these surveys to determine how community policing is being implemented in grantee organizations.  The results of this analysis will be used to inform program and product development across the Office, including informing funding decisions and how to best target training and technical assistance efforts.</w:t>
            </w:r>
          </w:p>
        </w:tc>
      </w:tr>
      <w:tr w:rsidR="00C81A2A" w14:paraId="211D4875" w14:textId="77777777" w:rsidTr="00D15035">
        <w:trPr>
          <w:trHeight w:val="665"/>
        </w:trPr>
        <w:tc>
          <w:tcPr>
            <w:tcW w:w="9576" w:type="dxa"/>
            <w:vAlign w:val="center"/>
          </w:tcPr>
          <w:p w14:paraId="4CEC5247" w14:textId="77777777" w:rsidR="00C81A2A" w:rsidRDefault="00C81A2A" w:rsidP="0001256C">
            <w:pPr>
              <w:pStyle w:val="xl27"/>
              <w:numPr>
                <w:ilvl w:val="12"/>
                <w:numId w:val="0"/>
              </w:numPr>
              <w:spacing w:before="0" w:after="0"/>
              <w:jc w:val="both"/>
              <w:rPr>
                <w:rFonts w:ascii="Times New Roman" w:hAnsi="Times New Roman"/>
                <w:szCs w:val="24"/>
                <w:u w:val="single"/>
              </w:rPr>
            </w:pPr>
            <w:r>
              <w:rPr>
                <w:rFonts w:ascii="Times New Roman" w:hAnsi="Times New Roman"/>
                <w:szCs w:val="24"/>
                <w:u w:val="single"/>
              </w:rPr>
              <w:lastRenderedPageBreak/>
              <w:t>COPS E-government Initiatives</w:t>
            </w:r>
          </w:p>
        </w:tc>
      </w:tr>
      <w:tr w:rsidR="00C81A2A" w14:paraId="02C6961F" w14:textId="77777777" w:rsidTr="00D15035">
        <w:tc>
          <w:tcPr>
            <w:tcW w:w="9576" w:type="dxa"/>
          </w:tcPr>
          <w:p w14:paraId="7B718219" w14:textId="77777777" w:rsidR="007C3B7D" w:rsidRDefault="007C3B7D" w:rsidP="0001256C">
            <w:pPr>
              <w:jc w:val="both"/>
            </w:pPr>
          </w:p>
          <w:p w14:paraId="4C98F1DE" w14:textId="77777777" w:rsidR="005F4B69" w:rsidRDefault="001F1A84" w:rsidP="0001256C">
            <w:pPr>
              <w:jc w:val="both"/>
            </w:pPr>
            <w:r w:rsidRPr="0095643F">
              <w:t xml:space="preserve">The </w:t>
            </w:r>
            <w:r w:rsidR="00895A88">
              <w:t>COPS Office continue</w:t>
            </w:r>
            <w:r w:rsidR="006E3D79">
              <w:t>s</w:t>
            </w:r>
            <w:r w:rsidR="00895A88">
              <w:t xml:space="preserve"> to make enhancements </w:t>
            </w:r>
            <w:r w:rsidR="00FC1F3B">
              <w:t xml:space="preserve">to </w:t>
            </w:r>
            <w:r w:rsidR="00C950FF">
              <w:t>our</w:t>
            </w:r>
            <w:r w:rsidR="00895A88">
              <w:t xml:space="preserve"> website.  The website, which is a resource used by law enforcement </w:t>
            </w:r>
            <w:r w:rsidR="007C3B7D">
              <w:t>professionals</w:t>
            </w:r>
            <w:r w:rsidR="00895A88">
              <w:t xml:space="preserve"> from every state in the country, is now easier to navigate and is fully up to date.  For example, state, local or tribal law enforcement officials are now able to quickly find out which grant programs are open for applications, and obtain application instructions and specific eligibility requirements.  The COPS website is also the grant application portal, providing access to online application forms.  </w:t>
            </w:r>
          </w:p>
          <w:p w14:paraId="2283A3FF" w14:textId="77777777" w:rsidR="005F4B69" w:rsidRDefault="005F4B69" w:rsidP="0001256C">
            <w:pPr>
              <w:jc w:val="both"/>
            </w:pPr>
          </w:p>
          <w:p w14:paraId="2F373904" w14:textId="77777777" w:rsidR="005E10EF" w:rsidRDefault="006E3D79" w:rsidP="0001256C">
            <w:pPr>
              <w:jc w:val="both"/>
            </w:pPr>
            <w:r>
              <w:t>The C</w:t>
            </w:r>
            <w:r w:rsidR="00C950FF">
              <w:t xml:space="preserve">OPS </w:t>
            </w:r>
            <w:r>
              <w:t xml:space="preserve">Office </w:t>
            </w:r>
            <w:r w:rsidR="00C950FF">
              <w:t>website is a clearing</w:t>
            </w:r>
            <w:r w:rsidR="005E10EF">
              <w:t>house of useful informat</w:t>
            </w:r>
            <w:r w:rsidR="007C3B7D">
              <w:t>ion.  It includes the COPS</w:t>
            </w:r>
            <w:r w:rsidR="005E10EF">
              <w:t xml:space="preserve"> Resource Center, where publications on a wide range of community policing topics from school and campus safety to gang violence can be ordered for free and are downloadable.  The Resource Center’s user-friendly publication search engine is used to make ordering or downloading these documents simple.</w:t>
            </w:r>
          </w:p>
          <w:p w14:paraId="74931DF3" w14:textId="77777777" w:rsidR="005E10EF" w:rsidRDefault="005E10EF" w:rsidP="0001256C">
            <w:pPr>
              <w:jc w:val="both"/>
            </w:pPr>
          </w:p>
          <w:p w14:paraId="4AF0E8C4" w14:textId="77777777" w:rsidR="001F1A84" w:rsidRDefault="005F4B69" w:rsidP="0001256C">
            <w:pPr>
              <w:jc w:val="both"/>
            </w:pPr>
            <w:r w:rsidRPr="009D2F6D">
              <w:t>The COPS Office continues to host its American Customer Satisfaction Index (ACSI) on its website to assist in targeting areas of improvement for better dissemination of information to the public.</w:t>
            </w:r>
            <w:r>
              <w:rPr>
                <w:b/>
              </w:rPr>
              <w:t xml:space="preserve">  </w:t>
            </w:r>
            <w:r w:rsidR="00E615EE">
              <w:t xml:space="preserve">The </w:t>
            </w:r>
            <w:r w:rsidR="00DA6D20">
              <w:t xml:space="preserve">2012 </w:t>
            </w:r>
            <w:r w:rsidR="00E615EE">
              <w:t xml:space="preserve">COPS </w:t>
            </w:r>
            <w:r>
              <w:t>ACSI</w:t>
            </w:r>
            <w:r w:rsidR="00E615EE">
              <w:t xml:space="preserve"> results indicate that grantees find</w:t>
            </w:r>
            <w:r w:rsidR="00C950FF">
              <w:t xml:space="preserve"> </w:t>
            </w:r>
            <w:r w:rsidR="00DF7FD3">
              <w:t>that the</w:t>
            </w:r>
            <w:r w:rsidR="00E615EE">
              <w:t xml:space="preserve"> ease of completing applications through the COPS online site has improved </w:t>
            </w:r>
            <w:r w:rsidR="00DA6D20">
              <w:t xml:space="preserve">each year </w:t>
            </w:r>
            <w:r w:rsidR="00E615EE">
              <w:t xml:space="preserve">since the 2010 </w:t>
            </w:r>
            <w:r w:rsidR="00160FC4">
              <w:t>re-launch</w:t>
            </w:r>
            <w:r w:rsidR="00194A22">
              <w:t xml:space="preserve"> of the website</w:t>
            </w:r>
            <w:r w:rsidR="00E615EE">
              <w:t xml:space="preserve">. The results also show that </w:t>
            </w:r>
            <w:r w:rsidR="00194A22">
              <w:t>most grantees</w:t>
            </w:r>
            <w:r w:rsidR="00E615EE">
              <w:t xml:space="preserve"> are able to complete online reporting requirements</w:t>
            </w:r>
            <w:r>
              <w:t>.</w:t>
            </w:r>
            <w:r w:rsidR="005E10EF">
              <w:t xml:space="preserve"> Additionally, g</w:t>
            </w:r>
            <w:r w:rsidR="00E615EE">
              <w:t xml:space="preserve">rantees are highly satisfied with the </w:t>
            </w:r>
            <w:r w:rsidR="0095643F">
              <w:t>online</w:t>
            </w:r>
            <w:r w:rsidR="001F1A84">
              <w:t xml:space="preserve"> Resource Information Center experience</w:t>
            </w:r>
            <w:r w:rsidR="00E615EE">
              <w:t xml:space="preserve">, rating their experience a </w:t>
            </w:r>
            <w:r w:rsidR="00DA6D20">
              <w:t xml:space="preserve">91 </w:t>
            </w:r>
            <w:r w:rsidR="0095643F">
              <w:t xml:space="preserve">on a </w:t>
            </w:r>
            <w:r w:rsidR="00522D2B">
              <w:t>zero</w:t>
            </w:r>
            <w:r w:rsidR="0095643F">
              <w:t xml:space="preserve"> to 100 point scale.</w:t>
            </w:r>
            <w:r w:rsidR="001F1A84">
              <w:t xml:space="preserve"> </w:t>
            </w:r>
          </w:p>
          <w:p w14:paraId="171E79DA" w14:textId="77777777" w:rsidR="00895A88" w:rsidRPr="007C3B7D" w:rsidRDefault="00895A88" w:rsidP="0001256C">
            <w:pPr>
              <w:pStyle w:val="xl27"/>
              <w:numPr>
                <w:ilvl w:val="12"/>
                <w:numId w:val="0"/>
              </w:numPr>
              <w:spacing w:before="0" w:after="0"/>
              <w:jc w:val="both"/>
              <w:rPr>
                <w:rFonts w:ascii="Times New Roman" w:eastAsia="Times New Roman" w:hAnsi="Times New Roman"/>
                <w:b w:val="0"/>
                <w:szCs w:val="24"/>
              </w:rPr>
            </w:pPr>
          </w:p>
          <w:p w14:paraId="07356116" w14:textId="77777777" w:rsidR="00C81A2A" w:rsidRPr="00E04806" w:rsidRDefault="00C81A2A" w:rsidP="0001256C">
            <w:pPr>
              <w:pStyle w:val="xl27"/>
              <w:numPr>
                <w:ilvl w:val="12"/>
                <w:numId w:val="0"/>
              </w:numPr>
              <w:spacing w:before="0" w:after="0"/>
              <w:jc w:val="both"/>
            </w:pPr>
            <w:r w:rsidRPr="007C3B7D">
              <w:rPr>
                <w:rFonts w:ascii="Times New Roman" w:eastAsia="Times New Roman" w:hAnsi="Times New Roman"/>
                <w:b w:val="0"/>
                <w:szCs w:val="24"/>
              </w:rPr>
              <w:t>In FY 201</w:t>
            </w:r>
            <w:r w:rsidR="00312CDD" w:rsidRPr="007C3B7D">
              <w:rPr>
                <w:rFonts w:ascii="Times New Roman" w:eastAsia="Times New Roman" w:hAnsi="Times New Roman"/>
                <w:b w:val="0"/>
                <w:szCs w:val="24"/>
              </w:rPr>
              <w:t>2, the COPS Office continued</w:t>
            </w:r>
            <w:r w:rsidRPr="007C3B7D">
              <w:rPr>
                <w:rFonts w:ascii="Times New Roman" w:eastAsia="Times New Roman" w:hAnsi="Times New Roman"/>
                <w:b w:val="0"/>
                <w:szCs w:val="24"/>
              </w:rPr>
              <w:t xml:space="preserve"> </w:t>
            </w:r>
            <w:r w:rsidR="007C3B7D" w:rsidRPr="007C3B7D">
              <w:rPr>
                <w:rFonts w:ascii="Times New Roman" w:eastAsia="Times New Roman" w:hAnsi="Times New Roman"/>
                <w:b w:val="0"/>
                <w:szCs w:val="24"/>
              </w:rPr>
              <w:t xml:space="preserve">the </w:t>
            </w:r>
            <w:r w:rsidRPr="007C3B7D">
              <w:rPr>
                <w:rFonts w:ascii="Times New Roman" w:eastAsia="Times New Roman" w:hAnsi="Times New Roman"/>
                <w:b w:val="0"/>
                <w:szCs w:val="24"/>
              </w:rPr>
              <w:t xml:space="preserve">conversion of pre-existing online courses to a new platform for </w:t>
            </w:r>
            <w:r w:rsidR="00D15035" w:rsidRPr="007C3B7D">
              <w:rPr>
                <w:rFonts w:ascii="Times New Roman" w:eastAsia="Times New Roman" w:hAnsi="Times New Roman"/>
                <w:b w:val="0"/>
                <w:szCs w:val="24"/>
              </w:rPr>
              <w:t xml:space="preserve">incorporation in </w:t>
            </w:r>
            <w:r w:rsidRPr="007C3B7D">
              <w:rPr>
                <w:rFonts w:ascii="Times New Roman" w:eastAsia="Times New Roman" w:hAnsi="Times New Roman"/>
                <w:b w:val="0"/>
                <w:szCs w:val="24"/>
              </w:rPr>
              <w:t>the</w:t>
            </w:r>
            <w:r w:rsidR="007C3B7D">
              <w:rPr>
                <w:rFonts w:ascii="Times New Roman" w:eastAsia="Times New Roman" w:hAnsi="Times New Roman"/>
                <w:b w:val="0"/>
                <w:szCs w:val="24"/>
              </w:rPr>
              <w:t xml:space="preserve"> web-based</w:t>
            </w:r>
            <w:r w:rsidRPr="007C3B7D">
              <w:rPr>
                <w:rFonts w:ascii="Times New Roman" w:eastAsia="Times New Roman" w:hAnsi="Times New Roman"/>
                <w:b w:val="0"/>
                <w:szCs w:val="24"/>
              </w:rPr>
              <w:t xml:space="preserve"> COPS Community Policing</w:t>
            </w:r>
            <w:r w:rsidRPr="00312CDD">
              <w:rPr>
                <w:rFonts w:ascii="Times New Roman" w:hAnsi="Times New Roman"/>
                <w:b w:val="0"/>
              </w:rPr>
              <w:t xml:space="preserve"> Portal.  The</w:t>
            </w:r>
            <w:r w:rsidR="007C3B7D">
              <w:rPr>
                <w:rFonts w:ascii="Times New Roman" w:hAnsi="Times New Roman"/>
                <w:b w:val="0"/>
              </w:rPr>
              <w:t xml:space="preserve"> web-based</w:t>
            </w:r>
            <w:r w:rsidRPr="00312CDD">
              <w:rPr>
                <w:rFonts w:ascii="Times New Roman" w:hAnsi="Times New Roman"/>
                <w:b w:val="0"/>
              </w:rPr>
              <w:t xml:space="preserve"> Community Policing </w:t>
            </w:r>
            <w:r w:rsidR="00BC387D">
              <w:rPr>
                <w:rFonts w:ascii="Times New Roman" w:hAnsi="Times New Roman"/>
                <w:b w:val="0"/>
              </w:rPr>
              <w:t>Learning Portal is intended</w:t>
            </w:r>
            <w:r w:rsidRPr="00312CDD">
              <w:rPr>
                <w:rFonts w:ascii="Times New Roman" w:hAnsi="Times New Roman"/>
                <w:b w:val="0"/>
              </w:rPr>
              <w:t xml:space="preserve"> to reinvigorate </w:t>
            </w:r>
            <w:r w:rsidR="00060702" w:rsidRPr="00312CDD">
              <w:rPr>
                <w:rFonts w:ascii="Times New Roman" w:hAnsi="Times New Roman"/>
                <w:b w:val="0"/>
              </w:rPr>
              <w:t xml:space="preserve">COPS </w:t>
            </w:r>
            <w:r w:rsidRPr="00312CDD">
              <w:rPr>
                <w:rFonts w:ascii="Times New Roman" w:hAnsi="Times New Roman"/>
                <w:b w:val="0"/>
              </w:rPr>
              <w:t xml:space="preserve">resources and create an online one-stop shop for community policing </w:t>
            </w:r>
            <w:r w:rsidR="007C3B7D">
              <w:rPr>
                <w:rFonts w:ascii="Times New Roman" w:hAnsi="Times New Roman"/>
                <w:b w:val="0"/>
              </w:rPr>
              <w:t>training. This</w:t>
            </w:r>
            <w:r w:rsidRPr="00312CDD">
              <w:rPr>
                <w:rFonts w:ascii="Times New Roman" w:hAnsi="Times New Roman"/>
                <w:b w:val="0"/>
              </w:rPr>
              <w:t xml:space="preserve"> portal will serve as the initial access point for commu</w:t>
            </w:r>
            <w:r w:rsidR="007C3B7D">
              <w:rPr>
                <w:rFonts w:ascii="Times New Roman" w:hAnsi="Times New Roman"/>
                <w:b w:val="0"/>
              </w:rPr>
              <w:t>nity policing online training</w:t>
            </w:r>
            <w:r w:rsidRPr="00312CDD">
              <w:rPr>
                <w:rFonts w:ascii="Times New Roman" w:hAnsi="Times New Roman"/>
                <w:b w:val="0"/>
              </w:rPr>
              <w:t>.</w:t>
            </w:r>
            <w:r w:rsidRPr="00E04806">
              <w:t xml:space="preserve"> </w:t>
            </w:r>
          </w:p>
          <w:p w14:paraId="25DA4802" w14:textId="77777777" w:rsidR="00C81A2A" w:rsidRPr="00E04806" w:rsidRDefault="00C81A2A" w:rsidP="0001256C">
            <w:pPr>
              <w:jc w:val="both"/>
            </w:pPr>
          </w:p>
          <w:p w14:paraId="42094559" w14:textId="77777777" w:rsidR="00C81A2A" w:rsidRDefault="00C81A2A" w:rsidP="0001256C">
            <w:pPr>
              <w:tabs>
                <w:tab w:val="left" w:pos="0"/>
                <w:tab w:val="left" w:pos="1584"/>
                <w:tab w:val="left" w:pos="5760"/>
                <w:tab w:val="left" w:pos="6480"/>
                <w:tab w:val="left" w:pos="7200"/>
                <w:tab w:val="left" w:pos="7920"/>
                <w:tab w:val="left" w:pos="8640"/>
                <w:tab w:val="left" w:pos="9360"/>
              </w:tabs>
              <w:spacing w:line="216" w:lineRule="auto"/>
              <w:jc w:val="both"/>
            </w:pPr>
            <w:r w:rsidRPr="00E808F2">
              <w:t xml:space="preserve">The </w:t>
            </w:r>
            <w:r w:rsidR="007C3B7D">
              <w:t xml:space="preserve">web-based </w:t>
            </w:r>
            <w:r w:rsidRPr="00E808F2">
              <w:t>Community Policing Learning Portal</w:t>
            </w:r>
            <w:r w:rsidR="007C3B7D">
              <w:t xml:space="preserve"> </w:t>
            </w:r>
            <w:r w:rsidRPr="00E808F2">
              <w:t>i</w:t>
            </w:r>
            <w:r w:rsidR="006E3D79">
              <w:t>s designed to</w:t>
            </w:r>
            <w:r w:rsidRPr="00E808F2">
              <w:t>:</w:t>
            </w:r>
          </w:p>
          <w:p w14:paraId="78B65240" w14:textId="77777777" w:rsidR="00060702" w:rsidRPr="00E808F2" w:rsidRDefault="00060702" w:rsidP="0001256C">
            <w:pPr>
              <w:tabs>
                <w:tab w:val="left" w:pos="0"/>
                <w:tab w:val="left" w:pos="1584"/>
                <w:tab w:val="left" w:pos="5760"/>
                <w:tab w:val="left" w:pos="6480"/>
                <w:tab w:val="left" w:pos="7200"/>
                <w:tab w:val="left" w:pos="7920"/>
                <w:tab w:val="left" w:pos="8640"/>
                <w:tab w:val="left" w:pos="9360"/>
              </w:tabs>
              <w:spacing w:line="216" w:lineRule="auto"/>
              <w:jc w:val="both"/>
            </w:pPr>
          </w:p>
          <w:p w14:paraId="057E692D" w14:textId="77777777" w:rsidR="00C81A2A" w:rsidRPr="00E04806" w:rsidRDefault="00C81A2A" w:rsidP="0001256C">
            <w:pPr>
              <w:pStyle w:val="ListParagraph"/>
              <w:numPr>
                <w:ilvl w:val="0"/>
                <w:numId w:val="32"/>
              </w:numPr>
              <w:tabs>
                <w:tab w:val="left" w:pos="0"/>
                <w:tab w:val="left" w:pos="1584"/>
                <w:tab w:val="left" w:pos="5760"/>
                <w:tab w:val="left" w:pos="6480"/>
                <w:tab w:val="left" w:pos="7200"/>
                <w:tab w:val="left" w:pos="7920"/>
                <w:tab w:val="left" w:pos="8640"/>
                <w:tab w:val="left" w:pos="9360"/>
              </w:tabs>
              <w:spacing w:line="216" w:lineRule="auto"/>
              <w:contextualSpacing/>
              <w:jc w:val="both"/>
            </w:pPr>
            <w:r w:rsidRPr="00E04806">
              <w:t>Educate and inform law enforcement practi</w:t>
            </w:r>
            <w:r w:rsidR="0058109D">
              <w:t xml:space="preserve">tioners, instructors, citizens </w:t>
            </w:r>
            <w:r w:rsidRPr="00E04806">
              <w:t>and COPS Office grantees who currently lack easy access</w:t>
            </w:r>
            <w:r w:rsidR="00E143C8">
              <w:t xml:space="preserve"> to community policing training</w:t>
            </w:r>
            <w:r w:rsidRPr="00E04806">
              <w:t>;</w:t>
            </w:r>
          </w:p>
          <w:p w14:paraId="5D9583A4" w14:textId="77777777" w:rsidR="00C81A2A" w:rsidRPr="00E04806" w:rsidRDefault="00C81A2A" w:rsidP="0001256C">
            <w:pPr>
              <w:pStyle w:val="ListParagraph"/>
              <w:numPr>
                <w:ilvl w:val="0"/>
                <w:numId w:val="32"/>
              </w:numPr>
              <w:tabs>
                <w:tab w:val="left" w:pos="0"/>
                <w:tab w:val="left" w:pos="1584"/>
                <w:tab w:val="left" w:pos="5760"/>
                <w:tab w:val="left" w:pos="6480"/>
                <w:tab w:val="left" w:pos="7200"/>
                <w:tab w:val="left" w:pos="7920"/>
                <w:tab w:val="left" w:pos="8640"/>
                <w:tab w:val="left" w:pos="9360"/>
              </w:tabs>
              <w:spacing w:line="216" w:lineRule="auto"/>
              <w:contextualSpacing/>
              <w:jc w:val="both"/>
            </w:pPr>
            <w:r w:rsidRPr="00E04806">
              <w:t xml:space="preserve">Fill a gap in existing knowledge and availability of information, thereby increasing the capacity for law enforcement agencies and communities to embrace the philosophy of community policing and put its tenets into practice; and  </w:t>
            </w:r>
          </w:p>
          <w:p w14:paraId="4BE80F6E" w14:textId="77777777" w:rsidR="00C81A2A" w:rsidRPr="00E04806" w:rsidRDefault="00C81A2A" w:rsidP="0001256C">
            <w:pPr>
              <w:pStyle w:val="ListParagraph"/>
              <w:numPr>
                <w:ilvl w:val="0"/>
                <w:numId w:val="32"/>
              </w:numPr>
              <w:tabs>
                <w:tab w:val="left" w:pos="0"/>
                <w:tab w:val="left" w:pos="1584"/>
                <w:tab w:val="left" w:pos="5760"/>
                <w:tab w:val="left" w:pos="6480"/>
                <w:tab w:val="left" w:pos="7200"/>
                <w:tab w:val="left" w:pos="7920"/>
                <w:tab w:val="left" w:pos="8640"/>
                <w:tab w:val="left" w:pos="9360"/>
              </w:tabs>
              <w:spacing w:line="216" w:lineRule="auto"/>
              <w:contextualSpacing/>
              <w:jc w:val="both"/>
            </w:pPr>
            <w:r w:rsidRPr="00E04806">
              <w:t>Improve participants’ knowledge and skills in community policing within th</w:t>
            </w:r>
            <w:r w:rsidR="00AB6B6E">
              <w:t>e context of an overall problem-</w:t>
            </w:r>
            <w:r w:rsidRPr="00E04806">
              <w:t xml:space="preserve">based learning delivery system that facilitates collaboration and communication with others in the field on topics of shared interest. </w:t>
            </w:r>
          </w:p>
          <w:p w14:paraId="20A4DB89" w14:textId="77777777" w:rsidR="00C81A2A" w:rsidRPr="00E04806" w:rsidRDefault="00C81A2A" w:rsidP="0001256C">
            <w:pPr>
              <w:tabs>
                <w:tab w:val="left" w:pos="0"/>
                <w:tab w:val="left" w:pos="1584"/>
                <w:tab w:val="left" w:pos="5760"/>
                <w:tab w:val="left" w:pos="6480"/>
                <w:tab w:val="left" w:pos="7200"/>
                <w:tab w:val="left" w:pos="7920"/>
                <w:tab w:val="left" w:pos="8640"/>
                <w:tab w:val="left" w:pos="9360"/>
              </w:tabs>
              <w:spacing w:line="216" w:lineRule="auto"/>
              <w:jc w:val="both"/>
            </w:pPr>
          </w:p>
          <w:p w14:paraId="6F86D1CF" w14:textId="77777777" w:rsidR="00D3171F" w:rsidRDefault="006E3D79" w:rsidP="0001256C">
            <w:pPr>
              <w:pStyle w:val="NormalWeb"/>
              <w:spacing w:before="0" w:beforeAutospacing="0" w:after="0" w:afterAutospacing="0"/>
              <w:contextualSpacing/>
              <w:jc w:val="both"/>
            </w:pPr>
            <w:r>
              <w:t>In February 2013,</w:t>
            </w:r>
            <w:r w:rsidR="00D3171F">
              <w:t xml:space="preserve"> the </w:t>
            </w:r>
            <w:r w:rsidR="00E143C8">
              <w:t xml:space="preserve">web-based </w:t>
            </w:r>
            <w:r w:rsidR="00D3171F">
              <w:t xml:space="preserve">COPS Learning Portal </w:t>
            </w:r>
            <w:r w:rsidR="00E143C8">
              <w:t>became</w:t>
            </w:r>
            <w:r w:rsidR="00D3171F">
              <w:t xml:space="preserve"> available to COPS grantees, law enforcement agencies and citizens. The</w:t>
            </w:r>
            <w:r w:rsidR="00D3171F" w:rsidRPr="00815933">
              <w:t xml:space="preserve"> </w:t>
            </w:r>
            <w:r w:rsidR="00E143C8">
              <w:t xml:space="preserve">web-based </w:t>
            </w:r>
            <w:r w:rsidR="00D3171F" w:rsidRPr="00815933">
              <w:t xml:space="preserve">COPS Community Policing </w:t>
            </w:r>
            <w:r w:rsidR="00D3171F">
              <w:t>Learning</w:t>
            </w:r>
            <w:r w:rsidR="00D3171F" w:rsidRPr="00815933">
              <w:t xml:space="preserve"> Portal showcase</w:t>
            </w:r>
            <w:r>
              <w:t>s</w:t>
            </w:r>
            <w:r w:rsidR="00D3171F" w:rsidRPr="00815933">
              <w:t xml:space="preserve"> </w:t>
            </w:r>
            <w:r w:rsidR="00D3171F">
              <w:t>four</w:t>
            </w:r>
            <w:r w:rsidR="00D3171F" w:rsidRPr="00815933">
              <w:t xml:space="preserve"> learning portals: </w:t>
            </w:r>
            <w:r w:rsidR="00E143C8">
              <w:rPr>
                <w:bCs/>
              </w:rPr>
              <w:t>COPS gr</w:t>
            </w:r>
            <w:r w:rsidR="00D3171F" w:rsidRPr="00815933">
              <w:rPr>
                <w:bCs/>
              </w:rPr>
              <w:t>antee</w:t>
            </w:r>
            <w:r w:rsidR="00E143C8">
              <w:rPr>
                <w:bCs/>
              </w:rPr>
              <w:t>s</w:t>
            </w:r>
            <w:r w:rsidR="00D3171F">
              <w:t xml:space="preserve">, </w:t>
            </w:r>
            <w:r w:rsidR="00E143C8">
              <w:rPr>
                <w:bCs/>
              </w:rPr>
              <w:t>law e</w:t>
            </w:r>
            <w:r w:rsidR="00D3171F" w:rsidRPr="00815933">
              <w:rPr>
                <w:bCs/>
              </w:rPr>
              <w:t xml:space="preserve">nforcement </w:t>
            </w:r>
            <w:r w:rsidR="00E143C8">
              <w:rPr>
                <w:bCs/>
              </w:rPr>
              <w:t>p</w:t>
            </w:r>
            <w:r w:rsidR="00D3171F" w:rsidRPr="00815933">
              <w:rPr>
                <w:bCs/>
              </w:rPr>
              <w:t>ractitioner</w:t>
            </w:r>
            <w:r w:rsidR="00E143C8">
              <w:rPr>
                <w:bCs/>
              </w:rPr>
              <w:t>s</w:t>
            </w:r>
            <w:r w:rsidR="00D3171F">
              <w:rPr>
                <w:bCs/>
              </w:rPr>
              <w:t xml:space="preserve">, </w:t>
            </w:r>
            <w:r w:rsidR="00E143C8">
              <w:rPr>
                <w:bCs/>
              </w:rPr>
              <w:t>community m</w:t>
            </w:r>
            <w:r>
              <w:rPr>
                <w:bCs/>
              </w:rPr>
              <w:t>ember</w:t>
            </w:r>
            <w:r w:rsidR="00E143C8">
              <w:rPr>
                <w:bCs/>
              </w:rPr>
              <w:t>s and the community policing p</w:t>
            </w:r>
            <w:r w:rsidR="00D3171F">
              <w:rPr>
                <w:bCs/>
              </w:rPr>
              <w:t>rofessional</w:t>
            </w:r>
            <w:r w:rsidR="00E143C8">
              <w:rPr>
                <w:bCs/>
              </w:rPr>
              <w:t>s</w:t>
            </w:r>
            <w:r w:rsidR="00D3171F" w:rsidRPr="00815933">
              <w:t xml:space="preserve">.  </w:t>
            </w:r>
            <w:r w:rsidR="00D3171F">
              <w:t>All four</w:t>
            </w:r>
            <w:r w:rsidR="00D3171F" w:rsidRPr="00815933">
              <w:t xml:space="preserve"> portals have been enhanced with the inclusion of several online community policing courses. Another </w:t>
            </w:r>
            <w:r>
              <w:t xml:space="preserve">showcased </w:t>
            </w:r>
            <w:r w:rsidR="00D3171F" w:rsidRPr="00815933">
              <w:t xml:space="preserve">feature is a new community policing curriculum </w:t>
            </w:r>
            <w:r w:rsidR="006E7F78">
              <w:t>development</w:t>
            </w:r>
            <w:r w:rsidR="00D3171F" w:rsidRPr="00815933">
              <w:t xml:space="preserve"> tool, which </w:t>
            </w:r>
            <w:r>
              <w:t>is</w:t>
            </w:r>
            <w:r w:rsidR="00D3171F" w:rsidRPr="00815933">
              <w:t xml:space="preserve"> housed under the</w:t>
            </w:r>
            <w:r w:rsidR="00D3171F" w:rsidRPr="00815933">
              <w:rPr>
                <w:bCs/>
              </w:rPr>
              <w:t xml:space="preserve"> COPS Grantee Portal site.</w:t>
            </w:r>
            <w:r w:rsidR="006E7F78">
              <w:t xml:space="preserve">  This web-based tool, designed </w:t>
            </w:r>
            <w:r w:rsidR="00D3171F" w:rsidRPr="00815933">
              <w:t>specifically for COPS grantees</w:t>
            </w:r>
            <w:r w:rsidR="006E7F78">
              <w:t xml:space="preserve"> that are</w:t>
            </w:r>
            <w:r w:rsidR="00D3171F" w:rsidRPr="00815933">
              <w:t xml:space="preserve"> funded to develop training on behalf of the COPS Office</w:t>
            </w:r>
            <w:r w:rsidR="006E7F78">
              <w:t>, requires t</w:t>
            </w:r>
            <w:r w:rsidR="00D3171F" w:rsidRPr="00815933">
              <w:t>hese grantees t</w:t>
            </w:r>
            <w:r w:rsidR="006E7F78">
              <w:t xml:space="preserve">o standardize the way in which </w:t>
            </w:r>
            <w:r w:rsidR="00D3171F" w:rsidRPr="00815933">
              <w:lastRenderedPageBreak/>
              <w:t xml:space="preserve">training is developed, approved and delivered.  This tool </w:t>
            </w:r>
            <w:r>
              <w:t xml:space="preserve">further </w:t>
            </w:r>
            <w:r w:rsidR="00D3171F" w:rsidRPr="00815933">
              <w:t>enhance</w:t>
            </w:r>
            <w:r>
              <w:t>s</w:t>
            </w:r>
            <w:r w:rsidR="00D3171F" w:rsidRPr="00815933">
              <w:t xml:space="preserve"> future COPS training initiatives to ensure training is of the highest quality.  </w:t>
            </w:r>
          </w:p>
          <w:p w14:paraId="222BF780" w14:textId="77777777" w:rsidR="00D3171F" w:rsidRPr="00815933" w:rsidRDefault="00D3171F" w:rsidP="0001256C">
            <w:pPr>
              <w:pStyle w:val="NormalWeb"/>
              <w:spacing w:before="0" w:beforeAutospacing="0" w:after="0" w:afterAutospacing="0"/>
              <w:contextualSpacing/>
              <w:jc w:val="both"/>
            </w:pPr>
          </w:p>
          <w:p w14:paraId="0BC2A260" w14:textId="77777777" w:rsidR="008C4B56" w:rsidRDefault="00D3171F" w:rsidP="0001256C">
            <w:pPr>
              <w:pStyle w:val="NormalWeb"/>
              <w:spacing w:before="0" w:beforeAutospacing="0" w:after="0" w:afterAutospacing="0"/>
              <w:contextualSpacing/>
              <w:jc w:val="both"/>
            </w:pPr>
            <w:r w:rsidRPr="00815933">
              <w:t>In FY 201</w:t>
            </w:r>
            <w:r>
              <w:t>3</w:t>
            </w:r>
            <w:r w:rsidRPr="00815933">
              <w:t xml:space="preserve"> new online courses will </w:t>
            </w:r>
            <w:r w:rsidR="006E3D79">
              <w:t xml:space="preserve">continue to </w:t>
            </w:r>
            <w:r w:rsidRPr="00815933">
              <w:t xml:space="preserve">be developed </w:t>
            </w:r>
            <w:r>
              <w:t>for the COPS Web-based Learning Portal. T</w:t>
            </w:r>
            <w:r w:rsidRPr="00815933">
              <w:t xml:space="preserve">he </w:t>
            </w:r>
            <w:r w:rsidR="006E7F78">
              <w:t>community members’ portal</w:t>
            </w:r>
            <w:r>
              <w:t xml:space="preserve"> will feature new courses </w:t>
            </w:r>
            <w:r w:rsidRPr="00815933">
              <w:t xml:space="preserve">designed to help citizens understand the vital role they play in community policing, their impact and how they can partner with law enforcement to make their communities safe. Courses will focus on specific issues such as: Gangs, Meth Labs, Partnership Building, Youth Violence, Suspicious Activity Reporting and Problem Solving.  </w:t>
            </w:r>
            <w:r>
              <w:t>T</w:t>
            </w:r>
            <w:r w:rsidRPr="00815933">
              <w:t>he</w:t>
            </w:r>
            <w:r w:rsidR="006E7F78">
              <w:rPr>
                <w:bCs/>
              </w:rPr>
              <w:t xml:space="preserve"> portal for law enforcement p</w:t>
            </w:r>
            <w:r w:rsidRPr="00815933">
              <w:rPr>
                <w:bCs/>
              </w:rPr>
              <w:t>ractitioner</w:t>
            </w:r>
            <w:r w:rsidR="006E7F78">
              <w:rPr>
                <w:bCs/>
              </w:rPr>
              <w:t>s</w:t>
            </w:r>
            <w:r>
              <w:rPr>
                <w:bCs/>
              </w:rPr>
              <w:t xml:space="preserve"> will feature new online courses in </w:t>
            </w:r>
            <w:r w:rsidRPr="00815933">
              <w:t>Domestic Violence, Conflict Management</w:t>
            </w:r>
            <w:r>
              <w:t>,</w:t>
            </w:r>
            <w:r w:rsidRPr="00815933">
              <w:t xml:space="preserve"> Cultural Diversity and Procedural Justice for executives and supervisors.</w:t>
            </w:r>
            <w:r>
              <w:t xml:space="preserve"> </w:t>
            </w:r>
          </w:p>
          <w:p w14:paraId="44DBEB2E" w14:textId="77777777" w:rsidR="008C4B56" w:rsidRDefault="008C4B56" w:rsidP="0001256C">
            <w:pPr>
              <w:pStyle w:val="NormalWeb"/>
              <w:spacing w:before="0" w:beforeAutospacing="0" w:after="0" w:afterAutospacing="0"/>
              <w:contextualSpacing/>
              <w:jc w:val="both"/>
            </w:pPr>
          </w:p>
          <w:p w14:paraId="43DA274A" w14:textId="77777777" w:rsidR="008C4B56" w:rsidRPr="00197434" w:rsidRDefault="008C4B56" w:rsidP="008C4B56">
            <w:pPr>
              <w:autoSpaceDE w:val="0"/>
              <w:autoSpaceDN w:val="0"/>
              <w:adjustRightInd w:val="0"/>
              <w:jc w:val="both"/>
              <w:rPr>
                <w:color w:val="000000"/>
              </w:rPr>
            </w:pPr>
            <w:r>
              <w:t>The portal for COPS grantees will include a new basic School Resource Officers (SRO) introductory course. The course will focus on the roles and responsibilities of an SRO as a law enforcer, informal counselor and educator, such as addressing crime and disorder problems, gangs, and drug activities affecting or occurring in or around an elementary or secondary schools; develop or expand crime prevention efforts for students; assist in the identification of physical changes in the environment that may reduce crime in and or around the school; educate likely school-age victims in crime prevention and safety and assist in developing school policy that addresses crime and recommend procedural changes.</w:t>
            </w:r>
            <w:r w:rsidRPr="00197434">
              <w:rPr>
                <w:color w:val="000000"/>
              </w:rPr>
              <w:t xml:space="preserve"> </w:t>
            </w:r>
            <w:r>
              <w:rPr>
                <w:color w:val="000000"/>
              </w:rPr>
              <w:t xml:space="preserve">The SRO training will be mandatory </w:t>
            </w:r>
            <w:r w:rsidRPr="00197434">
              <w:rPr>
                <w:color w:val="000000"/>
              </w:rPr>
              <w:t xml:space="preserve">for </w:t>
            </w:r>
            <w:r>
              <w:rPr>
                <w:color w:val="000000"/>
              </w:rPr>
              <w:t xml:space="preserve">any </w:t>
            </w:r>
            <w:r w:rsidRPr="00197434">
              <w:rPr>
                <w:color w:val="000000"/>
              </w:rPr>
              <w:t xml:space="preserve">personnel hired to ensure that their presence in the schools does not lead to unnecessarily harsh discipline and arrests for youth misbehaving, and that they will support other school personnel in implementing evidence-based positive behavior strategies. </w:t>
            </w:r>
          </w:p>
          <w:p w14:paraId="23222B16" w14:textId="77777777" w:rsidR="008C4B56" w:rsidRDefault="008C4B56" w:rsidP="008C4B56">
            <w:pPr>
              <w:autoSpaceDE w:val="0"/>
              <w:autoSpaceDN w:val="0"/>
              <w:adjustRightInd w:val="0"/>
              <w:jc w:val="both"/>
              <w:rPr>
                <w:color w:val="000000"/>
              </w:rPr>
            </w:pPr>
          </w:p>
          <w:p w14:paraId="70DB9F5D" w14:textId="77777777" w:rsidR="008C4B56" w:rsidRDefault="008C4B56" w:rsidP="008C4B56">
            <w:pPr>
              <w:pStyle w:val="NormalWeb"/>
              <w:spacing w:before="0" w:beforeAutospacing="0" w:after="0" w:afterAutospacing="0"/>
              <w:contextualSpacing/>
              <w:jc w:val="both"/>
            </w:pPr>
            <w:r w:rsidRPr="007744F4">
              <w:rPr>
                <w:rFonts w:eastAsiaTheme="minorHAnsi"/>
              </w:rPr>
              <w:t>If</w:t>
            </w:r>
            <w:r>
              <w:rPr>
                <w:rFonts w:eastAsiaTheme="minorHAnsi"/>
              </w:rPr>
              <w:t xml:space="preserve"> a grantee under the program chooses to hire</w:t>
            </w:r>
            <w:r w:rsidRPr="007744F4">
              <w:rPr>
                <w:rFonts w:eastAsiaTheme="minorHAnsi"/>
              </w:rPr>
              <w:t xml:space="preserve"> the placement of a properly trained school resource officer</w:t>
            </w:r>
            <w:r>
              <w:t xml:space="preserve">, </w:t>
            </w:r>
            <w:r w:rsidRPr="004359B7">
              <w:t xml:space="preserve">COPS Office </w:t>
            </w:r>
            <w:r>
              <w:t xml:space="preserve">training emphasizes that there are </w:t>
            </w:r>
            <w:r w:rsidRPr="007744F4">
              <w:rPr>
                <w:rFonts w:eastAsiaTheme="minorHAnsi"/>
              </w:rPr>
              <w:t xml:space="preserve">several roles that an SRO should play </w:t>
            </w:r>
            <w:r>
              <w:rPr>
                <w:rFonts w:eastAsiaTheme="minorHAnsi"/>
              </w:rPr>
              <w:t xml:space="preserve">in order </w:t>
            </w:r>
            <w:r w:rsidRPr="007744F4">
              <w:rPr>
                <w:rFonts w:eastAsiaTheme="minorHAnsi"/>
              </w:rPr>
              <w:t xml:space="preserve">to be </w:t>
            </w:r>
            <w:r>
              <w:rPr>
                <w:rFonts w:eastAsiaTheme="minorHAnsi"/>
              </w:rPr>
              <w:t xml:space="preserve">most </w:t>
            </w:r>
            <w:r w:rsidRPr="007744F4">
              <w:rPr>
                <w:rFonts w:eastAsiaTheme="minorHAnsi"/>
              </w:rPr>
              <w:t>effective</w:t>
            </w:r>
            <w:r>
              <w:rPr>
                <w:rFonts w:eastAsiaTheme="minorHAnsi"/>
              </w:rPr>
              <w:t xml:space="preserve"> within a community policing context, including law enforcer, </w:t>
            </w:r>
            <w:r w:rsidRPr="007744F4">
              <w:rPr>
                <w:rFonts w:eastAsiaTheme="minorHAnsi"/>
              </w:rPr>
              <w:t xml:space="preserve">informal counselor, and educator.  </w:t>
            </w:r>
            <w:r>
              <w:rPr>
                <w:rFonts w:eastAsiaTheme="minorHAnsi"/>
              </w:rPr>
              <w:t xml:space="preserve">As a law enforcer, </w:t>
            </w:r>
            <w:r w:rsidRPr="007744F4">
              <w:rPr>
                <w:rFonts w:eastAsiaTheme="minorHAnsi"/>
              </w:rPr>
              <w:t>SRO</w:t>
            </w:r>
            <w:r>
              <w:rPr>
                <w:rFonts w:eastAsiaTheme="minorHAnsi"/>
              </w:rPr>
              <w:t>s</w:t>
            </w:r>
            <w:r w:rsidRPr="007744F4">
              <w:rPr>
                <w:rFonts w:eastAsiaTheme="minorHAnsi"/>
              </w:rPr>
              <w:t xml:space="preserve"> preserve order and promote safety by </w:t>
            </w:r>
            <w:r>
              <w:rPr>
                <w:rFonts w:eastAsiaTheme="minorHAnsi"/>
              </w:rPr>
              <w:t xml:space="preserve">working with school administrators to </w:t>
            </w:r>
            <w:r w:rsidRPr="007744F4">
              <w:rPr>
                <w:rFonts w:eastAsiaTheme="minorHAnsi"/>
              </w:rPr>
              <w:t>address</w:t>
            </w:r>
            <w:r>
              <w:rPr>
                <w:rFonts w:eastAsiaTheme="minorHAnsi"/>
              </w:rPr>
              <w:t xml:space="preserve"> crime and safety</w:t>
            </w:r>
            <w:r w:rsidRPr="007744F4">
              <w:rPr>
                <w:rFonts w:eastAsiaTheme="minorHAnsi"/>
              </w:rPr>
              <w:t xml:space="preserve"> problems occurring in or around the school</w:t>
            </w:r>
            <w:r>
              <w:rPr>
                <w:rFonts w:eastAsiaTheme="minorHAnsi"/>
              </w:rPr>
              <w:t>, while respecting the civil rights of students and only using arrest powers when truly warranted.  In this role, SROs also</w:t>
            </w:r>
            <w:r w:rsidRPr="007842E1">
              <w:rPr>
                <w:rFonts w:eastAsiaTheme="minorHAnsi"/>
              </w:rPr>
              <w:t xml:space="preserve"> conduct</w:t>
            </w:r>
            <w:r w:rsidRPr="007744F4">
              <w:rPr>
                <w:rFonts w:eastAsiaTheme="minorHAnsi"/>
              </w:rPr>
              <w:t xml:space="preserve"> comprehensive safety and security</w:t>
            </w:r>
            <w:r w:rsidRPr="007842E1">
              <w:rPr>
                <w:rFonts w:eastAsiaTheme="minorHAnsi"/>
              </w:rPr>
              <w:t xml:space="preserve"> assessments</w:t>
            </w:r>
            <w:r>
              <w:rPr>
                <w:rFonts w:eastAsiaTheme="minorHAnsi"/>
              </w:rPr>
              <w:t>, identify environmental changes that can reduce crime in and around schools, and serve as a liaison between the school and police.  A</w:t>
            </w:r>
            <w:r w:rsidRPr="007842E1">
              <w:rPr>
                <w:rFonts w:eastAsiaTheme="minorHAnsi"/>
              </w:rPr>
              <w:t xml:space="preserve">s a mentor, </w:t>
            </w:r>
            <w:r>
              <w:t>SROs</w:t>
            </w:r>
            <w:r w:rsidRPr="004359B7">
              <w:t xml:space="preserve"> </w:t>
            </w:r>
            <w:r>
              <w:t>develop</w:t>
            </w:r>
            <w:r w:rsidRPr="004359B7">
              <w:t xml:space="preserve"> relationships </w:t>
            </w:r>
            <w:r>
              <w:t>with at-risk youth and help connect</w:t>
            </w:r>
            <w:r w:rsidRPr="004359B7">
              <w:t xml:space="preserve"> students to professional services within both the school (guida</w:t>
            </w:r>
            <w:r>
              <w:t>nce counselors and</w:t>
            </w:r>
            <w:r w:rsidRPr="004359B7">
              <w:t xml:space="preserve"> social workers) and the community (youth and family service organizations).</w:t>
            </w:r>
            <w:r>
              <w:t xml:space="preserve">  </w:t>
            </w:r>
            <w:r w:rsidRPr="007744F4">
              <w:rPr>
                <w:rFonts w:eastAsiaTheme="minorHAnsi"/>
              </w:rPr>
              <w:t xml:space="preserve">As an educator, </w:t>
            </w:r>
            <w:r>
              <w:rPr>
                <w:rFonts w:eastAsiaTheme="minorHAnsi"/>
              </w:rPr>
              <w:t>S</w:t>
            </w:r>
            <w:r w:rsidRPr="007744F4">
              <w:rPr>
                <w:rFonts w:eastAsiaTheme="minorHAnsi"/>
              </w:rPr>
              <w:t>RO</w:t>
            </w:r>
            <w:r>
              <w:rPr>
                <w:rFonts w:eastAsiaTheme="minorHAnsi"/>
              </w:rPr>
              <w:t>s</w:t>
            </w:r>
            <w:r w:rsidRPr="007842E1">
              <w:rPr>
                <w:rFonts w:eastAsiaTheme="minorHAnsi"/>
              </w:rPr>
              <w:t xml:space="preserve"> </w:t>
            </w:r>
            <w:r>
              <w:rPr>
                <w:rFonts w:eastAsiaTheme="minorHAnsi"/>
              </w:rPr>
              <w:t xml:space="preserve">can </w:t>
            </w:r>
            <w:r w:rsidRPr="007842E1">
              <w:rPr>
                <w:rFonts w:eastAsiaTheme="minorHAnsi"/>
              </w:rPr>
              <w:t>teach</w:t>
            </w:r>
            <w:r w:rsidRPr="007744F4">
              <w:rPr>
                <w:rFonts w:eastAsiaTheme="minorHAnsi"/>
              </w:rPr>
              <w:t xml:space="preserve"> </w:t>
            </w:r>
            <w:r>
              <w:rPr>
                <w:rFonts w:eastAsiaTheme="minorHAnsi"/>
              </w:rPr>
              <w:t xml:space="preserve">on a range of </w:t>
            </w:r>
            <w:r w:rsidRPr="007744F4">
              <w:rPr>
                <w:rFonts w:eastAsiaTheme="minorHAnsi"/>
              </w:rPr>
              <w:t>topics for students, faculty and parent</w:t>
            </w:r>
            <w:r>
              <w:rPr>
                <w:rFonts w:eastAsiaTheme="minorHAnsi"/>
              </w:rPr>
              <w:t>s</w:t>
            </w:r>
            <w:r w:rsidRPr="007744F4">
              <w:rPr>
                <w:rFonts w:eastAsiaTheme="minorHAnsi"/>
              </w:rPr>
              <w:t xml:space="preserve">, </w:t>
            </w:r>
            <w:r>
              <w:rPr>
                <w:rFonts w:eastAsiaTheme="minorHAnsi"/>
              </w:rPr>
              <w:t>and encourage</w:t>
            </w:r>
            <w:r w:rsidRPr="007744F4">
              <w:rPr>
                <w:rFonts w:eastAsiaTheme="minorHAnsi"/>
              </w:rPr>
              <w:t xml:space="preserve"> students to become involved in programs geared towa</w:t>
            </w:r>
            <w:r>
              <w:rPr>
                <w:rFonts w:eastAsiaTheme="minorHAnsi"/>
              </w:rPr>
              <w:t xml:space="preserve">rd positive student behavior.  </w:t>
            </w:r>
          </w:p>
          <w:p w14:paraId="347DB1B7" w14:textId="77777777" w:rsidR="00D3171F" w:rsidRPr="00815933" w:rsidRDefault="00D3171F" w:rsidP="0001256C">
            <w:pPr>
              <w:pStyle w:val="NormalWeb"/>
              <w:spacing w:before="0" w:beforeAutospacing="0" w:after="0" w:afterAutospacing="0"/>
              <w:contextualSpacing/>
              <w:jc w:val="both"/>
            </w:pPr>
          </w:p>
          <w:p w14:paraId="551787EE" w14:textId="77777777" w:rsidR="00A61CF9" w:rsidRPr="005730EF" w:rsidRDefault="00C81A2A" w:rsidP="006E7F78">
            <w:pPr>
              <w:ind w:right="36"/>
              <w:jc w:val="both"/>
              <w:rPr>
                <w:b/>
              </w:rPr>
            </w:pPr>
            <w:r w:rsidRPr="00E04806">
              <w:t xml:space="preserve">Once it is fully developed, the Community Policing </w:t>
            </w:r>
            <w:r w:rsidR="006E7F78">
              <w:t>Learning Portal</w:t>
            </w:r>
            <w:r w:rsidRPr="00E04806">
              <w:t xml:space="preserve"> will provide the COPS Office with the ability to offer online access to community policing training. Not only will </w:t>
            </w:r>
            <w:r w:rsidR="00A00ED6">
              <w:t>the COPS Office</w:t>
            </w:r>
            <w:r w:rsidRPr="00E04806">
              <w:t xml:space="preserve"> be</w:t>
            </w:r>
            <w:r w:rsidR="00A00ED6">
              <w:t xml:space="preserve"> able </w:t>
            </w:r>
            <w:r w:rsidR="003D58BE">
              <w:t xml:space="preserve">to </w:t>
            </w:r>
            <w:r w:rsidR="00A00ED6">
              <w:t>increase the knowledge of p</w:t>
            </w:r>
            <w:r w:rsidRPr="00E04806">
              <w:t xml:space="preserve">olice organizations and their personnel and support staff, but also, with the power of the Internet, </w:t>
            </w:r>
            <w:r w:rsidR="009741B5">
              <w:t xml:space="preserve">the Office will </w:t>
            </w:r>
            <w:r w:rsidRPr="00E04806">
              <w:t>bring these resources to their communities and local governments. In addition, the COPS Office will be able to disseminate best practices, concepts and techniques to hundreds of law enforcement agencies and communities across the country.  This in turn will invigorate the field of community policing by enabling practitioners to share and enhance best practices for eliminating or reducing specific crime and disorder problems.</w:t>
            </w:r>
            <w:r w:rsidRPr="00D90275">
              <w:t xml:space="preserve"> </w:t>
            </w:r>
          </w:p>
        </w:tc>
      </w:tr>
    </w:tbl>
    <w:p w14:paraId="1779E2E1" w14:textId="77777777" w:rsidR="00C81A2A" w:rsidRDefault="00C81A2A" w:rsidP="0001256C">
      <w:pPr>
        <w:numPr>
          <w:ilvl w:val="12"/>
          <w:numId w:val="0"/>
        </w:numPr>
        <w:jc w:val="both"/>
      </w:pPr>
    </w:p>
    <w:tbl>
      <w:tblPr>
        <w:tblStyle w:val="TableGrid"/>
        <w:tblW w:w="0" w:type="auto"/>
        <w:tblLook w:val="04A0" w:firstRow="1" w:lastRow="0" w:firstColumn="1" w:lastColumn="0" w:noHBand="0" w:noVBand="1"/>
      </w:tblPr>
      <w:tblGrid>
        <w:gridCol w:w="9350"/>
      </w:tblGrid>
      <w:tr w:rsidR="001115C0" w14:paraId="6899C98E" w14:textId="77777777" w:rsidTr="00B41BD3">
        <w:trPr>
          <w:trHeight w:val="638"/>
        </w:trPr>
        <w:tc>
          <w:tcPr>
            <w:tcW w:w="9558" w:type="dxa"/>
            <w:vAlign w:val="center"/>
          </w:tcPr>
          <w:p w14:paraId="3A018D62" w14:textId="77777777" w:rsidR="001115C0" w:rsidRPr="00E30AE2" w:rsidRDefault="001115C0" w:rsidP="0001256C">
            <w:pPr>
              <w:numPr>
                <w:ilvl w:val="12"/>
                <w:numId w:val="0"/>
              </w:numPr>
              <w:jc w:val="both"/>
              <w:rPr>
                <w:b/>
                <w:u w:val="single"/>
              </w:rPr>
            </w:pPr>
            <w:r w:rsidRPr="00E30AE2">
              <w:rPr>
                <w:b/>
                <w:u w:val="single"/>
              </w:rPr>
              <w:lastRenderedPageBreak/>
              <w:t xml:space="preserve">COPS </w:t>
            </w:r>
            <w:r>
              <w:rPr>
                <w:b/>
                <w:u w:val="single"/>
              </w:rPr>
              <w:t>Customer Service</w:t>
            </w:r>
            <w:r w:rsidRPr="00E30AE2">
              <w:rPr>
                <w:b/>
                <w:u w:val="single"/>
              </w:rPr>
              <w:t xml:space="preserve"> </w:t>
            </w:r>
          </w:p>
        </w:tc>
      </w:tr>
      <w:tr w:rsidR="001115C0" w14:paraId="371D8F38" w14:textId="77777777" w:rsidTr="00B41BD3">
        <w:tc>
          <w:tcPr>
            <w:tcW w:w="9558" w:type="dxa"/>
          </w:tcPr>
          <w:p w14:paraId="6ED64E6F" w14:textId="77777777" w:rsidR="001115C0" w:rsidRPr="00E87549" w:rsidRDefault="001115C0" w:rsidP="0001256C">
            <w:pPr>
              <w:jc w:val="both"/>
              <w:rPr>
                <w:color w:val="000000"/>
              </w:rPr>
            </w:pPr>
          </w:p>
          <w:p w14:paraId="2E8BF036" w14:textId="77777777" w:rsidR="001115C0" w:rsidRDefault="001115C0" w:rsidP="0001256C">
            <w:pPr>
              <w:jc w:val="both"/>
            </w:pPr>
            <w:r>
              <w:t xml:space="preserve">The </w:t>
            </w:r>
            <w:r w:rsidR="00D3171F">
              <w:t xml:space="preserve">2012 </w:t>
            </w:r>
            <w:r>
              <w:t xml:space="preserve">ASCI </w:t>
            </w:r>
            <w:r w:rsidR="00BC387D">
              <w:t xml:space="preserve">survey shows customer satisfaction with the COPS Office increased from </w:t>
            </w:r>
            <w:r w:rsidR="00D3171F">
              <w:t xml:space="preserve">2011 </w:t>
            </w:r>
            <w:r w:rsidR="00BC387D">
              <w:t>to 201</w:t>
            </w:r>
            <w:r w:rsidR="00D3171F">
              <w:t>2</w:t>
            </w:r>
            <w:r w:rsidR="00BC387D">
              <w:t xml:space="preserve">.  </w:t>
            </w:r>
            <w:r>
              <w:t xml:space="preserve">With an overall score of </w:t>
            </w:r>
            <w:r w:rsidR="00D3171F">
              <w:t xml:space="preserve">79 </w:t>
            </w:r>
            <w:r>
              <w:t>of a 100-point scale, the COPS Office</w:t>
            </w:r>
            <w:r w:rsidR="00A2225A">
              <w:t>’s score</w:t>
            </w:r>
            <w:r>
              <w:t xml:space="preserve"> exceeds the latest federal government average</w:t>
            </w:r>
            <w:r w:rsidR="00A2225A">
              <w:t xml:space="preserve"> score</w:t>
            </w:r>
            <w:r>
              <w:t xml:space="preserve"> by 1</w:t>
            </w:r>
            <w:r w:rsidR="00D3171F">
              <w:t>4</w:t>
            </w:r>
            <w:r>
              <w:t xml:space="preserve"> points.  Customer satisfaction was measured in four areas:  Application/Award Process, Grant Maintenance and Monitoring, Program Staff Support/Service, and COPS Response Center.  The results demonstrate strong and continually improving customer service:</w:t>
            </w:r>
          </w:p>
          <w:p w14:paraId="498B1312" w14:textId="77777777" w:rsidR="005A438D" w:rsidRDefault="005A438D" w:rsidP="0001256C">
            <w:pPr>
              <w:jc w:val="both"/>
            </w:pPr>
          </w:p>
          <w:p w14:paraId="77677001" w14:textId="77777777" w:rsidR="001115C0" w:rsidRDefault="001115C0" w:rsidP="0001256C">
            <w:pPr>
              <w:pStyle w:val="ListParagraph"/>
              <w:numPr>
                <w:ilvl w:val="0"/>
                <w:numId w:val="36"/>
              </w:numPr>
              <w:jc w:val="both"/>
            </w:pPr>
            <w:r>
              <w:t>Application and Award Process:  Ease of understanding the terms and conditions of acceptance was the highest rated attribute</w:t>
            </w:r>
            <w:r w:rsidR="00BD64E4">
              <w:t xml:space="preserve"> of this measurement</w:t>
            </w:r>
            <w:r w:rsidR="008604BD">
              <w:t xml:space="preserve">.  This attribute </w:t>
            </w:r>
            <w:r w:rsidR="00D3171F">
              <w:t xml:space="preserve">increased </w:t>
            </w:r>
            <w:r>
              <w:t xml:space="preserve">from </w:t>
            </w:r>
            <w:r w:rsidR="00A2225A">
              <w:t xml:space="preserve">the </w:t>
            </w:r>
            <w:r w:rsidR="00D3171F">
              <w:t xml:space="preserve">2011 </w:t>
            </w:r>
            <w:r w:rsidR="00A2225A">
              <w:t>score</w:t>
            </w:r>
            <w:r>
              <w:t xml:space="preserve">. Ease of completing the application through the COPS online site </w:t>
            </w:r>
            <w:r w:rsidR="00D3171F">
              <w:t xml:space="preserve">also </w:t>
            </w:r>
            <w:r>
              <w:t>improved</w:t>
            </w:r>
            <w:r w:rsidR="00D3171F">
              <w:t xml:space="preserve"> from 2011</w:t>
            </w:r>
            <w:r>
              <w:t>.</w:t>
            </w:r>
          </w:p>
          <w:p w14:paraId="5640C7BB" w14:textId="77777777" w:rsidR="001115C0" w:rsidRDefault="001115C0" w:rsidP="0001256C">
            <w:pPr>
              <w:pStyle w:val="ListParagraph"/>
              <w:numPr>
                <w:ilvl w:val="0"/>
                <w:numId w:val="36"/>
              </w:numPr>
              <w:jc w:val="both"/>
            </w:pPr>
            <w:r>
              <w:t xml:space="preserve">Grant Maintenance and Monitoring Impact:  </w:t>
            </w:r>
            <w:r w:rsidR="00A2225A">
              <w:t>Most grantees</w:t>
            </w:r>
            <w:r>
              <w:t xml:space="preserve"> are able to complete the online reporting and </w:t>
            </w:r>
            <w:r w:rsidR="00A2225A">
              <w:t xml:space="preserve">they </w:t>
            </w:r>
            <w:r>
              <w:t>are receiving the proper assistance from COPS regarding requirements and compliance issues.</w:t>
            </w:r>
          </w:p>
          <w:p w14:paraId="0E3B2408" w14:textId="77777777" w:rsidR="00BD64E4" w:rsidRDefault="001115C0" w:rsidP="0001256C">
            <w:pPr>
              <w:pStyle w:val="ListParagraph"/>
              <w:numPr>
                <w:ilvl w:val="0"/>
                <w:numId w:val="36"/>
              </w:numPr>
              <w:jc w:val="both"/>
            </w:pPr>
            <w:r>
              <w:t xml:space="preserve">Program Staff Support/Service Impact:  </w:t>
            </w:r>
            <w:r w:rsidR="00BD64E4">
              <w:t>Grantees</w:t>
            </w:r>
            <w:r>
              <w:t xml:space="preserve"> found COPS staff to be adept at answering questions about community policing and at directing grantees toward useful COPS resources</w:t>
            </w:r>
            <w:r w:rsidR="00CB04A8">
              <w:t xml:space="preserve">.  </w:t>
            </w:r>
            <w:r>
              <w:t xml:space="preserve">Grantees </w:t>
            </w:r>
            <w:r w:rsidR="00BD64E4">
              <w:t xml:space="preserve">found program staff </w:t>
            </w:r>
            <w:r w:rsidR="00CB04A8">
              <w:t>to provide timely responses</w:t>
            </w:r>
            <w:r w:rsidR="00BD64E4">
              <w:t>.</w:t>
            </w:r>
            <w:r>
              <w:t xml:space="preserve"> </w:t>
            </w:r>
          </w:p>
          <w:p w14:paraId="0DE20B3F" w14:textId="77777777" w:rsidR="001115C0" w:rsidRDefault="008B75BF" w:rsidP="0001256C">
            <w:pPr>
              <w:pStyle w:val="ListParagraph"/>
              <w:numPr>
                <w:ilvl w:val="0"/>
                <w:numId w:val="36"/>
              </w:numPr>
              <w:jc w:val="both"/>
            </w:pPr>
            <w:r>
              <w:t xml:space="preserve">COPS </w:t>
            </w:r>
            <w:r w:rsidR="001115C0">
              <w:t xml:space="preserve">Response Center:  The Response </w:t>
            </w:r>
            <w:r>
              <w:t>C</w:t>
            </w:r>
            <w:r w:rsidR="001115C0">
              <w:t xml:space="preserve">enter remains the highest rated driver of customer service with a 2-point improvement from last year. The professionalism of Response Center staff remained at a very strong level, and customers found orders placed through the Response Center to be accurate and timely.  Response Center </w:t>
            </w:r>
            <w:r w:rsidR="00DF7FD3">
              <w:t>staff was</w:t>
            </w:r>
            <w:r w:rsidR="001115C0">
              <w:t xml:space="preserve"> able to direct grantees to resources and answer questions about community </w:t>
            </w:r>
            <w:r>
              <w:t>policing</w:t>
            </w:r>
            <w:r w:rsidR="001115C0">
              <w:t>.</w:t>
            </w:r>
          </w:p>
          <w:p w14:paraId="33D6162D" w14:textId="77777777" w:rsidR="001115C0" w:rsidRDefault="001115C0" w:rsidP="0001256C">
            <w:pPr>
              <w:numPr>
                <w:ilvl w:val="12"/>
                <w:numId w:val="0"/>
              </w:numPr>
              <w:jc w:val="both"/>
            </w:pPr>
          </w:p>
        </w:tc>
      </w:tr>
    </w:tbl>
    <w:p w14:paraId="040C2D24" w14:textId="77777777" w:rsidR="001115C0" w:rsidRDefault="001115C0" w:rsidP="0001256C">
      <w:pPr>
        <w:numPr>
          <w:ilvl w:val="12"/>
          <w:numId w:val="0"/>
        </w:numPr>
        <w:jc w:val="both"/>
      </w:pPr>
    </w:p>
    <w:p w14:paraId="622C70BA" w14:textId="77777777" w:rsidR="009274A3" w:rsidRPr="009273C7" w:rsidRDefault="009274A3" w:rsidP="0001256C">
      <w:pPr>
        <w:pStyle w:val="xl27"/>
        <w:numPr>
          <w:ilvl w:val="12"/>
          <w:numId w:val="0"/>
        </w:numPr>
        <w:spacing w:before="0" w:after="0"/>
        <w:jc w:val="both"/>
        <w:rPr>
          <w:rFonts w:ascii="Times New Roman" w:hAnsi="Times New Roman"/>
          <w:szCs w:val="24"/>
        </w:rPr>
      </w:pPr>
      <w:r w:rsidRPr="009273C7">
        <w:rPr>
          <w:rFonts w:ascii="Times New Roman" w:hAnsi="Times New Roman"/>
          <w:szCs w:val="24"/>
        </w:rPr>
        <w:t>3. Challenges</w:t>
      </w:r>
    </w:p>
    <w:p w14:paraId="5DED87AE" w14:textId="77777777" w:rsidR="009274A3" w:rsidRPr="009273C7" w:rsidRDefault="009274A3" w:rsidP="0001256C">
      <w:pPr>
        <w:pStyle w:val="xl27"/>
        <w:numPr>
          <w:ilvl w:val="12"/>
          <w:numId w:val="0"/>
        </w:numPr>
        <w:spacing w:before="0" w:after="0"/>
        <w:jc w:val="both"/>
        <w:rPr>
          <w:rFonts w:ascii="Times New Roman" w:hAnsi="Times New Roman"/>
          <w:szCs w:val="24"/>
        </w:rPr>
      </w:pPr>
    </w:p>
    <w:p w14:paraId="7C7AFE91" w14:textId="77777777" w:rsidR="005E10EF" w:rsidRDefault="005E10EF" w:rsidP="0001256C">
      <w:pPr>
        <w:numPr>
          <w:ilvl w:val="12"/>
          <w:numId w:val="0"/>
        </w:numPr>
        <w:jc w:val="both"/>
      </w:pPr>
      <w:r w:rsidRPr="009273C7">
        <w:t xml:space="preserve">In moving to full program cost accounting, the </w:t>
      </w:r>
      <w:r>
        <w:t xml:space="preserve">COPS </w:t>
      </w:r>
      <w:r w:rsidRPr="009273C7">
        <w:t xml:space="preserve">Office is challenged by incorporating overhead costs associated with overseeing grant awards from funding appropriated in previous fiscal years. In most instances, COPS grant awards </w:t>
      </w:r>
      <w:r w:rsidR="003E5B88">
        <w:t xml:space="preserve">made prior to FY 2012 </w:t>
      </w:r>
      <w:r w:rsidRPr="009273C7">
        <w:t>extend</w:t>
      </w:r>
      <w:r w:rsidR="003E5B88">
        <w:t>ed</w:t>
      </w:r>
      <w:r w:rsidRPr="009273C7">
        <w:t xml:space="preserve"> </w:t>
      </w:r>
      <w:r>
        <w:t>up to five years or more</w:t>
      </w:r>
      <w:r w:rsidRPr="009273C7">
        <w:t xml:space="preserve"> and require consistent monitoring and oversight. For example, </w:t>
      </w:r>
      <w:r>
        <w:t xml:space="preserve">in FY </w:t>
      </w:r>
      <w:r w:rsidR="00B440A5">
        <w:t xml:space="preserve">2013 </w:t>
      </w:r>
      <w:r w:rsidRPr="009273C7">
        <w:t xml:space="preserve">the COPS Office will still be </w:t>
      </w:r>
      <w:r>
        <w:t>incurring</w:t>
      </w:r>
      <w:r w:rsidRPr="009273C7">
        <w:t xml:space="preserve"> overhead costs associated with maintaining, monitoring, and closing out the grants awarded in FY </w:t>
      </w:r>
      <w:r w:rsidR="00B440A5" w:rsidRPr="009273C7">
        <w:t>201</w:t>
      </w:r>
      <w:r w:rsidR="00B440A5">
        <w:t>1</w:t>
      </w:r>
      <w:r w:rsidR="00B440A5" w:rsidRPr="009273C7">
        <w:t xml:space="preserve"> </w:t>
      </w:r>
      <w:r w:rsidRPr="009273C7">
        <w:t xml:space="preserve">and FY </w:t>
      </w:r>
      <w:r w:rsidR="00B440A5" w:rsidRPr="009273C7">
        <w:t>201</w:t>
      </w:r>
      <w:r w:rsidR="00B440A5">
        <w:t>2</w:t>
      </w:r>
      <w:r w:rsidR="00B440A5" w:rsidRPr="009273C7">
        <w:t xml:space="preserve"> </w:t>
      </w:r>
      <w:r w:rsidRPr="009273C7">
        <w:t>that will be in the second and third years of the grant lifecycle.</w:t>
      </w:r>
      <w:r w:rsidR="00B440A5">
        <w:t xml:space="preserve"> To address this challenge, in FY 2013, the COPS Office will implement a new policy which trims the grant extension period from five years to 24 months, with approval beyond 24 months allowable for extraordinary circumstances.  </w:t>
      </w:r>
    </w:p>
    <w:p w14:paraId="1584F125" w14:textId="77777777" w:rsidR="005E10EF" w:rsidRDefault="005E10EF" w:rsidP="0001256C">
      <w:pPr>
        <w:numPr>
          <w:ilvl w:val="12"/>
          <w:numId w:val="0"/>
        </w:numPr>
        <w:jc w:val="both"/>
      </w:pPr>
    </w:p>
    <w:p w14:paraId="2823E4A5" w14:textId="77777777" w:rsidR="005E10EF" w:rsidRDefault="005E10EF" w:rsidP="0001256C">
      <w:pPr>
        <w:pStyle w:val="BodyTextIndent"/>
        <w:numPr>
          <w:ilvl w:val="12"/>
          <w:numId w:val="0"/>
        </w:numPr>
        <w:jc w:val="both"/>
        <w:rPr>
          <w:i w:val="0"/>
        </w:rPr>
      </w:pPr>
      <w:r w:rsidRPr="00A64BB1">
        <w:rPr>
          <w:i w:val="0"/>
        </w:rPr>
        <w:t xml:space="preserve">The COPS Office also reports quarterly on the number of sworn officer jobs created and preserved through the American Reinvestment and Recovery Act </w:t>
      </w:r>
      <w:r>
        <w:rPr>
          <w:i w:val="0"/>
        </w:rPr>
        <w:t xml:space="preserve">(ARRA) </w:t>
      </w:r>
      <w:r w:rsidRPr="00A64BB1">
        <w:rPr>
          <w:i w:val="0"/>
        </w:rPr>
        <w:t xml:space="preserve">of 2009.  The COPS Office works closely with COPS Hiring Recovery Program (CHRP) grantees to ensure that program requirements are met and all funding is expensed and outlaid in accordance with COPS policies, federal financial guidelines, and ARRA regulations. </w:t>
      </w:r>
    </w:p>
    <w:p w14:paraId="04075D5F" w14:textId="77777777" w:rsidR="005E10EF" w:rsidRDefault="005E10EF" w:rsidP="0001256C">
      <w:pPr>
        <w:pStyle w:val="BodyTextIndent"/>
        <w:numPr>
          <w:ilvl w:val="12"/>
          <w:numId w:val="0"/>
        </w:numPr>
        <w:jc w:val="both"/>
        <w:rPr>
          <w:i w:val="0"/>
        </w:rPr>
      </w:pPr>
    </w:p>
    <w:p w14:paraId="2995A74E" w14:textId="77777777" w:rsidR="005E10EF" w:rsidRDefault="0032446E" w:rsidP="0001256C">
      <w:pPr>
        <w:pStyle w:val="BodyTextIndent"/>
        <w:numPr>
          <w:ilvl w:val="12"/>
          <w:numId w:val="0"/>
        </w:numPr>
        <w:jc w:val="both"/>
        <w:rPr>
          <w:i w:val="0"/>
        </w:rPr>
      </w:pPr>
      <w:r>
        <w:rPr>
          <w:i w:val="0"/>
        </w:rPr>
        <w:t>Federal law</w:t>
      </w:r>
      <w:r w:rsidR="005E10EF">
        <w:rPr>
          <w:i w:val="0"/>
        </w:rPr>
        <w:t xml:space="preserve"> requir</w:t>
      </w:r>
      <w:r w:rsidR="00A2225A">
        <w:rPr>
          <w:i w:val="0"/>
        </w:rPr>
        <w:t>es</w:t>
      </w:r>
      <w:r w:rsidR="005E10EF">
        <w:rPr>
          <w:i w:val="0"/>
        </w:rPr>
        <w:t xml:space="preserve"> the expenditure of ARRA funds by the end of FY 201</w:t>
      </w:r>
      <w:r>
        <w:rPr>
          <w:i w:val="0"/>
        </w:rPr>
        <w:t>5</w:t>
      </w:r>
      <w:r w:rsidR="00A2225A">
        <w:rPr>
          <w:i w:val="0"/>
        </w:rPr>
        <w:t>, and this</w:t>
      </w:r>
      <w:r w:rsidR="005E10EF">
        <w:rPr>
          <w:i w:val="0"/>
        </w:rPr>
        <w:t xml:space="preserve"> will impact the ARRA-funded COPS Hiring Recovery Program (CHRP).</w:t>
      </w:r>
      <w:r w:rsidR="00B96CB2">
        <w:rPr>
          <w:i w:val="0"/>
        </w:rPr>
        <w:t xml:space="preserve"> </w:t>
      </w:r>
      <w:r w:rsidR="005E10EF">
        <w:rPr>
          <w:i w:val="0"/>
        </w:rPr>
        <w:t xml:space="preserve"> Implementation of these grants will extend beyond the initial three year grant period and unless the Department obtains a </w:t>
      </w:r>
      <w:r w:rsidR="000C51BF">
        <w:rPr>
          <w:i w:val="0"/>
        </w:rPr>
        <w:t xml:space="preserve">legislative </w:t>
      </w:r>
      <w:r w:rsidR="000C51BF">
        <w:rPr>
          <w:i w:val="0"/>
        </w:rPr>
        <w:lastRenderedPageBreak/>
        <w:t>exemption from</w:t>
      </w:r>
      <w:r w:rsidR="005E10EF">
        <w:rPr>
          <w:i w:val="0"/>
        </w:rPr>
        <w:t xml:space="preserve"> the requirement to expend all funds by FY</w:t>
      </w:r>
      <w:r w:rsidR="00244DEB">
        <w:rPr>
          <w:i w:val="0"/>
        </w:rPr>
        <w:t xml:space="preserve"> </w:t>
      </w:r>
      <w:r w:rsidR="005E10EF">
        <w:rPr>
          <w:i w:val="0"/>
        </w:rPr>
        <w:t>201</w:t>
      </w:r>
      <w:r>
        <w:rPr>
          <w:i w:val="0"/>
        </w:rPr>
        <w:t>5</w:t>
      </w:r>
      <w:r w:rsidR="005E10EF">
        <w:rPr>
          <w:i w:val="0"/>
        </w:rPr>
        <w:t xml:space="preserve">, grant recipients’ employment of law enforcement officers and their support of public safety are at risk. The COPS Office has proactively conducted outreach to CHRP grantees to provide assistance with financial management and implementation of their grants. </w:t>
      </w:r>
    </w:p>
    <w:p w14:paraId="6D40321A" w14:textId="77777777" w:rsidR="005E10EF" w:rsidRDefault="005E10EF" w:rsidP="0001256C">
      <w:pPr>
        <w:pStyle w:val="BodyTextIndent"/>
        <w:numPr>
          <w:ilvl w:val="12"/>
          <w:numId w:val="0"/>
        </w:numPr>
        <w:jc w:val="both"/>
        <w:rPr>
          <w:i w:val="0"/>
        </w:rPr>
      </w:pPr>
    </w:p>
    <w:p w14:paraId="52CEF652" w14:textId="77777777" w:rsidR="005E10EF" w:rsidRDefault="005E10EF" w:rsidP="0001256C">
      <w:pPr>
        <w:numPr>
          <w:ilvl w:val="12"/>
          <w:numId w:val="0"/>
        </w:numPr>
        <w:jc w:val="both"/>
      </w:pPr>
      <w:r>
        <w:t>In FY 2011, the Department commissioned a Grantmakers’ Workforce and Workload Analysis to establish a consistent process for understanding the drivers of the workload and management and administration resource needs of the DOJ grant-making components—</w:t>
      </w:r>
      <w:r w:rsidR="00B96CB2">
        <w:t xml:space="preserve">the </w:t>
      </w:r>
      <w:r>
        <w:t>COPS</w:t>
      </w:r>
      <w:r w:rsidR="00B96CB2">
        <w:t xml:space="preserve"> Office</w:t>
      </w:r>
      <w:r>
        <w:t xml:space="preserve">, the Office of Violence Against Women (OVW) and the Office of Justice Programs (OJP).  The end-product was a workforce planning model and methodology to estimate future resources needs that takes into account the management of the entire portfolio of active grants and other important COPS Office activities including management of our knowledge resources and other mission-critical activities unrelated to COPS grant funding.  This includes appropriations for the current year </w:t>
      </w:r>
      <w:r w:rsidRPr="00A64BB1">
        <w:rPr>
          <w:i/>
        </w:rPr>
        <w:t>and</w:t>
      </w:r>
      <w:r>
        <w:t xml:space="preserve"> multi-year grants funded in previous years that still require monitoring and oversight.  This tool is utilized with other management processes and tools and supports an objective approach to inform management and</w:t>
      </w:r>
      <w:r w:rsidR="00A2225A">
        <w:t xml:space="preserve"> administration needs.  During </w:t>
      </w:r>
      <w:r>
        <w:t>FY 2012, COPS, OVW and OJP provided a report to the Congress on the workforce and workload analysis.</w:t>
      </w:r>
      <w:r w:rsidRPr="00FC0747">
        <w:t xml:space="preserve"> </w:t>
      </w:r>
      <w:r w:rsidR="00717BD0">
        <w:t xml:space="preserve">In FY 2012, the Government Accountability Office completed an assessment of the workload tool and provided recommendations for ensuring the tool meets best practices.  The COPS Office continues to partner with OJP and OVW to incorporate these best practices into our model updates.  </w:t>
      </w:r>
    </w:p>
    <w:p w14:paraId="68CC90C3" w14:textId="77777777" w:rsidR="00B440A5" w:rsidRPr="009273C7" w:rsidRDefault="00B440A5" w:rsidP="0001256C">
      <w:pPr>
        <w:numPr>
          <w:ilvl w:val="12"/>
          <w:numId w:val="0"/>
        </w:numPr>
        <w:jc w:val="both"/>
      </w:pPr>
    </w:p>
    <w:p w14:paraId="0ADA750A" w14:textId="77777777" w:rsidR="00311C1B" w:rsidRPr="009273C7" w:rsidRDefault="00311C1B" w:rsidP="0001256C">
      <w:pPr>
        <w:pStyle w:val="xl27"/>
        <w:spacing w:before="0" w:after="0"/>
        <w:jc w:val="both"/>
        <w:rPr>
          <w:rFonts w:ascii="Times New Roman" w:hAnsi="Times New Roman"/>
          <w:szCs w:val="24"/>
        </w:rPr>
      </w:pPr>
      <w:r w:rsidRPr="009273C7">
        <w:rPr>
          <w:rFonts w:ascii="Times New Roman" w:hAnsi="Times New Roman"/>
          <w:szCs w:val="24"/>
        </w:rPr>
        <w:t>4. Full Program Costs</w:t>
      </w:r>
    </w:p>
    <w:p w14:paraId="79C8BF32" w14:textId="77777777" w:rsidR="00311C1B" w:rsidRPr="009273C7" w:rsidRDefault="00311C1B" w:rsidP="0001256C">
      <w:pPr>
        <w:jc w:val="both"/>
      </w:pPr>
    </w:p>
    <w:p w14:paraId="255BD4B5" w14:textId="77777777" w:rsidR="00311C1B" w:rsidRPr="009273C7" w:rsidRDefault="00311C1B" w:rsidP="0001256C">
      <w:pPr>
        <w:jc w:val="both"/>
      </w:pPr>
      <w:r>
        <w:t>A</w:t>
      </w:r>
      <w:r w:rsidRPr="009273C7">
        <w:t xml:space="preserve">ll COPS programs </w:t>
      </w:r>
      <w:r>
        <w:t>are</w:t>
      </w:r>
      <w:r w:rsidRPr="009273C7">
        <w:t xml:space="preserve"> integrated into one comprehensive decision unit, Community Oriented Policing.  Within the comprehensive decision unit, two primary activities have been identified: </w:t>
      </w:r>
      <w:r w:rsidRPr="00506991">
        <w:rPr>
          <w:i/>
        </w:rPr>
        <w:t>Supporting Law Enforcement by Advancing Community Policing through Grant Resources</w:t>
      </w:r>
      <w:r>
        <w:t>,</w:t>
      </w:r>
      <w:r w:rsidRPr="009273C7">
        <w:t xml:space="preserve"> and </w:t>
      </w:r>
      <w:r w:rsidRPr="00506991">
        <w:rPr>
          <w:i/>
        </w:rPr>
        <w:t>Advancing Community Policing through Knowledge Resources</w:t>
      </w:r>
      <w:r>
        <w:t xml:space="preserve">.  </w:t>
      </w:r>
      <w:r w:rsidRPr="009273C7">
        <w:t>In FY 201</w:t>
      </w:r>
      <w:r>
        <w:t>4</w:t>
      </w:r>
      <w:r w:rsidRPr="009273C7">
        <w:t xml:space="preserve">, program funding will continue to be aligned with the two major activity functions, and will support the COPS Office’s mission to advance public safety </w:t>
      </w:r>
      <w:r>
        <w:t>through community policing.</w:t>
      </w:r>
    </w:p>
    <w:p w14:paraId="4EFBDAD3" w14:textId="77777777" w:rsidR="00311C1B" w:rsidRPr="009273C7" w:rsidRDefault="00311C1B" w:rsidP="0001256C">
      <w:pPr>
        <w:jc w:val="both"/>
      </w:pPr>
    </w:p>
    <w:p w14:paraId="2F06BDE6" w14:textId="77777777" w:rsidR="00311C1B" w:rsidRPr="009273C7" w:rsidRDefault="00B96CB2" w:rsidP="00231531">
      <w:pPr>
        <w:contextualSpacing/>
        <w:jc w:val="both"/>
      </w:pPr>
      <w:r>
        <w:t>T</w:t>
      </w:r>
      <w:r w:rsidR="00311C1B" w:rsidRPr="009273C7">
        <w:t>he management and administration costs associate</w:t>
      </w:r>
      <w:r w:rsidR="00311C1B">
        <w:t xml:space="preserve">d with managing these programs and other mission-critical, non-grant related activities </w:t>
      </w:r>
      <w:r w:rsidR="00311C1B" w:rsidRPr="009273C7">
        <w:t xml:space="preserve">are </w:t>
      </w:r>
      <w:r>
        <w:t xml:space="preserve">also </w:t>
      </w:r>
      <w:r w:rsidR="00311C1B" w:rsidRPr="009273C7">
        <w:t>encompassed within the one comprehensive decision unit. The requested programs, and corresponding grant dollars, are then aligned under one of the two primary activities. The management and administration costs are prorated between the two activity functions so that the full cost of the decision unit as well as each major activity is apparent. The concept of integrating management and administration costs into the individual programs to further illustrate the full cost of each initiative has proved challenging in that a significant portion of overhead costs are associated with maintaining and closing out prior year grant awards or for continuing to manage programs no longer requested in the budget.</w:t>
      </w:r>
    </w:p>
    <w:p w14:paraId="30AFF3F3" w14:textId="77777777" w:rsidR="00231531" w:rsidRDefault="00231531" w:rsidP="00231531">
      <w:pPr>
        <w:pStyle w:val="xl27"/>
        <w:spacing w:before="0" w:after="0"/>
        <w:contextualSpacing/>
        <w:jc w:val="both"/>
        <w:rPr>
          <w:rFonts w:ascii="Times New Roman" w:hAnsi="Times New Roman"/>
          <w:szCs w:val="24"/>
        </w:rPr>
      </w:pPr>
    </w:p>
    <w:p w14:paraId="692E917C" w14:textId="77777777" w:rsidR="00311C1B" w:rsidRPr="009273C7" w:rsidRDefault="00311C1B" w:rsidP="00231531">
      <w:pPr>
        <w:pStyle w:val="xl27"/>
        <w:spacing w:before="0" w:after="0"/>
        <w:contextualSpacing/>
        <w:jc w:val="both"/>
        <w:rPr>
          <w:rFonts w:ascii="Times New Roman" w:hAnsi="Times New Roman"/>
          <w:szCs w:val="24"/>
        </w:rPr>
      </w:pPr>
      <w:r w:rsidRPr="009273C7">
        <w:rPr>
          <w:rFonts w:ascii="Times New Roman" w:hAnsi="Times New Roman"/>
          <w:szCs w:val="24"/>
        </w:rPr>
        <w:t>5. Performance Challenges</w:t>
      </w:r>
    </w:p>
    <w:p w14:paraId="3A902494" w14:textId="77777777" w:rsidR="005F22A0" w:rsidRDefault="005F22A0" w:rsidP="0001256C">
      <w:pPr>
        <w:pStyle w:val="BodyText"/>
        <w:contextualSpacing/>
        <w:jc w:val="both"/>
        <w:rPr>
          <w:b/>
          <w:szCs w:val="24"/>
          <w:u w:val="single"/>
        </w:rPr>
      </w:pPr>
    </w:p>
    <w:p w14:paraId="46D81623" w14:textId="77777777" w:rsidR="00311C1B" w:rsidRPr="009273C7" w:rsidRDefault="00311C1B" w:rsidP="0001256C">
      <w:pPr>
        <w:pStyle w:val="BodyText"/>
        <w:contextualSpacing/>
        <w:jc w:val="both"/>
        <w:rPr>
          <w:szCs w:val="24"/>
        </w:rPr>
      </w:pPr>
      <w:r w:rsidRPr="009273C7">
        <w:rPr>
          <w:b/>
          <w:szCs w:val="24"/>
          <w:u w:val="single"/>
        </w:rPr>
        <w:t>Internal Challenges</w:t>
      </w:r>
      <w:r w:rsidRPr="009273C7">
        <w:rPr>
          <w:szCs w:val="24"/>
        </w:rPr>
        <w:t xml:space="preserve">   </w:t>
      </w:r>
    </w:p>
    <w:p w14:paraId="6AD6046B" w14:textId="77777777" w:rsidR="005F22A0" w:rsidRDefault="005F22A0" w:rsidP="0001256C">
      <w:pPr>
        <w:pStyle w:val="NormalWeb"/>
        <w:tabs>
          <w:tab w:val="left" w:pos="0"/>
          <w:tab w:val="left" w:pos="2340"/>
        </w:tabs>
        <w:spacing w:before="0" w:beforeAutospacing="0" w:after="0" w:afterAutospacing="0"/>
        <w:contextualSpacing/>
        <w:jc w:val="both"/>
      </w:pPr>
    </w:p>
    <w:p w14:paraId="2F74768E" w14:textId="77777777" w:rsidR="00311C1B" w:rsidRPr="004D5252" w:rsidRDefault="00311C1B" w:rsidP="0001256C">
      <w:pPr>
        <w:pStyle w:val="NormalWeb"/>
        <w:tabs>
          <w:tab w:val="left" w:pos="0"/>
          <w:tab w:val="left" w:pos="2340"/>
        </w:tabs>
        <w:spacing w:before="0" w:beforeAutospacing="0" w:after="0" w:afterAutospacing="0"/>
        <w:contextualSpacing/>
        <w:jc w:val="both"/>
      </w:pPr>
      <w:r w:rsidRPr="004D5252">
        <w:t>Management and administration resources remain critical to the COPS Office’s role in helping state, local, and tribal law enforcement work to advance public safety in light of new challenges posed by the current economy.  The COPS Office assists the law enforcement community through three specific activities: convening, responding</w:t>
      </w:r>
      <w:r>
        <w:t>, and funding</w:t>
      </w:r>
      <w:r w:rsidRPr="004D5252">
        <w:t>.  As a convening agency, we call together the brightest minds in the profess</w:t>
      </w:r>
      <w:r w:rsidR="0032446E">
        <w:t>ion, address emerging and critical</w:t>
      </w:r>
      <w:r w:rsidRPr="004D5252">
        <w:t xml:space="preserve"> issues, and send a </w:t>
      </w:r>
      <w:r w:rsidRPr="004D5252">
        <w:lastRenderedPageBreak/>
        <w:t xml:space="preserve">powerful message to the field that we are engaged in building relationships and solving problems.  As a responding agency, we continue to build on our history as the place the law enforcement profession turns to for the highest quality and practitioner-oriented training, technical assistance, and publications available on </w:t>
      </w:r>
      <w:r>
        <w:t>public safety issues and</w:t>
      </w:r>
      <w:r w:rsidRPr="004D5252">
        <w:t xml:space="preserve"> problems.</w:t>
      </w:r>
    </w:p>
    <w:p w14:paraId="21F4FED4" w14:textId="77777777" w:rsidR="00311C1B" w:rsidRDefault="00311C1B" w:rsidP="0001256C">
      <w:pPr>
        <w:pStyle w:val="NormalWeb"/>
        <w:tabs>
          <w:tab w:val="left" w:pos="0"/>
          <w:tab w:val="left" w:pos="2340"/>
        </w:tabs>
        <w:jc w:val="both"/>
      </w:pPr>
      <w:r w:rsidRPr="004D5252">
        <w:t>As a funding agency, we support the work of law enforcement in their communities through direct grants to state, local, and tribal law enforcement agencies.  By the end of FY 201</w:t>
      </w:r>
      <w:r>
        <w:t>4</w:t>
      </w:r>
      <w:r w:rsidRPr="004D5252">
        <w:t xml:space="preserve">, COPS estimates managing over 3,000 active grants provided to state, local, and tribal law enforcement agencies and the communities they serve. The majority of COPS grants are awarded for longer than a </w:t>
      </w:r>
      <w:r w:rsidR="00B96CB2">
        <w:t>three</w:t>
      </w:r>
      <w:r w:rsidRPr="004D5252">
        <w:t xml:space="preserve">-year period, requiring ongoing maintenance and monitoring during the entire life of the grant. We also face the challenge of ensuring that management and administration funds made available to our office reflect our resource needs to support not only our current year’s appropriation for grant programs, but </w:t>
      </w:r>
      <w:r>
        <w:t xml:space="preserve">also </w:t>
      </w:r>
      <w:r w:rsidRPr="004D5252">
        <w:t xml:space="preserve">our responsibility to </w:t>
      </w:r>
      <w:r>
        <w:t xml:space="preserve">the </w:t>
      </w:r>
      <w:r w:rsidRPr="004D5252">
        <w:t>American taxpayer for the programmatic and financial oversight of grants awarded in prior years</w:t>
      </w:r>
      <w:r>
        <w:t>,</w:t>
      </w:r>
      <w:r w:rsidRPr="004D5252">
        <w:t xml:space="preserve"> and our convening and responding activities.</w:t>
      </w:r>
    </w:p>
    <w:p w14:paraId="4EE0CB4E" w14:textId="77777777" w:rsidR="00C25BFA" w:rsidRDefault="00311C1B" w:rsidP="0001256C">
      <w:pPr>
        <w:contextualSpacing/>
        <w:jc w:val="both"/>
      </w:pPr>
      <w:r>
        <w:t xml:space="preserve">The COPS Office also uses management and administration resources to support research and evaluation activities conducted by COPS Office staff.  Many of these activities result in deliverables produced through the COPS Office independent of grant funding.  </w:t>
      </w:r>
      <w:r w:rsidR="0088241E" w:rsidRPr="0088241E">
        <w:t xml:space="preserve">In FY 2012, the COPS Office produced a report on </w:t>
      </w:r>
      <w:r w:rsidR="0088241E" w:rsidRPr="00C736C5">
        <w:rPr>
          <w:i/>
        </w:rPr>
        <w:t>The Relationship Between Economic Conditions, Policing and Crime Trends</w:t>
      </w:r>
      <w:r w:rsidR="0088241E" w:rsidRPr="0088241E">
        <w:t>, which can be found at</w:t>
      </w:r>
      <w:r w:rsidR="00352974">
        <w:t xml:space="preserve"> </w:t>
      </w:r>
      <w:hyperlink r:id="rId12" w:history="1">
        <w:r w:rsidR="00352974" w:rsidRPr="00352974">
          <w:rPr>
            <w:rStyle w:val="Hyperlink"/>
          </w:rPr>
          <w:t>https://cops.usdoj.gov/RIC/ric.php?page=detail&amp;id=COPS-P248</w:t>
        </w:r>
      </w:hyperlink>
      <w:r w:rsidR="00491123">
        <w:t xml:space="preserve">.  </w:t>
      </w:r>
      <w:r w:rsidR="0088241E" w:rsidRPr="0088241E">
        <w:t xml:space="preserve">This report was produced as a companion to the 2011 </w:t>
      </w:r>
      <w:r w:rsidR="005F0C38">
        <w:t xml:space="preserve">COPS Office </w:t>
      </w:r>
      <w:r w:rsidR="0088241E" w:rsidRPr="0088241E">
        <w:t xml:space="preserve">report on </w:t>
      </w:r>
      <w:r w:rsidR="0088241E" w:rsidRPr="00C736C5">
        <w:rPr>
          <w:i/>
        </w:rPr>
        <w:t>The Impact of the Economic Downturn on American Police Agencies</w:t>
      </w:r>
      <w:r w:rsidR="0088241E" w:rsidRPr="0088241E">
        <w:t>, and further explores how community policing principles will help agencies adapt to changing budgets without endangering public safety.</w:t>
      </w:r>
      <w:r w:rsidR="006F381E">
        <w:t xml:space="preserve">  </w:t>
      </w:r>
      <w:r w:rsidR="00C25BFA" w:rsidRPr="00C25BFA">
        <w:t xml:space="preserve">In FY 2012, the COPS Office produced a book entitled </w:t>
      </w:r>
      <w:r w:rsidR="00C25BFA" w:rsidRPr="00C25BFA">
        <w:rPr>
          <w:i/>
        </w:rPr>
        <w:t>American Policing in 2022: Essays on the Future of a Profession</w:t>
      </w:r>
      <w:r w:rsidR="00C25BFA" w:rsidRPr="00C25BFA">
        <w:t xml:space="preserve"> which can be found at</w:t>
      </w:r>
      <w:r w:rsidR="00C25BFA">
        <w:t xml:space="preserve"> </w:t>
      </w:r>
      <w:hyperlink r:id="rId13" w:history="1">
        <w:r w:rsidR="00352974" w:rsidRPr="00352974">
          <w:rPr>
            <w:rStyle w:val="Hyperlink"/>
          </w:rPr>
          <w:t>https://cops.usdoj.gov/RIC/ric.php?page=detail&amp;id=COPS-P235</w:t>
        </w:r>
      </w:hyperlink>
      <w:bookmarkStart w:id="1" w:name="_GoBack"/>
      <w:bookmarkEnd w:id="1"/>
      <w:r w:rsidR="008777CA">
        <w:t xml:space="preserve">.  </w:t>
      </w:r>
      <w:r w:rsidR="00237818">
        <w:t>T</w:t>
      </w:r>
      <w:r w:rsidR="00C25BFA" w:rsidRPr="00C25BFA">
        <w:t>his book has been highlighted in numerous speeches</w:t>
      </w:r>
      <w:r w:rsidR="00237818">
        <w:t xml:space="preserve"> and</w:t>
      </w:r>
      <w:r w:rsidR="00C25BFA" w:rsidRPr="00C25BFA">
        <w:t xml:space="preserve"> featured at the 2012 IACP Conference and in multiple publications</w:t>
      </w:r>
      <w:r w:rsidR="006F381E">
        <w:t xml:space="preserve">.  </w:t>
      </w:r>
      <w:r w:rsidR="005F0C38">
        <w:t xml:space="preserve">The </w:t>
      </w:r>
      <w:r w:rsidR="00C25BFA">
        <w:t xml:space="preserve">evaluation outcomes </w:t>
      </w:r>
      <w:r w:rsidR="005F0C38">
        <w:t xml:space="preserve">discussed in the reports </w:t>
      </w:r>
      <w:r w:rsidR="00C25BFA">
        <w:t>validate why</w:t>
      </w:r>
      <w:r w:rsidR="00C25BFA" w:rsidRPr="00421BA2">
        <w:t xml:space="preserve"> the COPS Office </w:t>
      </w:r>
      <w:r w:rsidR="00C25BFA">
        <w:t>promotes adoption of community policing practices by the law enforcement field, as these reports have demonstrated that community policing practices are effective. Without sufficient management and administration resources to cover both prior and current year’s appropriations grant activities, as well as additional mission-critical non-grant related activities, the Office would no</w:t>
      </w:r>
      <w:r w:rsidR="00B96CB2">
        <w:t>t have been able to produce these</w:t>
      </w:r>
      <w:r w:rsidR="00C25BFA">
        <w:t xml:space="preserve"> important report</w:t>
      </w:r>
      <w:r w:rsidR="00B96CB2">
        <w:t>s</w:t>
      </w:r>
      <w:r w:rsidR="00C25BFA">
        <w:t xml:space="preserve"> for the law enforcement field.   </w:t>
      </w:r>
    </w:p>
    <w:p w14:paraId="20E44355" w14:textId="77777777" w:rsidR="006D0387" w:rsidRDefault="00311C1B" w:rsidP="0001256C">
      <w:pPr>
        <w:pStyle w:val="NormalWeb"/>
        <w:tabs>
          <w:tab w:val="left" w:pos="0"/>
          <w:tab w:val="left" w:pos="2340"/>
        </w:tabs>
        <w:spacing w:after="0" w:afterAutospacing="0"/>
        <w:contextualSpacing/>
        <w:jc w:val="both"/>
      </w:pPr>
      <w:r>
        <w:t>In FY</w:t>
      </w:r>
      <w:r w:rsidR="00EF4212">
        <w:t xml:space="preserve"> </w:t>
      </w:r>
      <w:r>
        <w:t xml:space="preserve">2012, the COPS Office also leveraged </w:t>
      </w:r>
      <w:r w:rsidR="00EF4212">
        <w:t xml:space="preserve">staff salaries and expenses </w:t>
      </w:r>
      <w:r>
        <w:t xml:space="preserve">to </w:t>
      </w:r>
      <w:r w:rsidR="00EF4212">
        <w:t>respond to the emerging needs of law enforcement agencies. For example, COPS staff helped establish</w:t>
      </w:r>
      <w:r>
        <w:t xml:space="preserve"> </w:t>
      </w:r>
      <w:r w:rsidRPr="00AA52BE">
        <w:t>the Officer Safety and Wellness Working Group</w:t>
      </w:r>
      <w:r>
        <w:t xml:space="preserve"> (OSW) through an inter-Departmental partnership. Addressing the important issue of law enforcement officers’ safety in the field, the OSW convenes experts in criminal justice and the </w:t>
      </w:r>
      <w:r w:rsidR="00DF7FD3">
        <w:t>field in order to acquire, analyze</w:t>
      </w:r>
      <w:r w:rsidRPr="00AA52BE">
        <w:t xml:space="preserve">, and disseminate information and insights that can help guide </w:t>
      </w:r>
      <w:r>
        <w:t>the Department’s</w:t>
      </w:r>
      <w:r w:rsidRPr="00AA52BE">
        <w:t xml:space="preserve"> national efforts</w:t>
      </w:r>
      <w:r>
        <w:t xml:space="preserve"> to support local, state and tribal law enforcement</w:t>
      </w:r>
      <w:r w:rsidRPr="00AA52BE">
        <w:t xml:space="preserve">. </w:t>
      </w:r>
      <w:r>
        <w:t xml:space="preserve">The Attorney General has recognized this initiative for </w:t>
      </w:r>
      <w:r w:rsidRPr="00AA52BE">
        <w:t>providing training programs and information-sharing platforms to identify dangerous suspects prior to making contact</w:t>
      </w:r>
      <w:r>
        <w:t xml:space="preserve"> and inform </w:t>
      </w:r>
      <w:r w:rsidRPr="00AA52BE">
        <w:t>key policies and practices in order to keep officer</w:t>
      </w:r>
      <w:r>
        <w:t>s in the Nation’s communities</w:t>
      </w:r>
      <w:r w:rsidRPr="00AA52BE">
        <w:t xml:space="preserve"> safe.</w:t>
      </w:r>
      <w:r w:rsidR="0095107A">
        <w:t xml:space="preserve">  </w:t>
      </w:r>
    </w:p>
    <w:p w14:paraId="6FF7DF1B" w14:textId="77777777" w:rsidR="005F22A0" w:rsidRPr="00AA52BE" w:rsidRDefault="005F22A0" w:rsidP="0001256C">
      <w:pPr>
        <w:pStyle w:val="NormalWeb"/>
        <w:tabs>
          <w:tab w:val="left" w:pos="0"/>
          <w:tab w:val="left" w:pos="2340"/>
        </w:tabs>
        <w:spacing w:after="0" w:afterAutospacing="0"/>
        <w:contextualSpacing/>
        <w:jc w:val="both"/>
      </w:pPr>
    </w:p>
    <w:p w14:paraId="1336F6BD" w14:textId="77777777" w:rsidR="00311C1B" w:rsidRPr="00D4357B" w:rsidRDefault="00311C1B" w:rsidP="0001256C">
      <w:pPr>
        <w:pStyle w:val="BodyTextIndent"/>
        <w:numPr>
          <w:ilvl w:val="12"/>
          <w:numId w:val="0"/>
        </w:numPr>
        <w:jc w:val="both"/>
        <w:rPr>
          <w:i w:val="0"/>
        </w:rPr>
      </w:pPr>
      <w:r w:rsidRPr="00D4357B">
        <w:rPr>
          <w:i w:val="0"/>
        </w:rPr>
        <w:t xml:space="preserve">COPS performance measures focus on COPS Office performance in meeting </w:t>
      </w:r>
      <w:r>
        <w:rPr>
          <w:i w:val="0"/>
        </w:rPr>
        <w:t>its</w:t>
      </w:r>
      <w:r w:rsidRPr="00D4357B">
        <w:rPr>
          <w:i w:val="0"/>
        </w:rPr>
        <w:t xml:space="preserve"> mission to advance public safety through community policing and place an additional emphasis on the COPS Office’s performance related to providing knowledge resource products (training/technical assistance and publications) to state, local, and tribal law enforcement.  The challenge for the </w:t>
      </w:r>
      <w:r w:rsidRPr="00D4357B">
        <w:rPr>
          <w:i w:val="0"/>
        </w:rPr>
        <w:lastRenderedPageBreak/>
        <w:t>COPS Office will be to maintain a high level of performance while also responding to new priorities and the production and distribution of knowledge resource products.</w:t>
      </w:r>
    </w:p>
    <w:p w14:paraId="3EA461BD" w14:textId="77777777" w:rsidR="00311C1B" w:rsidRPr="00D4357B" w:rsidRDefault="00311C1B" w:rsidP="0001256C">
      <w:pPr>
        <w:pStyle w:val="BodyTextIndent"/>
        <w:numPr>
          <w:ilvl w:val="12"/>
          <w:numId w:val="0"/>
        </w:numPr>
        <w:jc w:val="both"/>
        <w:rPr>
          <w:i w:val="0"/>
        </w:rPr>
      </w:pPr>
    </w:p>
    <w:p w14:paraId="43466886" w14:textId="77777777" w:rsidR="00AA7AF1" w:rsidRDefault="00311C1B" w:rsidP="0001256C">
      <w:pPr>
        <w:pStyle w:val="BodyTextIndent"/>
        <w:numPr>
          <w:ilvl w:val="12"/>
          <w:numId w:val="0"/>
        </w:numPr>
        <w:jc w:val="both"/>
        <w:rPr>
          <w:i w:val="0"/>
        </w:rPr>
      </w:pPr>
      <w:r w:rsidRPr="00D4357B">
        <w:rPr>
          <w:i w:val="0"/>
        </w:rPr>
        <w:t xml:space="preserve">The primary focus for the COPS Office will be to ensure that resources and strategies are aligned with this evolving focus on knowledge resources while continuing to provide excellent customer service to grantees; and awarding, maintaining, and closing out grants.  </w:t>
      </w:r>
      <w:r w:rsidR="00421BA2">
        <w:rPr>
          <w:i w:val="0"/>
        </w:rPr>
        <w:t xml:space="preserve">Throughout the process, the COPS Office will continue to pursue evidence-based grant-making practices and promote public adoption of effective community policing practices.  </w:t>
      </w:r>
      <w:r w:rsidR="008777CA">
        <w:rPr>
          <w:i w:val="0"/>
        </w:rPr>
        <w:t>For example, t</w:t>
      </w:r>
      <w:r w:rsidR="008777CA" w:rsidRPr="00AA7AF1">
        <w:rPr>
          <w:i w:val="0"/>
        </w:rPr>
        <w:t>he COPS Office</w:t>
      </w:r>
      <w:r w:rsidR="008777CA">
        <w:rPr>
          <w:i w:val="0"/>
        </w:rPr>
        <w:t xml:space="preserve"> is</w:t>
      </w:r>
      <w:r w:rsidR="008777CA" w:rsidRPr="00AA7AF1">
        <w:rPr>
          <w:i w:val="0"/>
        </w:rPr>
        <w:t xml:space="preserve"> heavily invested in the White House initiative, Strong Cities Strong Communities (SC2), where it provides technical assistance to the Chester, Pennsylvania police department on issues such as crime analysis, faith-based partners, and community-based government problem-solving.</w:t>
      </w:r>
      <w:r w:rsidR="008777CA">
        <w:rPr>
          <w:i w:val="0"/>
        </w:rPr>
        <w:t xml:space="preserve">  The COPS Office </w:t>
      </w:r>
      <w:r w:rsidR="00D93173">
        <w:rPr>
          <w:i w:val="0"/>
        </w:rPr>
        <w:t xml:space="preserve">also </w:t>
      </w:r>
      <w:r w:rsidR="008A5EBE">
        <w:rPr>
          <w:i w:val="0"/>
        </w:rPr>
        <w:t xml:space="preserve">collaborates with the DOJ’s Office of Justice Programs (OJP) on </w:t>
      </w:r>
      <w:r w:rsidR="008777CA">
        <w:rPr>
          <w:i w:val="0"/>
        </w:rPr>
        <w:t xml:space="preserve">the National Forum on Youth Violence Prevention, </w:t>
      </w:r>
      <w:r w:rsidR="00D93173">
        <w:rPr>
          <w:i w:val="0"/>
        </w:rPr>
        <w:t xml:space="preserve">that was </w:t>
      </w:r>
      <w:r w:rsidR="008777CA">
        <w:rPr>
          <w:i w:val="0"/>
        </w:rPr>
        <w:t xml:space="preserve">established by the Obama </w:t>
      </w:r>
      <w:r w:rsidR="00E32F37">
        <w:rPr>
          <w:i w:val="0"/>
        </w:rPr>
        <w:t>A</w:t>
      </w:r>
      <w:r w:rsidR="008777CA">
        <w:rPr>
          <w:i w:val="0"/>
        </w:rPr>
        <w:t>dministration, by planning, coordinating and presenting workshops at Forum meetings to build comprehensive local and national solutions to youth and gang violence.</w:t>
      </w:r>
      <w:r w:rsidR="00B96CB2">
        <w:rPr>
          <w:i w:val="0"/>
        </w:rPr>
        <w:t xml:space="preserve"> </w:t>
      </w:r>
      <w:r w:rsidR="008777CA">
        <w:rPr>
          <w:i w:val="0"/>
        </w:rPr>
        <w:t xml:space="preserve"> </w:t>
      </w:r>
      <w:r w:rsidRPr="00D4357B">
        <w:rPr>
          <w:i w:val="0"/>
        </w:rPr>
        <w:t>Ensuring the appropriate balance of all mission-critical priorities will require the Office to continue to assess human capital resource alignment, strategies toward meeting the Office’s mission, and monetary resources dedicated to meeting the challenge of providing knowledge resources customized based on grantee community policing needs, in order to increase their capacity to build relationships and solve problems</w:t>
      </w:r>
      <w:r>
        <w:rPr>
          <w:i w:val="0"/>
        </w:rPr>
        <w:t xml:space="preserve"> for safer communities</w:t>
      </w:r>
      <w:r w:rsidRPr="00D4357B">
        <w:rPr>
          <w:i w:val="0"/>
        </w:rPr>
        <w:t>.</w:t>
      </w:r>
      <w:r w:rsidR="00AA7AF1">
        <w:rPr>
          <w:i w:val="0"/>
        </w:rPr>
        <w:t xml:space="preserve">  </w:t>
      </w:r>
    </w:p>
    <w:p w14:paraId="7F24C6D9" w14:textId="77777777" w:rsidR="00311C1B" w:rsidRPr="005F22A0" w:rsidRDefault="00311C1B" w:rsidP="0001256C">
      <w:pPr>
        <w:pStyle w:val="BodyTextIndent"/>
        <w:numPr>
          <w:ilvl w:val="12"/>
          <w:numId w:val="0"/>
        </w:numPr>
        <w:jc w:val="both"/>
        <w:rPr>
          <w:i w:val="0"/>
        </w:rPr>
      </w:pPr>
    </w:p>
    <w:p w14:paraId="40ED81CC" w14:textId="77777777" w:rsidR="00311C1B" w:rsidRPr="00783ADF" w:rsidRDefault="00311C1B" w:rsidP="0001256C">
      <w:pPr>
        <w:pStyle w:val="BodyTextIndent"/>
        <w:numPr>
          <w:ilvl w:val="12"/>
          <w:numId w:val="0"/>
        </w:numPr>
        <w:jc w:val="both"/>
        <w:rPr>
          <w:b/>
          <w:i w:val="0"/>
        </w:rPr>
      </w:pPr>
      <w:r>
        <w:rPr>
          <w:b/>
          <w:i w:val="0"/>
        </w:rPr>
        <w:t xml:space="preserve">6.  </w:t>
      </w:r>
      <w:r w:rsidRPr="00783ADF">
        <w:rPr>
          <w:b/>
          <w:i w:val="0"/>
        </w:rPr>
        <w:t>Environmental Accountability</w:t>
      </w:r>
    </w:p>
    <w:p w14:paraId="72993876" w14:textId="77777777" w:rsidR="00311C1B" w:rsidRPr="009273C7" w:rsidRDefault="00311C1B" w:rsidP="0001256C">
      <w:pPr>
        <w:pStyle w:val="BodyTextIndent"/>
        <w:numPr>
          <w:ilvl w:val="12"/>
          <w:numId w:val="0"/>
        </w:numPr>
        <w:jc w:val="both"/>
        <w:rPr>
          <w:b/>
        </w:rPr>
      </w:pPr>
    </w:p>
    <w:p w14:paraId="7B180066" w14:textId="77777777" w:rsidR="00311C1B" w:rsidRDefault="00311C1B" w:rsidP="0001256C">
      <w:pPr>
        <w:jc w:val="both"/>
      </w:pPr>
      <w:r>
        <w:t xml:space="preserve">The COPS Office is committed to integrating environmental accountability into its day-to-day decision making, as well as complying with all environmental laws and regulations. The Office continues its pursuit of reducing the Department's environmental impact through its involvement in various </w:t>
      </w:r>
      <w:r>
        <w:rPr>
          <w:i/>
          <w:iCs/>
        </w:rPr>
        <w:t>Green</w:t>
      </w:r>
      <w:r>
        <w:t xml:space="preserve"> initiatives.  In October 2011 the COPS Office relocated to the North of Mass Avenue Neighborhood, known as NOMA. </w:t>
      </w:r>
      <w:r w:rsidR="00B96CB2">
        <w:t xml:space="preserve"> </w:t>
      </w:r>
      <w:r>
        <w:t xml:space="preserve">We are part of the Constitution Square office buildings and occupy space with other DOJ components.  </w:t>
      </w:r>
    </w:p>
    <w:p w14:paraId="62D43ADE" w14:textId="77777777" w:rsidR="00311C1B" w:rsidRDefault="00311C1B" w:rsidP="0001256C">
      <w:pPr>
        <w:jc w:val="both"/>
      </w:pPr>
    </w:p>
    <w:p w14:paraId="02E3538F" w14:textId="77777777" w:rsidR="00311C1B" w:rsidRDefault="00311C1B" w:rsidP="0001256C">
      <w:pPr>
        <w:jc w:val="both"/>
        <w:rPr>
          <w:color w:val="1F497D"/>
        </w:rPr>
      </w:pPr>
      <w:r>
        <w:t xml:space="preserve">The building </w:t>
      </w:r>
      <w:r w:rsidR="00A828E4">
        <w:t xml:space="preserve">occupied by COPS and other DOJ components </w:t>
      </w:r>
      <w:r>
        <w:t xml:space="preserve">is a LEED Platinum certified Green Building.  In addition to the paper and standard recycling products program, we have water saver restrooms and water faucets.  The building exhibits a design that has efficient electrical fixtures by utilizing motion sensors and maximizes natural light.  This </w:t>
      </w:r>
      <w:r w:rsidR="00A828E4">
        <w:t xml:space="preserve">is </w:t>
      </w:r>
      <w:r>
        <w:t xml:space="preserve">reducing </w:t>
      </w:r>
      <w:r w:rsidR="00A828E4">
        <w:t xml:space="preserve">the </w:t>
      </w:r>
      <w:r>
        <w:t xml:space="preserve">energy </w:t>
      </w:r>
      <w:r w:rsidR="00A828E4">
        <w:t xml:space="preserve">that is </w:t>
      </w:r>
      <w:r>
        <w:t>use</w:t>
      </w:r>
      <w:r w:rsidR="00A828E4">
        <w:t>d</w:t>
      </w:r>
      <w:r>
        <w:t xml:space="preserve"> for light.  The building also utilizes a greywater recycling system and a Green roof. </w:t>
      </w:r>
    </w:p>
    <w:p w14:paraId="6609408E" w14:textId="77777777" w:rsidR="003A7791" w:rsidRDefault="003A7791" w:rsidP="0001256C">
      <w:pPr>
        <w:pStyle w:val="BodyText"/>
        <w:jc w:val="both"/>
        <w:rPr>
          <w:b/>
          <w:szCs w:val="24"/>
        </w:rPr>
      </w:pPr>
    </w:p>
    <w:p w14:paraId="0BFE7CDB" w14:textId="77777777" w:rsidR="006E724A" w:rsidRDefault="006E724A" w:rsidP="0001256C">
      <w:pPr>
        <w:pStyle w:val="BodyText"/>
        <w:jc w:val="both"/>
        <w:rPr>
          <w:b/>
          <w:szCs w:val="24"/>
        </w:rPr>
      </w:pPr>
      <w:r>
        <w:rPr>
          <w:b/>
          <w:szCs w:val="24"/>
        </w:rPr>
        <w:t xml:space="preserve">II.  </w:t>
      </w:r>
      <w:r w:rsidR="00154816">
        <w:rPr>
          <w:b/>
          <w:szCs w:val="24"/>
        </w:rPr>
        <w:t xml:space="preserve"> Summary</w:t>
      </w:r>
      <w:r w:rsidR="00762F2E" w:rsidRPr="00B57F8A">
        <w:rPr>
          <w:b/>
          <w:szCs w:val="24"/>
        </w:rPr>
        <w:t xml:space="preserve"> of Program Changes</w:t>
      </w:r>
      <w:r w:rsidR="00675D0E">
        <w:rPr>
          <w:b/>
          <w:szCs w:val="24"/>
        </w:rPr>
        <w:t xml:space="preserve"> </w:t>
      </w:r>
    </w:p>
    <w:p w14:paraId="3D088BF1" w14:textId="77777777" w:rsidR="00401E44" w:rsidRDefault="00401E44" w:rsidP="0001256C">
      <w:pPr>
        <w:pStyle w:val="BodyText"/>
        <w:jc w:val="both"/>
        <w:rPr>
          <w:b/>
          <w:szCs w:val="24"/>
        </w:rPr>
      </w:pPr>
    </w:p>
    <w:tbl>
      <w:tblPr>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61"/>
        <w:gridCol w:w="4647"/>
        <w:gridCol w:w="720"/>
        <w:gridCol w:w="720"/>
        <w:gridCol w:w="1080"/>
        <w:gridCol w:w="712"/>
      </w:tblGrid>
      <w:tr w:rsidR="00401E44" w:rsidRPr="00725334" w14:paraId="05BBEB61" w14:textId="77777777" w:rsidTr="00354F51">
        <w:trPr>
          <w:cantSplit/>
        </w:trPr>
        <w:tc>
          <w:tcPr>
            <w:tcW w:w="1761" w:type="dxa"/>
            <w:vMerge w:val="restart"/>
            <w:shd w:val="clear" w:color="auto" w:fill="E6E6E6"/>
          </w:tcPr>
          <w:p w14:paraId="0BED60BD" w14:textId="77777777" w:rsidR="00401E44" w:rsidRPr="00725334" w:rsidRDefault="00401E44" w:rsidP="0001256C">
            <w:pPr>
              <w:pStyle w:val="BodyText"/>
              <w:jc w:val="both"/>
              <w:rPr>
                <w:rFonts w:ascii="Arial" w:hAnsi="Arial" w:cs="Arial"/>
                <w:b/>
                <w:bCs/>
                <w:sz w:val="20"/>
              </w:rPr>
            </w:pPr>
          </w:p>
          <w:p w14:paraId="2CA4F160" w14:textId="77777777" w:rsidR="00401E44" w:rsidRPr="00725334" w:rsidRDefault="00401E44" w:rsidP="0001256C">
            <w:pPr>
              <w:pStyle w:val="BodyText"/>
              <w:jc w:val="both"/>
              <w:rPr>
                <w:rFonts w:ascii="Arial" w:hAnsi="Arial" w:cs="Arial"/>
                <w:b/>
                <w:bCs/>
                <w:sz w:val="20"/>
              </w:rPr>
            </w:pPr>
            <w:r w:rsidRPr="00725334">
              <w:rPr>
                <w:rFonts w:ascii="Arial" w:hAnsi="Arial" w:cs="Arial"/>
                <w:b/>
                <w:bCs/>
                <w:sz w:val="20"/>
              </w:rPr>
              <w:t>Item Name</w:t>
            </w:r>
          </w:p>
        </w:tc>
        <w:tc>
          <w:tcPr>
            <w:tcW w:w="7167" w:type="dxa"/>
            <w:gridSpan w:val="4"/>
            <w:shd w:val="clear" w:color="auto" w:fill="E6E6E6"/>
          </w:tcPr>
          <w:p w14:paraId="4ECCCAFD" w14:textId="77777777" w:rsidR="00401E44" w:rsidRPr="00725334" w:rsidRDefault="00401E44" w:rsidP="0001256C">
            <w:pPr>
              <w:pStyle w:val="BodyText"/>
              <w:jc w:val="both"/>
              <w:rPr>
                <w:rFonts w:ascii="Arial" w:hAnsi="Arial" w:cs="Arial"/>
                <w:b/>
                <w:bCs/>
                <w:sz w:val="20"/>
              </w:rPr>
            </w:pPr>
          </w:p>
          <w:p w14:paraId="219420F5" w14:textId="77777777" w:rsidR="00401E44" w:rsidRPr="00725334" w:rsidRDefault="00401E44" w:rsidP="0001256C">
            <w:pPr>
              <w:pStyle w:val="BodyText"/>
              <w:jc w:val="both"/>
              <w:rPr>
                <w:rFonts w:ascii="Arial" w:hAnsi="Arial" w:cs="Arial"/>
                <w:b/>
                <w:bCs/>
                <w:sz w:val="20"/>
              </w:rPr>
            </w:pPr>
            <w:r w:rsidRPr="00725334">
              <w:rPr>
                <w:rFonts w:ascii="Arial" w:hAnsi="Arial" w:cs="Arial"/>
                <w:b/>
                <w:bCs/>
                <w:sz w:val="20"/>
              </w:rPr>
              <w:t>Description</w:t>
            </w:r>
          </w:p>
        </w:tc>
        <w:tc>
          <w:tcPr>
            <w:tcW w:w="712" w:type="dxa"/>
            <w:vMerge w:val="restart"/>
            <w:shd w:val="clear" w:color="auto" w:fill="E6E6E6"/>
          </w:tcPr>
          <w:p w14:paraId="4AC110B3" w14:textId="77777777" w:rsidR="00401E44" w:rsidRPr="00725334" w:rsidRDefault="00401E44" w:rsidP="0001256C">
            <w:pPr>
              <w:pStyle w:val="BodyText"/>
              <w:jc w:val="both"/>
              <w:rPr>
                <w:rFonts w:ascii="Arial" w:hAnsi="Arial" w:cs="Arial"/>
                <w:b/>
                <w:bCs/>
                <w:sz w:val="20"/>
              </w:rPr>
            </w:pPr>
          </w:p>
          <w:p w14:paraId="6BAA779E" w14:textId="77777777" w:rsidR="00401E44" w:rsidRPr="00725334" w:rsidRDefault="00401E44" w:rsidP="0001256C">
            <w:pPr>
              <w:pStyle w:val="BodyText"/>
              <w:jc w:val="both"/>
              <w:rPr>
                <w:rFonts w:ascii="Arial" w:hAnsi="Arial" w:cs="Arial"/>
                <w:b/>
                <w:bCs/>
                <w:sz w:val="20"/>
              </w:rPr>
            </w:pPr>
            <w:r w:rsidRPr="00725334">
              <w:rPr>
                <w:rFonts w:ascii="Arial" w:hAnsi="Arial" w:cs="Arial"/>
                <w:b/>
                <w:bCs/>
                <w:sz w:val="20"/>
              </w:rPr>
              <w:t>Page</w:t>
            </w:r>
          </w:p>
        </w:tc>
      </w:tr>
      <w:tr w:rsidR="00401E44" w:rsidRPr="00725334" w14:paraId="77DCE575" w14:textId="77777777" w:rsidTr="00354F51">
        <w:trPr>
          <w:cantSplit/>
        </w:trPr>
        <w:tc>
          <w:tcPr>
            <w:tcW w:w="1761" w:type="dxa"/>
            <w:vMerge/>
          </w:tcPr>
          <w:p w14:paraId="154188D6" w14:textId="77777777" w:rsidR="00401E44" w:rsidRPr="00725334" w:rsidRDefault="00401E44" w:rsidP="0001256C">
            <w:pPr>
              <w:pStyle w:val="BodyText"/>
              <w:jc w:val="both"/>
              <w:rPr>
                <w:rFonts w:ascii="Arial" w:hAnsi="Arial" w:cs="Arial"/>
                <w:b/>
                <w:bCs/>
                <w:sz w:val="20"/>
              </w:rPr>
            </w:pPr>
          </w:p>
        </w:tc>
        <w:tc>
          <w:tcPr>
            <w:tcW w:w="4647" w:type="dxa"/>
          </w:tcPr>
          <w:p w14:paraId="0E2B2DBF" w14:textId="77777777" w:rsidR="00401E44" w:rsidRPr="00725334" w:rsidRDefault="00401E44" w:rsidP="0001256C">
            <w:pPr>
              <w:pStyle w:val="BodyText"/>
              <w:jc w:val="both"/>
              <w:rPr>
                <w:rFonts w:ascii="Arial" w:hAnsi="Arial" w:cs="Arial"/>
                <w:b/>
                <w:bCs/>
                <w:sz w:val="20"/>
              </w:rPr>
            </w:pPr>
          </w:p>
        </w:tc>
        <w:tc>
          <w:tcPr>
            <w:tcW w:w="720" w:type="dxa"/>
            <w:shd w:val="clear" w:color="auto" w:fill="F3F3F3"/>
          </w:tcPr>
          <w:p w14:paraId="2986AE1D" w14:textId="77777777" w:rsidR="00401E44" w:rsidRPr="00725334" w:rsidRDefault="00401E44" w:rsidP="0001256C">
            <w:pPr>
              <w:pStyle w:val="BodyText"/>
              <w:jc w:val="both"/>
              <w:rPr>
                <w:rFonts w:ascii="Arial" w:hAnsi="Arial" w:cs="Arial"/>
                <w:b/>
                <w:bCs/>
                <w:sz w:val="20"/>
              </w:rPr>
            </w:pPr>
          </w:p>
          <w:p w14:paraId="2ED24B14" w14:textId="77777777" w:rsidR="00401E44" w:rsidRPr="00725334" w:rsidRDefault="00401E44" w:rsidP="0001256C">
            <w:pPr>
              <w:pStyle w:val="BodyText"/>
              <w:jc w:val="both"/>
              <w:rPr>
                <w:rFonts w:ascii="Arial" w:hAnsi="Arial" w:cs="Arial"/>
                <w:b/>
                <w:bCs/>
                <w:sz w:val="20"/>
              </w:rPr>
            </w:pPr>
            <w:r w:rsidRPr="00725334">
              <w:rPr>
                <w:rFonts w:ascii="Arial" w:hAnsi="Arial" w:cs="Arial"/>
                <w:b/>
                <w:bCs/>
                <w:sz w:val="20"/>
              </w:rPr>
              <w:t>Pos.</w:t>
            </w:r>
          </w:p>
        </w:tc>
        <w:tc>
          <w:tcPr>
            <w:tcW w:w="720" w:type="dxa"/>
            <w:shd w:val="clear" w:color="auto" w:fill="F3F3F3"/>
          </w:tcPr>
          <w:p w14:paraId="54970F1D" w14:textId="77777777" w:rsidR="00401E44" w:rsidRPr="00725334" w:rsidRDefault="00401E44" w:rsidP="0001256C">
            <w:pPr>
              <w:pStyle w:val="BodyText"/>
              <w:jc w:val="both"/>
              <w:rPr>
                <w:rFonts w:ascii="Arial" w:hAnsi="Arial" w:cs="Arial"/>
                <w:b/>
                <w:bCs/>
                <w:sz w:val="20"/>
              </w:rPr>
            </w:pPr>
          </w:p>
          <w:p w14:paraId="422BA500" w14:textId="77777777" w:rsidR="00401E44" w:rsidRPr="00725334" w:rsidRDefault="00401E44" w:rsidP="0001256C">
            <w:pPr>
              <w:pStyle w:val="BodyText"/>
              <w:jc w:val="both"/>
              <w:rPr>
                <w:rFonts w:ascii="Arial" w:hAnsi="Arial" w:cs="Arial"/>
                <w:b/>
                <w:bCs/>
                <w:sz w:val="20"/>
              </w:rPr>
            </w:pPr>
            <w:r w:rsidRPr="00725334">
              <w:rPr>
                <w:rFonts w:ascii="Arial" w:hAnsi="Arial" w:cs="Arial"/>
                <w:b/>
                <w:bCs/>
                <w:sz w:val="20"/>
              </w:rPr>
              <w:t>FTE</w:t>
            </w:r>
          </w:p>
        </w:tc>
        <w:tc>
          <w:tcPr>
            <w:tcW w:w="1080" w:type="dxa"/>
            <w:shd w:val="clear" w:color="auto" w:fill="F3F3F3"/>
          </w:tcPr>
          <w:p w14:paraId="1F65C632" w14:textId="77777777" w:rsidR="00401E44" w:rsidRPr="00725334" w:rsidRDefault="00401E44" w:rsidP="0001256C">
            <w:pPr>
              <w:pStyle w:val="BodyText"/>
              <w:jc w:val="both"/>
              <w:rPr>
                <w:rFonts w:ascii="Arial" w:hAnsi="Arial" w:cs="Arial"/>
                <w:b/>
                <w:bCs/>
                <w:sz w:val="20"/>
              </w:rPr>
            </w:pPr>
            <w:r w:rsidRPr="00725334">
              <w:rPr>
                <w:rFonts w:ascii="Arial" w:hAnsi="Arial" w:cs="Arial"/>
                <w:b/>
                <w:bCs/>
                <w:sz w:val="20"/>
              </w:rPr>
              <w:t>Dollars ($000)</w:t>
            </w:r>
          </w:p>
        </w:tc>
        <w:tc>
          <w:tcPr>
            <w:tcW w:w="712" w:type="dxa"/>
            <w:vMerge/>
          </w:tcPr>
          <w:p w14:paraId="1E7133CC" w14:textId="77777777" w:rsidR="00401E44" w:rsidRPr="00725334" w:rsidRDefault="00401E44" w:rsidP="0001256C">
            <w:pPr>
              <w:pStyle w:val="BodyText"/>
              <w:jc w:val="both"/>
              <w:rPr>
                <w:rFonts w:ascii="Arial" w:hAnsi="Arial" w:cs="Arial"/>
                <w:b/>
                <w:bCs/>
                <w:sz w:val="20"/>
              </w:rPr>
            </w:pPr>
          </w:p>
        </w:tc>
      </w:tr>
      <w:tr w:rsidR="00401E44" w:rsidRPr="00725334" w14:paraId="12F0DF5E" w14:textId="77777777" w:rsidTr="00354F51">
        <w:tc>
          <w:tcPr>
            <w:tcW w:w="1761" w:type="dxa"/>
          </w:tcPr>
          <w:p w14:paraId="705BBD3A" w14:textId="77777777" w:rsidR="00401E44" w:rsidRPr="00725334" w:rsidRDefault="00401E44" w:rsidP="0001256C">
            <w:pPr>
              <w:pStyle w:val="BodyText"/>
              <w:jc w:val="both"/>
              <w:rPr>
                <w:rFonts w:ascii="Arial" w:hAnsi="Arial" w:cs="Arial"/>
                <w:b/>
                <w:bCs/>
                <w:sz w:val="20"/>
              </w:rPr>
            </w:pPr>
          </w:p>
        </w:tc>
        <w:tc>
          <w:tcPr>
            <w:tcW w:w="4647" w:type="dxa"/>
          </w:tcPr>
          <w:p w14:paraId="0A774080" w14:textId="77777777" w:rsidR="00401E44" w:rsidRPr="00725334" w:rsidRDefault="006538E2" w:rsidP="0001256C">
            <w:pPr>
              <w:pStyle w:val="BodyText"/>
              <w:jc w:val="both"/>
              <w:rPr>
                <w:rFonts w:ascii="Arial" w:hAnsi="Arial" w:cs="Arial"/>
                <w:b/>
                <w:bCs/>
                <w:sz w:val="20"/>
              </w:rPr>
            </w:pPr>
            <w:r>
              <w:rPr>
                <w:rFonts w:ascii="Arial" w:hAnsi="Arial" w:cs="Arial"/>
                <w:b/>
                <w:bCs/>
                <w:sz w:val="20"/>
              </w:rPr>
              <w:t>Comprehensive School Safety Program</w:t>
            </w:r>
          </w:p>
        </w:tc>
        <w:tc>
          <w:tcPr>
            <w:tcW w:w="720" w:type="dxa"/>
          </w:tcPr>
          <w:p w14:paraId="1BF22DAB" w14:textId="77777777" w:rsidR="00401E44" w:rsidRPr="00725334" w:rsidRDefault="00401E44" w:rsidP="0001256C">
            <w:pPr>
              <w:pStyle w:val="BodyText"/>
              <w:jc w:val="both"/>
              <w:rPr>
                <w:rFonts w:ascii="Arial" w:hAnsi="Arial" w:cs="Arial"/>
                <w:b/>
                <w:bCs/>
                <w:sz w:val="20"/>
              </w:rPr>
            </w:pPr>
            <w:r w:rsidRPr="00725334">
              <w:rPr>
                <w:rFonts w:ascii="Arial" w:hAnsi="Arial" w:cs="Arial"/>
                <w:b/>
                <w:bCs/>
                <w:sz w:val="20"/>
              </w:rPr>
              <w:t>0</w:t>
            </w:r>
          </w:p>
        </w:tc>
        <w:tc>
          <w:tcPr>
            <w:tcW w:w="720" w:type="dxa"/>
          </w:tcPr>
          <w:p w14:paraId="34CEB151" w14:textId="77777777" w:rsidR="00401E44" w:rsidRPr="00725334" w:rsidRDefault="00401E44" w:rsidP="0001256C">
            <w:pPr>
              <w:pStyle w:val="BodyText"/>
              <w:jc w:val="both"/>
              <w:rPr>
                <w:rFonts w:ascii="Arial" w:hAnsi="Arial" w:cs="Arial"/>
                <w:b/>
                <w:bCs/>
                <w:sz w:val="20"/>
              </w:rPr>
            </w:pPr>
            <w:r w:rsidRPr="00725334">
              <w:rPr>
                <w:rFonts w:ascii="Arial" w:hAnsi="Arial" w:cs="Arial"/>
                <w:b/>
                <w:bCs/>
                <w:sz w:val="20"/>
              </w:rPr>
              <w:t>0</w:t>
            </w:r>
          </w:p>
        </w:tc>
        <w:tc>
          <w:tcPr>
            <w:tcW w:w="1080" w:type="dxa"/>
          </w:tcPr>
          <w:p w14:paraId="7875531A" w14:textId="77777777" w:rsidR="00401E44" w:rsidRPr="00725334" w:rsidRDefault="00112E0F" w:rsidP="0001256C">
            <w:pPr>
              <w:pStyle w:val="BodyText"/>
              <w:jc w:val="both"/>
              <w:rPr>
                <w:rFonts w:ascii="Arial" w:hAnsi="Arial" w:cs="Arial"/>
                <w:b/>
                <w:bCs/>
                <w:sz w:val="20"/>
              </w:rPr>
            </w:pPr>
            <w:r>
              <w:rPr>
                <w:rFonts w:ascii="Arial" w:hAnsi="Arial" w:cs="Arial"/>
                <w:b/>
                <w:bCs/>
                <w:sz w:val="20"/>
              </w:rPr>
              <w:t>150,000</w:t>
            </w:r>
          </w:p>
        </w:tc>
        <w:tc>
          <w:tcPr>
            <w:tcW w:w="712" w:type="dxa"/>
          </w:tcPr>
          <w:p w14:paraId="4802151D" w14:textId="77777777" w:rsidR="00401E44" w:rsidRPr="00EA1AEF" w:rsidRDefault="006538E2" w:rsidP="00112E0F">
            <w:pPr>
              <w:pStyle w:val="BodyText"/>
              <w:jc w:val="both"/>
              <w:rPr>
                <w:rFonts w:ascii="Arial" w:hAnsi="Arial" w:cs="Arial"/>
                <w:b/>
                <w:bCs/>
                <w:sz w:val="20"/>
              </w:rPr>
            </w:pPr>
            <w:r>
              <w:rPr>
                <w:rFonts w:ascii="Arial" w:hAnsi="Arial" w:cs="Arial"/>
                <w:b/>
                <w:bCs/>
                <w:sz w:val="20"/>
              </w:rPr>
              <w:t>4</w:t>
            </w:r>
            <w:r w:rsidR="00112E0F">
              <w:rPr>
                <w:rFonts w:ascii="Arial" w:hAnsi="Arial" w:cs="Arial"/>
                <w:b/>
                <w:bCs/>
                <w:sz w:val="20"/>
              </w:rPr>
              <w:t>5</w:t>
            </w:r>
          </w:p>
        </w:tc>
      </w:tr>
      <w:tr w:rsidR="00401E44" w:rsidRPr="00725334" w14:paraId="51EF4642" w14:textId="77777777" w:rsidTr="00354F51">
        <w:tc>
          <w:tcPr>
            <w:tcW w:w="1761" w:type="dxa"/>
          </w:tcPr>
          <w:p w14:paraId="3DB5C6DB" w14:textId="77777777" w:rsidR="00401E44" w:rsidRPr="00725334" w:rsidRDefault="00401E44" w:rsidP="0001256C">
            <w:pPr>
              <w:pStyle w:val="BodyText"/>
              <w:jc w:val="both"/>
              <w:rPr>
                <w:rFonts w:ascii="Arial" w:hAnsi="Arial" w:cs="Arial"/>
                <w:b/>
                <w:bCs/>
                <w:sz w:val="20"/>
              </w:rPr>
            </w:pPr>
          </w:p>
        </w:tc>
        <w:tc>
          <w:tcPr>
            <w:tcW w:w="4647" w:type="dxa"/>
          </w:tcPr>
          <w:p w14:paraId="019A91C2" w14:textId="77777777" w:rsidR="00401E44" w:rsidRPr="00725334" w:rsidRDefault="006538E2" w:rsidP="0001256C">
            <w:pPr>
              <w:pStyle w:val="BodyText"/>
              <w:jc w:val="both"/>
              <w:rPr>
                <w:rFonts w:ascii="Arial" w:hAnsi="Arial" w:cs="Arial"/>
                <w:b/>
                <w:bCs/>
                <w:sz w:val="20"/>
              </w:rPr>
            </w:pPr>
            <w:r>
              <w:rPr>
                <w:rFonts w:ascii="Arial" w:hAnsi="Arial" w:cs="Arial"/>
                <w:b/>
                <w:bCs/>
                <w:sz w:val="20"/>
              </w:rPr>
              <w:t>COPS Hiring Program</w:t>
            </w:r>
          </w:p>
        </w:tc>
        <w:tc>
          <w:tcPr>
            <w:tcW w:w="720" w:type="dxa"/>
          </w:tcPr>
          <w:p w14:paraId="21D67CEC" w14:textId="77777777" w:rsidR="00401E44" w:rsidRPr="00725334" w:rsidRDefault="00401E44" w:rsidP="0001256C">
            <w:pPr>
              <w:pStyle w:val="BodyText"/>
              <w:jc w:val="both"/>
              <w:rPr>
                <w:rFonts w:ascii="Arial" w:hAnsi="Arial" w:cs="Arial"/>
                <w:b/>
                <w:bCs/>
                <w:sz w:val="20"/>
              </w:rPr>
            </w:pPr>
            <w:r w:rsidRPr="00725334">
              <w:rPr>
                <w:rFonts w:ascii="Arial" w:hAnsi="Arial" w:cs="Arial"/>
                <w:b/>
                <w:bCs/>
                <w:sz w:val="20"/>
              </w:rPr>
              <w:t>0</w:t>
            </w:r>
          </w:p>
        </w:tc>
        <w:tc>
          <w:tcPr>
            <w:tcW w:w="720" w:type="dxa"/>
          </w:tcPr>
          <w:p w14:paraId="3C831B1D" w14:textId="77777777" w:rsidR="00401E44" w:rsidRPr="00725334" w:rsidRDefault="00401E44" w:rsidP="0001256C">
            <w:pPr>
              <w:pStyle w:val="BodyText"/>
              <w:jc w:val="both"/>
              <w:rPr>
                <w:rFonts w:ascii="Arial" w:hAnsi="Arial" w:cs="Arial"/>
                <w:b/>
                <w:bCs/>
                <w:sz w:val="20"/>
              </w:rPr>
            </w:pPr>
            <w:r w:rsidRPr="00725334">
              <w:rPr>
                <w:rFonts w:ascii="Arial" w:hAnsi="Arial" w:cs="Arial"/>
                <w:b/>
                <w:bCs/>
                <w:sz w:val="20"/>
              </w:rPr>
              <w:t>0</w:t>
            </w:r>
          </w:p>
        </w:tc>
        <w:tc>
          <w:tcPr>
            <w:tcW w:w="1080" w:type="dxa"/>
          </w:tcPr>
          <w:p w14:paraId="0CB4016A" w14:textId="77777777" w:rsidR="00401E44" w:rsidRPr="00725334" w:rsidRDefault="00112E0F" w:rsidP="0001256C">
            <w:pPr>
              <w:pStyle w:val="BodyText"/>
              <w:jc w:val="both"/>
              <w:rPr>
                <w:rFonts w:ascii="Arial" w:hAnsi="Arial" w:cs="Arial"/>
                <w:b/>
                <w:bCs/>
                <w:sz w:val="20"/>
              </w:rPr>
            </w:pPr>
            <w:r>
              <w:rPr>
                <w:rFonts w:ascii="Arial" w:hAnsi="Arial" w:cs="Arial"/>
                <w:b/>
                <w:bCs/>
                <w:sz w:val="20"/>
              </w:rPr>
              <w:t>91</w:t>
            </w:r>
            <w:r w:rsidR="00401E44">
              <w:rPr>
                <w:rFonts w:ascii="Arial" w:hAnsi="Arial" w:cs="Arial"/>
                <w:b/>
                <w:bCs/>
                <w:sz w:val="20"/>
              </w:rPr>
              <w:t>,000</w:t>
            </w:r>
          </w:p>
        </w:tc>
        <w:tc>
          <w:tcPr>
            <w:tcW w:w="712" w:type="dxa"/>
          </w:tcPr>
          <w:p w14:paraId="70A70171" w14:textId="77777777" w:rsidR="00401E44" w:rsidRPr="00EA1AEF" w:rsidRDefault="006538E2" w:rsidP="00112E0F">
            <w:pPr>
              <w:pStyle w:val="BodyText"/>
              <w:jc w:val="both"/>
              <w:rPr>
                <w:rFonts w:ascii="Arial" w:hAnsi="Arial" w:cs="Arial"/>
                <w:b/>
                <w:bCs/>
                <w:sz w:val="20"/>
              </w:rPr>
            </w:pPr>
            <w:r>
              <w:rPr>
                <w:rFonts w:ascii="Arial" w:hAnsi="Arial" w:cs="Arial"/>
                <w:b/>
                <w:bCs/>
                <w:sz w:val="20"/>
              </w:rPr>
              <w:t>4</w:t>
            </w:r>
            <w:r w:rsidR="00112E0F">
              <w:rPr>
                <w:rFonts w:ascii="Arial" w:hAnsi="Arial" w:cs="Arial"/>
                <w:b/>
                <w:bCs/>
                <w:sz w:val="20"/>
              </w:rPr>
              <w:t>6</w:t>
            </w:r>
          </w:p>
        </w:tc>
      </w:tr>
    </w:tbl>
    <w:p w14:paraId="636735B4" w14:textId="77777777" w:rsidR="00401E44" w:rsidRPr="00B57F8A" w:rsidRDefault="00401E44" w:rsidP="0001256C">
      <w:pPr>
        <w:pStyle w:val="BodyText"/>
        <w:jc w:val="both"/>
        <w:rPr>
          <w:b/>
          <w:szCs w:val="24"/>
        </w:rPr>
      </w:pPr>
    </w:p>
    <w:p w14:paraId="09843188" w14:textId="77777777" w:rsidR="00C524E3" w:rsidRDefault="00C524E3">
      <w:pPr>
        <w:rPr>
          <w:b/>
        </w:rPr>
      </w:pPr>
      <w:r>
        <w:rPr>
          <w:b/>
        </w:rPr>
        <w:br w:type="page"/>
      </w:r>
    </w:p>
    <w:p w14:paraId="2F6CDA8A" w14:textId="77777777" w:rsidR="005352EE" w:rsidRPr="00B57F8A" w:rsidRDefault="006E724A" w:rsidP="0001256C">
      <w:pPr>
        <w:jc w:val="both"/>
        <w:rPr>
          <w:b/>
        </w:rPr>
      </w:pPr>
      <w:r>
        <w:rPr>
          <w:b/>
        </w:rPr>
        <w:lastRenderedPageBreak/>
        <w:t xml:space="preserve">III. </w:t>
      </w:r>
      <w:r w:rsidR="005352EE" w:rsidRPr="00B57F8A">
        <w:rPr>
          <w:b/>
        </w:rPr>
        <w:t>Appropriations Language and Analysis of Appropriations Language</w:t>
      </w:r>
    </w:p>
    <w:p w14:paraId="7E08B972" w14:textId="77777777" w:rsidR="005352EE" w:rsidRPr="00B57F8A" w:rsidRDefault="005352EE" w:rsidP="0001256C">
      <w:pPr>
        <w:pStyle w:val="BodyText"/>
        <w:jc w:val="both"/>
        <w:rPr>
          <w:b/>
          <w:szCs w:val="24"/>
          <w:highlight w:val="yellow"/>
        </w:rPr>
      </w:pPr>
    </w:p>
    <w:p w14:paraId="2FBF3809" w14:textId="77777777" w:rsidR="005352EE" w:rsidRPr="00A40ADB" w:rsidRDefault="005352EE" w:rsidP="0001256C">
      <w:pPr>
        <w:pStyle w:val="Default"/>
        <w:jc w:val="both"/>
        <w:rPr>
          <w:color w:val="auto"/>
        </w:rPr>
      </w:pPr>
      <w:r w:rsidRPr="00A40ADB">
        <w:rPr>
          <w:color w:val="auto"/>
        </w:rPr>
        <w:t xml:space="preserve">COMMUNITY ORIENTED POLICING SERVICES </w:t>
      </w:r>
    </w:p>
    <w:p w14:paraId="55D58138" w14:textId="77777777" w:rsidR="005352EE" w:rsidRPr="00A40ADB" w:rsidRDefault="005352EE" w:rsidP="0001256C">
      <w:pPr>
        <w:pStyle w:val="Default"/>
        <w:jc w:val="both"/>
        <w:rPr>
          <w:color w:val="auto"/>
        </w:rPr>
      </w:pPr>
    </w:p>
    <w:p w14:paraId="7ACB13E9" w14:textId="77777777" w:rsidR="005352EE" w:rsidRPr="00240532" w:rsidRDefault="005352EE" w:rsidP="0001256C">
      <w:pPr>
        <w:pStyle w:val="CM8"/>
        <w:jc w:val="both"/>
        <w:rPr>
          <w:i/>
        </w:rPr>
      </w:pPr>
      <w:r w:rsidRPr="005A438D">
        <w:rPr>
          <w:iCs/>
        </w:rPr>
        <w:t xml:space="preserve">For activities authorized by the Violent Crime Control and Law Enforcement Act of 1994 (Public Law 103–322); the Omnibus Crime Control and Safe Streets Act of 1968 ("the 1968 Act''); and the Violence Against Women and Department of Justice Reauthorization Act of 2005 (Public Law 109–162) (“the 2005 Act”), </w:t>
      </w:r>
      <w:r>
        <w:rPr>
          <w:iCs/>
        </w:rPr>
        <w:t>[$</w:t>
      </w:r>
      <w:r w:rsidRPr="005A438D">
        <w:t>289,587,000</w:t>
      </w:r>
      <w:r w:rsidRPr="001F1358">
        <w:t>]</w:t>
      </w:r>
      <w:r w:rsidRPr="00355582">
        <w:rPr>
          <w:i/>
        </w:rPr>
        <w:t>$439,500,00</w:t>
      </w:r>
      <w:r w:rsidRPr="005A438D">
        <w:rPr>
          <w:iCs/>
        </w:rPr>
        <w:t xml:space="preserve">, to </w:t>
      </w:r>
      <w:r>
        <w:rPr>
          <w:iCs/>
        </w:rPr>
        <w:t>remain available until expended</w:t>
      </w:r>
      <w:r w:rsidRPr="005A438D">
        <w:t>:  Provided, That, in addition to any amounts that are otherwise available (or authorized to be made available) for training and technical assistance, up to 5 percent of funds made available to the Office of Community Oriented Policing Services for grants may be used to provide training and technical assistance</w:t>
      </w:r>
      <w:r>
        <w:t>[</w:t>
      </w:r>
      <w:r w:rsidRPr="005A438D">
        <w:t>.</w:t>
      </w:r>
      <w:r>
        <w:t>]</w:t>
      </w:r>
      <w:r>
        <w:rPr>
          <w:i/>
        </w:rPr>
        <w:t>:</w:t>
      </w:r>
      <w:r>
        <w:t xml:space="preserve">  </w:t>
      </w:r>
      <w:r w:rsidRPr="00CC17FA">
        <w:rPr>
          <w:i/>
          <w:u w:val="single"/>
        </w:rPr>
        <w:t>Provided further, That, in addition to any amounts that are otherwise available (or authorized to be made available) for research, evaluation or statistical purposes, up to 2 percent of funds made available to the Office of Community Oriented Policing Services for grants may be used for such purposes, including an evaluation administered with assistance from the Department of Education on the effectiveness of COPS-funded school resource officers and any other studies evaluating the impact of advancing public safety through community policing.</w:t>
      </w:r>
    </w:p>
    <w:p w14:paraId="5BC7D84A" w14:textId="77777777" w:rsidR="005352EE" w:rsidRPr="005A438D" w:rsidRDefault="005352EE" w:rsidP="0001256C">
      <w:pPr>
        <w:pStyle w:val="CM8"/>
        <w:jc w:val="both"/>
      </w:pPr>
    </w:p>
    <w:p w14:paraId="1CC17876" w14:textId="77777777" w:rsidR="005352EE" w:rsidRPr="005A438D" w:rsidRDefault="005352EE" w:rsidP="0001256C">
      <w:pPr>
        <w:pStyle w:val="CM8"/>
        <w:jc w:val="both"/>
        <w:rPr>
          <w:iCs/>
        </w:rPr>
      </w:pPr>
      <w:r w:rsidRPr="005A438D">
        <w:rPr>
          <w:iCs/>
        </w:rPr>
        <w:t xml:space="preserve">Of the amount provided under this heading: </w:t>
      </w:r>
    </w:p>
    <w:p w14:paraId="4536F7B8" w14:textId="77777777" w:rsidR="005352EE" w:rsidRPr="005A438D" w:rsidRDefault="005352EE" w:rsidP="0001256C">
      <w:pPr>
        <w:pStyle w:val="Default"/>
        <w:jc w:val="both"/>
        <w:rPr>
          <w:color w:val="auto"/>
        </w:rPr>
      </w:pPr>
    </w:p>
    <w:p w14:paraId="68CA382A" w14:textId="77777777" w:rsidR="005352EE" w:rsidRPr="005A438D" w:rsidRDefault="005352EE" w:rsidP="0001256C">
      <w:pPr>
        <w:pStyle w:val="CM34"/>
        <w:spacing w:after="272" w:line="276" w:lineRule="atLeast"/>
        <w:jc w:val="both"/>
      </w:pPr>
      <w:r w:rsidRPr="005A438D">
        <w:rPr>
          <w:iCs/>
        </w:rPr>
        <w:t xml:space="preserve">(1) $12,500,000 is for anti-methamphetamine-related </w:t>
      </w:r>
      <w:r>
        <w:rPr>
          <w:iCs/>
        </w:rPr>
        <w:t>[</w:t>
      </w:r>
      <w:r w:rsidRPr="005A438D">
        <w:rPr>
          <w:iCs/>
        </w:rPr>
        <w:t>grants and assistance</w:t>
      </w:r>
      <w:r>
        <w:rPr>
          <w:iCs/>
        </w:rPr>
        <w:t xml:space="preserve">] </w:t>
      </w:r>
      <w:r w:rsidRPr="00CC17FA">
        <w:rPr>
          <w:i/>
          <w:iCs/>
          <w:u w:val="single"/>
        </w:rPr>
        <w:t>activities, which shall be available to reimburse the Drug Enforcement Administration</w:t>
      </w:r>
      <w:r>
        <w:rPr>
          <w:iCs/>
        </w:rPr>
        <w:t>;</w:t>
      </w:r>
    </w:p>
    <w:p w14:paraId="30D999CC" w14:textId="77777777" w:rsidR="005352EE" w:rsidRPr="005A438D" w:rsidRDefault="005352EE" w:rsidP="0001256C">
      <w:pPr>
        <w:pStyle w:val="Default"/>
        <w:spacing w:after="202"/>
        <w:jc w:val="both"/>
        <w:rPr>
          <w:color w:val="auto"/>
        </w:rPr>
      </w:pPr>
      <w:r w:rsidRPr="005A438D">
        <w:rPr>
          <w:iCs/>
          <w:color w:val="auto"/>
        </w:rPr>
        <w:t xml:space="preserve">(2) $20,000,000 </w:t>
      </w:r>
      <w:r w:rsidRPr="005A438D">
        <w:rPr>
          <w:color w:val="auto"/>
        </w:rPr>
        <w:t>is</w:t>
      </w:r>
      <w:r w:rsidRPr="005A438D">
        <w:rPr>
          <w:iCs/>
          <w:color w:val="auto"/>
        </w:rPr>
        <w:t xml:space="preserve"> for improving tribal law enforcement, including hiring, equipment, training, and anti-methamphetamine activities; and  </w:t>
      </w:r>
    </w:p>
    <w:p w14:paraId="26EDE839" w14:textId="77777777" w:rsidR="005352EE" w:rsidRDefault="005352EE" w:rsidP="0001256C">
      <w:pPr>
        <w:jc w:val="both"/>
        <w:rPr>
          <w:iCs/>
        </w:rPr>
      </w:pPr>
      <w:r>
        <w:rPr>
          <w:iCs/>
        </w:rPr>
        <w:t>(3) [</w:t>
      </w:r>
      <w:r>
        <w:t>$257,087,000]</w:t>
      </w:r>
      <w:r w:rsidRPr="00302A5E">
        <w:rPr>
          <w:i/>
        </w:rPr>
        <w:t>$257,000,00</w:t>
      </w:r>
      <w:r>
        <w:rPr>
          <w:iCs/>
        </w:rPr>
        <w:t xml:space="preserve"> is for grants under section 1701 of title I of the 1968 Act (42 U.S.C. 3796dd) for the hiring and rehiring of additional career law enforcement officers under part Q of such title notwithstanding subsection (i) and (h) of such section:</w:t>
      </w:r>
      <w:r w:rsidRPr="00373F62">
        <w:rPr>
          <w:iCs/>
        </w:rPr>
        <w:t xml:space="preserve"> </w:t>
      </w:r>
      <w:r>
        <w:rPr>
          <w:iCs/>
        </w:rPr>
        <w:t xml:space="preserve"> </w:t>
      </w:r>
      <w:r w:rsidRPr="00D02407">
        <w:rPr>
          <w:iCs/>
          <w:u w:val="single"/>
        </w:rPr>
        <w:t>Provided,</w:t>
      </w:r>
      <w:r w:rsidRPr="00373F62">
        <w:rPr>
          <w:iCs/>
        </w:rPr>
        <w:t xml:space="preserve"> That notwithstanding subsection (g) of t</w:t>
      </w:r>
      <w:r>
        <w:rPr>
          <w:iCs/>
        </w:rPr>
        <w:t xml:space="preserve">he 1968 Act (42 U.S.C. 3796dd), the Federal share of the costs of a project funded by such grants may not exceed 75 percent unless the Director of the Office of Community Oriented Policing Services waives, wholly or in part, the requirement of a non-Federal contribution to the costs of a project:  Provided further, That notwithstanding 42 U.S.C. 3796dd-3(c),  funding for hiring or rehiring a career law enforcement officer may not exceed $125,000, unless the Director of the Office of Community Oriented Policing Services grants a waiver from this limitation:  </w:t>
      </w:r>
      <w:r w:rsidRPr="00982686">
        <w:rPr>
          <w:rFonts w:cs="Calibri"/>
          <w:i/>
          <w:iCs/>
          <w:color w:val="000000"/>
          <w:u w:val="single"/>
        </w:rPr>
        <w:t>Provided further, That in addition to the purposes set out in subsection 1701(b)(1) and (2) of the 1968 Act (42 U.S.C. 3796dd(b)(1) and (2)), grants made with funds provided in this paragraph may be used for the hiring of non-</w:t>
      </w:r>
      <w:r w:rsidRPr="00982686">
        <w:rPr>
          <w:rFonts w:cs="Calibri"/>
          <w:i/>
          <w:iCs/>
          <w:u w:val="single"/>
        </w:rPr>
        <w:t>sworn</w:t>
      </w:r>
      <w:r w:rsidRPr="00982686">
        <w:rPr>
          <w:rFonts w:cs="Calibri"/>
          <w:i/>
          <w:iCs/>
          <w:color w:val="1F497D"/>
          <w:u w:val="single"/>
        </w:rPr>
        <w:t xml:space="preserve"> </w:t>
      </w:r>
      <w:r w:rsidRPr="00982686">
        <w:rPr>
          <w:rFonts w:cs="Calibri"/>
          <w:i/>
          <w:iCs/>
          <w:color w:val="000000"/>
          <w:u w:val="single"/>
        </w:rPr>
        <w:t>law enforcement personnel in am</w:t>
      </w:r>
      <w:r>
        <w:rPr>
          <w:rFonts w:cs="Calibri"/>
          <w:i/>
          <w:iCs/>
          <w:color w:val="000000"/>
          <w:u w:val="single"/>
        </w:rPr>
        <w:t>ounts not to exceed $50,000,000:</w:t>
      </w:r>
      <w:r>
        <w:rPr>
          <w:rFonts w:cs="Calibri"/>
          <w:iCs/>
          <w:color w:val="000000"/>
        </w:rPr>
        <w:t xml:space="preserve">  </w:t>
      </w:r>
      <w:r w:rsidRPr="00D02407">
        <w:rPr>
          <w:u w:val="single"/>
        </w:rPr>
        <w:t>Provided further,</w:t>
      </w:r>
      <w:r>
        <w:t xml:space="preserve"> </w:t>
      </w:r>
      <w:r>
        <w:rPr>
          <w:iCs/>
        </w:rPr>
        <w:t xml:space="preserve">That within the amounts appropriated </w:t>
      </w:r>
      <w:r>
        <w:t xml:space="preserve">$15,000,000 </w:t>
      </w:r>
      <w:r>
        <w:rPr>
          <w:iCs/>
        </w:rPr>
        <w:t xml:space="preserve"> shall be transferred to the Tribal Resources Grant Program to be used for the hiring and rehiring of tribal law enforcement officers:  </w:t>
      </w:r>
      <w:r w:rsidRPr="00D02407">
        <w:rPr>
          <w:iCs/>
          <w:u w:val="single"/>
        </w:rPr>
        <w:t>Provided further,</w:t>
      </w:r>
      <w:r>
        <w:rPr>
          <w:iCs/>
        </w:rPr>
        <w:t xml:space="preserve"> That of the amounts appropriated under this paragraph, $15,000,000 is for community policing development activities in furtherance of the purposes in section 1701:  </w:t>
      </w:r>
      <w:r w:rsidRPr="00CC17FA">
        <w:rPr>
          <w:i/>
          <w:iCs/>
          <w:u w:val="single"/>
        </w:rPr>
        <w:t>Provided further, That of the amounts appropriated under this paragraph, $10,000,000 is for the collaborative reform model of technical assistance in furtherance of the purposes in section 1701:</w:t>
      </w:r>
      <w:r>
        <w:rPr>
          <w:iCs/>
        </w:rPr>
        <w:t xml:space="preserve">  </w:t>
      </w:r>
      <w:r w:rsidRPr="00D02407">
        <w:rPr>
          <w:iCs/>
          <w:u w:val="single"/>
        </w:rPr>
        <w:t>Provided further,</w:t>
      </w:r>
      <w:r>
        <w:rPr>
          <w:iCs/>
        </w:rPr>
        <w:t xml:space="preserve"> That within the amounts appropriated herein, notwithstanding subsections (f) and (h) of section 1701 of title I of the 1968 Act, 5 percent may be awarded at the discretion of the Attorney General to address special needs, contingencies, and requirements.</w:t>
      </w:r>
    </w:p>
    <w:p w14:paraId="0FF2A6A1" w14:textId="77777777" w:rsidR="005352EE" w:rsidRDefault="005352EE" w:rsidP="0001256C">
      <w:pPr>
        <w:jc w:val="both"/>
      </w:pPr>
    </w:p>
    <w:p w14:paraId="6AEF32BF" w14:textId="77777777" w:rsidR="005352EE" w:rsidRPr="00014AA7" w:rsidRDefault="005352EE" w:rsidP="0001256C">
      <w:pPr>
        <w:jc w:val="both"/>
        <w:rPr>
          <w:i/>
        </w:rPr>
      </w:pPr>
      <w:r w:rsidRPr="00CC17FA">
        <w:rPr>
          <w:i/>
          <w:u w:val="single"/>
        </w:rPr>
        <w:t xml:space="preserve">(4) $150,000,000 is for a comprehensive school safety program of grants and technical assistance to improve school safety through hiring, equipment, training and responding to other critical needs as authorized by sections 1701 and 2701 of the 1968 Act (42 U.S.C. 3796dd and 42 U.S.C. 3797a): Provided, That in addition to the hiring of sworn school resource officers under 42 U.S.C. 3796dd(b)(12), grants made with funds under this paragraph may be used for the hiring of non-sworn school safety </w:t>
      </w:r>
      <w:r w:rsidRPr="00CC17FA">
        <w:rPr>
          <w:u w:val="single"/>
        </w:rPr>
        <w:t>personnel, including</w:t>
      </w:r>
      <w:r w:rsidRPr="00304CB5">
        <w:rPr>
          <w:color w:val="1F497D"/>
          <w:u w:val="single"/>
        </w:rPr>
        <w:t xml:space="preserve"> </w:t>
      </w:r>
      <w:r w:rsidRPr="00CC17FA">
        <w:rPr>
          <w:i/>
          <w:u w:val="single"/>
        </w:rPr>
        <w:t xml:space="preserve">civilian public safety personnel, school counselors, school psychologists, other qualified psychologists, school social workers, and child and adolescent psychiatrists: </w:t>
      </w:r>
      <w:r w:rsidRPr="00CC17FA">
        <w:rPr>
          <w:i/>
          <w:iCs/>
          <w:u w:val="single"/>
        </w:rPr>
        <w:t>Provided further</w:t>
      </w:r>
      <w:r w:rsidRPr="00CC17FA">
        <w:rPr>
          <w:i/>
          <w:u w:val="single"/>
        </w:rPr>
        <w:t>, That the terms school counselor, school psychologist, other qualified psychologist, school social worker, and child and adolescent psychiatrists are as defined by Section 5421(e) of the Elementary and Secondary Education Act of 1965, as amended: Provided further, That notwithstanding 42 USC 3796dd-3(c), funding for the hiring of a school safety position may not exceed $125,000, unless the Director of the Office of Community Oriented Policing Services grants a waiver from this limitation: Provided further, That notwithstanding 42 U.S.C. 3797a(d)(1), the matching funds requirement set forth in 42 U.S.C. 3796dd(g) shall apply to this program: Provided further, That notwithstanding 42 U.S.C. 3797d(1), for the purposes of this program, "school" means any elementary or secondary school as set forth in 42 U.S.C. 3796dd(b)(12): Provided further, That grants may be awarded and technical assistance may be provided under this program to the entities set forth in 42 U.S.C. 3796dd(a): Provided further, That this program shall be administered with assistance from the Department of Education: Provided further, That the Attorney General may transfer such amounts to the Department of Education, from the amounts appropriated under this paragraph, as may be necessary to administer this program.</w:t>
      </w:r>
    </w:p>
    <w:p w14:paraId="757AB56E" w14:textId="77777777" w:rsidR="005352EE" w:rsidRDefault="005352EE" w:rsidP="0001256C">
      <w:pPr>
        <w:jc w:val="both"/>
        <w:rPr>
          <w:rFonts w:eastAsiaTheme="minorHAnsi"/>
        </w:rPr>
      </w:pPr>
    </w:p>
    <w:p w14:paraId="7F8F3A76" w14:textId="77777777" w:rsidR="00C524E3" w:rsidRDefault="00C524E3">
      <w:pPr>
        <w:rPr>
          <w:b/>
        </w:rPr>
      </w:pPr>
      <w:r>
        <w:rPr>
          <w:b/>
        </w:rPr>
        <w:br w:type="page"/>
      </w:r>
    </w:p>
    <w:p w14:paraId="34C2CAA9" w14:textId="77777777" w:rsidR="005352EE" w:rsidRPr="00A40ADB" w:rsidRDefault="005352EE" w:rsidP="0001256C">
      <w:pPr>
        <w:jc w:val="both"/>
        <w:rPr>
          <w:b/>
        </w:rPr>
      </w:pPr>
      <w:r w:rsidRPr="00A40ADB">
        <w:rPr>
          <w:b/>
        </w:rPr>
        <w:lastRenderedPageBreak/>
        <w:t>Analysis of Appropriations Language</w:t>
      </w:r>
    </w:p>
    <w:p w14:paraId="2FE590BC" w14:textId="77777777" w:rsidR="005352EE" w:rsidRPr="00A40ADB" w:rsidRDefault="005352EE" w:rsidP="0001256C">
      <w:pPr>
        <w:jc w:val="both"/>
      </w:pPr>
    </w:p>
    <w:p w14:paraId="14EE3FE3" w14:textId="77777777" w:rsidR="00304CB5" w:rsidRDefault="005352EE" w:rsidP="0001256C">
      <w:pPr>
        <w:pStyle w:val="CM8"/>
        <w:jc w:val="both"/>
      </w:pPr>
      <w:r>
        <w:rPr>
          <w:u w:val="single"/>
        </w:rPr>
        <w:t>Addition</w:t>
      </w:r>
      <w:r w:rsidRPr="008F6FC0">
        <w:rPr>
          <w:u w:val="single"/>
        </w:rPr>
        <w:t>:</w:t>
      </w:r>
      <w:r w:rsidRPr="008F6FC0">
        <w:t xml:space="preserve"> Provided further, That, in addition to any amounts that are otherwise available (or authorized to be made available) for research, evaluation or statistical purposes, up to 2 percent of funds made available to the Office of Community Oriented Policing Services for grants may be used for such purposes, including an evaluation administered with assistance from the Department of Education on the effectiveness of COPS-funded school resource officers and any other studies evaluating the impact of advancing public safety through community policing.</w:t>
      </w:r>
      <w:r>
        <w:t xml:space="preserve">  </w:t>
      </w:r>
    </w:p>
    <w:p w14:paraId="131594CD" w14:textId="77777777" w:rsidR="00304CB5" w:rsidRDefault="00304CB5" w:rsidP="0001256C">
      <w:pPr>
        <w:pStyle w:val="CM8"/>
        <w:jc w:val="both"/>
      </w:pPr>
    </w:p>
    <w:p w14:paraId="3DFA2BD4" w14:textId="77777777" w:rsidR="005352EE" w:rsidRDefault="005352EE" w:rsidP="0001256C">
      <w:pPr>
        <w:pStyle w:val="CM8"/>
        <w:jc w:val="both"/>
      </w:pPr>
      <w:r>
        <w:t xml:space="preserve">Provides authority to use up to 2 percent of program funding for </w:t>
      </w:r>
      <w:r w:rsidRPr="008F6FC0">
        <w:t>research</w:t>
      </w:r>
      <w:r>
        <w:t xml:space="preserve">, </w:t>
      </w:r>
      <w:r w:rsidRPr="008F6FC0">
        <w:t>evaluation or statistical purposes</w:t>
      </w:r>
      <w:r>
        <w:t>, in addition to other funding appropriated for these purposes.</w:t>
      </w:r>
    </w:p>
    <w:p w14:paraId="41703610" w14:textId="77777777" w:rsidR="005352EE" w:rsidRDefault="005352EE" w:rsidP="0001256C">
      <w:pPr>
        <w:pStyle w:val="Default"/>
        <w:jc w:val="both"/>
      </w:pPr>
    </w:p>
    <w:p w14:paraId="08D6D9AF" w14:textId="77777777" w:rsidR="00304CB5" w:rsidRDefault="005352EE" w:rsidP="0001256C">
      <w:pPr>
        <w:pStyle w:val="Default"/>
        <w:jc w:val="both"/>
      </w:pPr>
      <w:r>
        <w:rPr>
          <w:u w:val="single"/>
        </w:rPr>
        <w:t>Deletion</w:t>
      </w:r>
      <w:r w:rsidRPr="000C3DE3">
        <w:t xml:space="preserve">: grants and assistance.  </w:t>
      </w:r>
    </w:p>
    <w:p w14:paraId="3569C832" w14:textId="77777777" w:rsidR="00304CB5" w:rsidRDefault="00304CB5" w:rsidP="0001256C">
      <w:pPr>
        <w:pStyle w:val="Default"/>
        <w:jc w:val="both"/>
      </w:pPr>
    </w:p>
    <w:p w14:paraId="3631F3CA" w14:textId="77777777" w:rsidR="005352EE" w:rsidRPr="000C3DE3" w:rsidRDefault="005352EE" w:rsidP="0001256C">
      <w:pPr>
        <w:pStyle w:val="Default"/>
        <w:jc w:val="both"/>
      </w:pPr>
      <w:r>
        <w:t>Removes the authori</w:t>
      </w:r>
      <w:r w:rsidR="007B36C1">
        <w:t xml:space="preserve">ty to use this funding for COPS-administered </w:t>
      </w:r>
      <w:r>
        <w:t>grants and assistance</w:t>
      </w:r>
      <w:r w:rsidR="00C0641E">
        <w:t xml:space="preserve"> as it relates to anti-</w:t>
      </w:r>
      <w:r w:rsidR="00C0641E" w:rsidRPr="00C0641E">
        <w:rPr>
          <w:iCs/>
          <w:color w:val="auto"/>
        </w:rPr>
        <w:t xml:space="preserve"> </w:t>
      </w:r>
      <w:r w:rsidR="00C0641E" w:rsidRPr="00417644">
        <w:rPr>
          <w:iCs/>
          <w:color w:val="auto"/>
        </w:rPr>
        <w:t>methamphetamine</w:t>
      </w:r>
      <w:r w:rsidR="00C0641E">
        <w:rPr>
          <w:iCs/>
          <w:color w:val="auto"/>
        </w:rPr>
        <w:t xml:space="preserve"> activities</w:t>
      </w:r>
      <w:r>
        <w:t>.</w:t>
      </w:r>
    </w:p>
    <w:p w14:paraId="35626D1E" w14:textId="77777777" w:rsidR="005352EE" w:rsidRDefault="005352EE" w:rsidP="0001256C">
      <w:pPr>
        <w:pStyle w:val="Default"/>
        <w:jc w:val="both"/>
        <w:rPr>
          <w:u w:val="single"/>
        </w:rPr>
      </w:pPr>
    </w:p>
    <w:p w14:paraId="1C00DE7C" w14:textId="77777777" w:rsidR="00304CB5" w:rsidRDefault="005352EE" w:rsidP="0001256C">
      <w:pPr>
        <w:pStyle w:val="Default"/>
        <w:jc w:val="both"/>
        <w:rPr>
          <w:iCs/>
        </w:rPr>
      </w:pPr>
      <w:r w:rsidRPr="00283B98">
        <w:rPr>
          <w:u w:val="single"/>
        </w:rPr>
        <w:t>Addition:</w:t>
      </w:r>
      <w:r w:rsidRPr="00283B98">
        <w:t xml:space="preserve">  </w:t>
      </w:r>
      <w:r w:rsidRPr="00283B98">
        <w:rPr>
          <w:iCs/>
        </w:rPr>
        <w:t>activities, which shall be available to reimburse the Dr</w:t>
      </w:r>
      <w:r>
        <w:rPr>
          <w:iCs/>
        </w:rPr>
        <w:t xml:space="preserve">ug Enforcement Administration.  </w:t>
      </w:r>
    </w:p>
    <w:p w14:paraId="6863F291" w14:textId="77777777" w:rsidR="00304CB5" w:rsidRDefault="00304CB5" w:rsidP="0001256C">
      <w:pPr>
        <w:pStyle w:val="Default"/>
        <w:jc w:val="both"/>
        <w:rPr>
          <w:iCs/>
        </w:rPr>
      </w:pPr>
    </w:p>
    <w:p w14:paraId="5D5D955E" w14:textId="77777777" w:rsidR="00E250F2" w:rsidRDefault="00456176" w:rsidP="0001256C">
      <w:pPr>
        <w:pStyle w:val="Default"/>
        <w:jc w:val="both"/>
      </w:pPr>
      <w:r>
        <w:rPr>
          <w:iCs/>
          <w:color w:val="auto"/>
        </w:rPr>
        <w:t>Allows the</w:t>
      </w:r>
      <w:r w:rsidR="00E250F2" w:rsidRPr="00417644">
        <w:rPr>
          <w:iCs/>
          <w:color w:val="auto"/>
        </w:rPr>
        <w:t xml:space="preserve"> COPS </w:t>
      </w:r>
      <w:r>
        <w:rPr>
          <w:iCs/>
          <w:color w:val="auto"/>
        </w:rPr>
        <w:t xml:space="preserve">Office </w:t>
      </w:r>
      <w:r w:rsidR="00E250F2" w:rsidRPr="00417644">
        <w:rPr>
          <w:iCs/>
          <w:color w:val="auto"/>
        </w:rPr>
        <w:t>to reimburse DEA for anti-methamphetamine related activities.</w:t>
      </w:r>
    </w:p>
    <w:p w14:paraId="6A38182E" w14:textId="77777777" w:rsidR="005352EE" w:rsidRDefault="005352EE" w:rsidP="0001256C">
      <w:pPr>
        <w:pStyle w:val="Default"/>
        <w:jc w:val="both"/>
        <w:rPr>
          <w:iCs/>
        </w:rPr>
      </w:pPr>
    </w:p>
    <w:p w14:paraId="05047F2C" w14:textId="77777777" w:rsidR="00304CB5" w:rsidRDefault="005352EE" w:rsidP="0001256C">
      <w:pPr>
        <w:jc w:val="both"/>
        <w:rPr>
          <w:rFonts w:cs="Calibri"/>
          <w:iCs/>
          <w:color w:val="000000"/>
        </w:rPr>
      </w:pPr>
      <w:r w:rsidRPr="00982686">
        <w:rPr>
          <w:iCs/>
          <w:u w:val="single"/>
        </w:rPr>
        <w:t>Addition:</w:t>
      </w:r>
      <w:r w:rsidRPr="00534392">
        <w:rPr>
          <w:iCs/>
        </w:rPr>
        <w:t xml:space="preserve">  </w:t>
      </w:r>
      <w:r w:rsidRPr="00982686">
        <w:rPr>
          <w:rFonts w:cs="Calibri"/>
          <w:iCs/>
          <w:color w:val="000000"/>
        </w:rPr>
        <w:t>Provided further, That in addition to the purposes set out in subsection 1701(b)(1) and (2) of the 1968 Act (42 U.S.C. 3796dd(b)(1) and (2)), grants made with funds provided in this paragraph may be used for the hiring of non-</w:t>
      </w:r>
      <w:r w:rsidRPr="00982686">
        <w:rPr>
          <w:rFonts w:cs="Calibri"/>
          <w:iCs/>
        </w:rPr>
        <w:t>sworn</w:t>
      </w:r>
      <w:r w:rsidRPr="00982686">
        <w:rPr>
          <w:rFonts w:cs="Calibri"/>
          <w:iCs/>
          <w:color w:val="1F497D"/>
        </w:rPr>
        <w:t xml:space="preserve"> </w:t>
      </w:r>
      <w:r w:rsidRPr="00982686">
        <w:rPr>
          <w:rFonts w:cs="Calibri"/>
          <w:iCs/>
          <w:color w:val="000000"/>
        </w:rPr>
        <w:t>law enforcement personnel in amounts not to exceed $50,000,000</w:t>
      </w:r>
      <w:r>
        <w:rPr>
          <w:rFonts w:cs="Calibri"/>
          <w:iCs/>
          <w:color w:val="000000"/>
        </w:rPr>
        <w:t xml:space="preserve">.  </w:t>
      </w:r>
    </w:p>
    <w:p w14:paraId="188F6206" w14:textId="77777777" w:rsidR="00304CB5" w:rsidRDefault="00304CB5" w:rsidP="0001256C">
      <w:pPr>
        <w:jc w:val="both"/>
        <w:rPr>
          <w:rFonts w:cs="Calibri"/>
          <w:iCs/>
          <w:color w:val="000000"/>
        </w:rPr>
      </w:pPr>
    </w:p>
    <w:p w14:paraId="4FB04C02" w14:textId="77777777" w:rsidR="005352EE" w:rsidRDefault="005352EE" w:rsidP="0001256C">
      <w:pPr>
        <w:jc w:val="both"/>
        <w:rPr>
          <w:rFonts w:cs="Calibri"/>
          <w:iCs/>
          <w:color w:val="000000"/>
        </w:rPr>
      </w:pPr>
      <w:r>
        <w:rPr>
          <w:rFonts w:cs="Calibri"/>
          <w:iCs/>
          <w:color w:val="000000"/>
        </w:rPr>
        <w:t>Allows up to $50,000,000 of hiring funds to be used to hire non-sworn law enforcement personnel.</w:t>
      </w:r>
    </w:p>
    <w:p w14:paraId="3960BBAC" w14:textId="77777777" w:rsidR="005352EE" w:rsidRPr="00982686" w:rsidRDefault="005352EE" w:rsidP="0001256C">
      <w:pPr>
        <w:jc w:val="both"/>
        <w:rPr>
          <w:iCs/>
          <w:u w:val="single"/>
        </w:rPr>
      </w:pPr>
    </w:p>
    <w:p w14:paraId="4F0C923F" w14:textId="77777777" w:rsidR="00304CB5" w:rsidRDefault="005352EE" w:rsidP="0001256C">
      <w:pPr>
        <w:jc w:val="both"/>
        <w:rPr>
          <w:iCs/>
        </w:rPr>
      </w:pPr>
      <w:r>
        <w:rPr>
          <w:iCs/>
          <w:u w:val="single"/>
        </w:rPr>
        <w:t>Addition:</w:t>
      </w:r>
      <w:r>
        <w:rPr>
          <w:iCs/>
        </w:rPr>
        <w:t xml:space="preserve">  </w:t>
      </w:r>
      <w:r w:rsidRPr="007F03AA">
        <w:rPr>
          <w:iCs/>
        </w:rPr>
        <w:t>Provided further, That of the amounts appropriated under this paragraph, $10,000,000 is for the collaborative reform model of technical assistance in furtherance of</w:t>
      </w:r>
      <w:r>
        <w:rPr>
          <w:iCs/>
        </w:rPr>
        <w:t xml:space="preserve"> the purposes in section 1701.  </w:t>
      </w:r>
    </w:p>
    <w:p w14:paraId="30534FC8" w14:textId="77777777" w:rsidR="00304CB5" w:rsidRDefault="00304CB5" w:rsidP="0001256C">
      <w:pPr>
        <w:jc w:val="both"/>
        <w:rPr>
          <w:iCs/>
        </w:rPr>
      </w:pPr>
    </w:p>
    <w:p w14:paraId="07287DC8" w14:textId="77777777" w:rsidR="005352EE" w:rsidRDefault="005352EE" w:rsidP="0001256C">
      <w:pPr>
        <w:jc w:val="both"/>
        <w:rPr>
          <w:iCs/>
        </w:rPr>
      </w:pPr>
      <w:r>
        <w:rPr>
          <w:iCs/>
        </w:rPr>
        <w:t>Allows $10,000,000 of hiring funds to be used for the collaborative reform model of technical assistance.</w:t>
      </w:r>
    </w:p>
    <w:p w14:paraId="376E1821" w14:textId="77777777" w:rsidR="005352EE" w:rsidRDefault="005352EE" w:rsidP="0001256C">
      <w:pPr>
        <w:jc w:val="both"/>
        <w:rPr>
          <w:iCs/>
        </w:rPr>
      </w:pPr>
    </w:p>
    <w:p w14:paraId="15A085DA" w14:textId="77777777" w:rsidR="00304CB5" w:rsidRDefault="005352EE" w:rsidP="0001256C">
      <w:pPr>
        <w:jc w:val="both"/>
      </w:pPr>
      <w:r>
        <w:rPr>
          <w:iCs/>
          <w:u w:val="single"/>
        </w:rPr>
        <w:t>Addition:</w:t>
      </w:r>
      <w:r>
        <w:rPr>
          <w:iCs/>
        </w:rPr>
        <w:t xml:space="preserve">  </w:t>
      </w:r>
      <w:r w:rsidRPr="002151CF">
        <w:t>$150,000,000 is for a comprehensive school safety program of grants and technical assistance to improve school safety through hiring, equipment, training and responding to other critical needs as authorized by sections 1701 and 2701 of the 1968 Act (42 U.S.C. 3796dd and 42 U.S.C. 3797a): Provided, That in addition to the hiring of sworn school resource officers under 42 U.S.C. 3796dd(b)(12), grants made with funds under this paragraph may be used for the hiring of non-sworn school safety personnel, including</w:t>
      </w:r>
      <w:r w:rsidRPr="00304CB5">
        <w:rPr>
          <w:color w:val="1F497D"/>
        </w:rPr>
        <w:t xml:space="preserve"> </w:t>
      </w:r>
      <w:r w:rsidRPr="002151CF">
        <w:t xml:space="preserve">civilian public safety personnel, school counselors, school psychologists, other qualified psychologists, school social workers, and child and adolescent psychiatrists: </w:t>
      </w:r>
      <w:r w:rsidRPr="002151CF">
        <w:rPr>
          <w:iCs/>
        </w:rPr>
        <w:t>Provided further</w:t>
      </w:r>
      <w:r w:rsidRPr="002151CF">
        <w:t xml:space="preserve">, That the terms school counselor, school psychologist, other qualified psychologist, school social worker, and child and adolescent psychiatrists are as defined by Section 5421(e) of the Elementary and Secondary Education Act of 1965, as amended: Provided further, That notwithstanding 42 USC 3796dd-3(c), funding for the hiring of a school safety position may not exceed $125,000, unless the Director of the Office </w:t>
      </w:r>
      <w:r w:rsidRPr="002151CF">
        <w:lastRenderedPageBreak/>
        <w:t>of Community Oriented Policing Services grants a waiver from this limitation: Provided further, That notwithstanding 42 U.S.C. 3797a(d)(1), the matching funds requirement set forth in 42 U.S.C. 3796dd(g) shall apply to this program: Provided further, That notwithstanding 42 U.S.C. 3797d(1), for the purposes of this program, "school" means any elementary or secondary school as set forth in 42 U.S.C. 3796dd(b)(12): Provided further, That grants may be awarded and technical assistance may be provided under this program to the entities set forth in 42 U.S.C. 3796dd(a): Provided further, That this program shall be administered with assistance from the Department of Education: Provided further, That the Attorney General may transfer such amounts to the Department of Education, from the amounts appropriated under this paragraph, as may be necessary to administer this program.</w:t>
      </w:r>
      <w:r>
        <w:t xml:space="preserve"> </w:t>
      </w:r>
    </w:p>
    <w:p w14:paraId="4A3BCA32" w14:textId="77777777" w:rsidR="00304CB5" w:rsidRDefault="00304CB5" w:rsidP="0001256C">
      <w:pPr>
        <w:jc w:val="both"/>
      </w:pPr>
    </w:p>
    <w:p w14:paraId="72C8BD5F" w14:textId="77777777" w:rsidR="005352EE" w:rsidRDefault="005352EE" w:rsidP="0001256C">
      <w:pPr>
        <w:jc w:val="both"/>
      </w:pPr>
      <w:r>
        <w:t>Provides authority for a comprehensive school safety program comprised of grants and technical assistance, including authority to transfer funds to the Department of Education to assist in the administration of this program.</w:t>
      </w:r>
    </w:p>
    <w:p w14:paraId="1A15E438" w14:textId="77777777" w:rsidR="0068698A" w:rsidRPr="003D63C2" w:rsidRDefault="0068698A" w:rsidP="0001256C">
      <w:pPr>
        <w:jc w:val="both"/>
        <w:rPr>
          <w:iCs/>
        </w:rPr>
      </w:pPr>
    </w:p>
    <w:p w14:paraId="54E0F1D0" w14:textId="77777777" w:rsidR="00C524E3" w:rsidRDefault="00C524E3">
      <w:pPr>
        <w:rPr>
          <w:b/>
        </w:rPr>
      </w:pPr>
      <w:r>
        <w:rPr>
          <w:b/>
        </w:rPr>
        <w:br w:type="page"/>
      </w:r>
    </w:p>
    <w:p w14:paraId="54A99E9D" w14:textId="77777777" w:rsidR="00051B02" w:rsidRPr="006E724A" w:rsidRDefault="006E724A" w:rsidP="0001256C">
      <w:pPr>
        <w:jc w:val="both"/>
        <w:rPr>
          <w:b/>
        </w:rPr>
      </w:pPr>
      <w:r>
        <w:rPr>
          <w:b/>
        </w:rPr>
        <w:lastRenderedPageBreak/>
        <w:t>IV</w:t>
      </w:r>
      <w:r w:rsidR="000908F2">
        <w:rPr>
          <w:b/>
        </w:rPr>
        <w:t>. Program</w:t>
      </w:r>
      <w:r w:rsidRPr="006E724A">
        <w:rPr>
          <w:b/>
        </w:rPr>
        <w:t xml:space="preserve"> Activity</w:t>
      </w:r>
      <w:r w:rsidR="00051B02" w:rsidRPr="006E724A">
        <w:rPr>
          <w:b/>
        </w:rPr>
        <w:t xml:space="preserve"> </w:t>
      </w:r>
      <w:r w:rsidR="00E32D4F" w:rsidRPr="006E724A">
        <w:rPr>
          <w:b/>
        </w:rPr>
        <w:t>Justification</w:t>
      </w:r>
    </w:p>
    <w:p w14:paraId="0A36D603" w14:textId="77777777" w:rsidR="00373D20" w:rsidRPr="00373D20" w:rsidRDefault="00373D20" w:rsidP="0001256C">
      <w:pPr>
        <w:jc w:val="both"/>
        <w:rPr>
          <w:b/>
        </w:rPr>
      </w:pPr>
    </w:p>
    <w:p w14:paraId="74BCF6EC" w14:textId="77777777" w:rsidR="00051B02" w:rsidRPr="00041736" w:rsidRDefault="00051B02" w:rsidP="0001256C">
      <w:pPr>
        <w:pStyle w:val="ListParagraph"/>
        <w:numPr>
          <w:ilvl w:val="0"/>
          <w:numId w:val="31"/>
        </w:numPr>
        <w:tabs>
          <w:tab w:val="left" w:pos="1080"/>
          <w:tab w:val="left" w:pos="3600"/>
          <w:tab w:val="left" w:pos="5580"/>
        </w:tabs>
        <w:jc w:val="both"/>
        <w:rPr>
          <w:b/>
        </w:rPr>
      </w:pPr>
      <w:r w:rsidRPr="00041736">
        <w:rPr>
          <w:b/>
        </w:rPr>
        <w:t>Community Oriented Policing</w:t>
      </w:r>
    </w:p>
    <w:p w14:paraId="1059A0AB" w14:textId="77777777" w:rsidR="005F63D4" w:rsidRPr="0019416B" w:rsidRDefault="005F63D4" w:rsidP="0001256C">
      <w:pPr>
        <w:pStyle w:val="Title"/>
        <w:jc w:val="both"/>
        <w:rPr>
          <w:b w:val="0"/>
          <w:bCs/>
          <w:i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68"/>
        <w:gridCol w:w="1260"/>
        <w:gridCol w:w="1260"/>
        <w:gridCol w:w="2088"/>
      </w:tblGrid>
      <w:tr w:rsidR="005F63D4" w:rsidRPr="0019416B" w14:paraId="28CCE79E" w14:textId="77777777" w:rsidTr="005F63D4">
        <w:tc>
          <w:tcPr>
            <w:tcW w:w="4968" w:type="dxa"/>
          </w:tcPr>
          <w:p w14:paraId="59756702" w14:textId="77777777" w:rsidR="005F63D4" w:rsidRPr="0019416B" w:rsidRDefault="005F63D4" w:rsidP="0001256C">
            <w:pPr>
              <w:pStyle w:val="Title"/>
              <w:ind w:left="0"/>
              <w:jc w:val="both"/>
              <w:rPr>
                <w:iCs/>
              </w:rPr>
            </w:pPr>
            <w:r>
              <w:rPr>
                <w:iCs/>
              </w:rPr>
              <w:t>Community Oriented Policing</w:t>
            </w:r>
          </w:p>
        </w:tc>
        <w:tc>
          <w:tcPr>
            <w:tcW w:w="1260" w:type="dxa"/>
          </w:tcPr>
          <w:p w14:paraId="07FD9BFC" w14:textId="77777777" w:rsidR="005F63D4" w:rsidRPr="0019416B" w:rsidRDefault="005F63D4" w:rsidP="0001256C">
            <w:pPr>
              <w:pStyle w:val="Title"/>
              <w:ind w:left="0"/>
              <w:jc w:val="both"/>
              <w:rPr>
                <w:i w:val="0"/>
              </w:rPr>
            </w:pPr>
            <w:r w:rsidRPr="0019416B">
              <w:rPr>
                <w:i w:val="0"/>
              </w:rPr>
              <w:t>Direct Pos.</w:t>
            </w:r>
          </w:p>
        </w:tc>
        <w:tc>
          <w:tcPr>
            <w:tcW w:w="1260" w:type="dxa"/>
          </w:tcPr>
          <w:p w14:paraId="2755C760" w14:textId="77777777" w:rsidR="005F63D4" w:rsidRPr="0019416B" w:rsidRDefault="005F63D4" w:rsidP="0001256C">
            <w:pPr>
              <w:pStyle w:val="Title"/>
              <w:ind w:left="0"/>
              <w:jc w:val="both"/>
              <w:rPr>
                <w:i w:val="0"/>
              </w:rPr>
            </w:pPr>
            <w:r w:rsidRPr="0019416B">
              <w:rPr>
                <w:i w:val="0"/>
              </w:rPr>
              <w:t>Estimate</w:t>
            </w:r>
            <w:r w:rsidRPr="0019416B">
              <w:rPr>
                <w:i w:val="0"/>
              </w:rPr>
              <w:br/>
              <w:t>FTE</w:t>
            </w:r>
          </w:p>
        </w:tc>
        <w:tc>
          <w:tcPr>
            <w:tcW w:w="2088" w:type="dxa"/>
          </w:tcPr>
          <w:p w14:paraId="20CE6387" w14:textId="77777777" w:rsidR="005F63D4" w:rsidRPr="0019416B" w:rsidRDefault="005F63D4" w:rsidP="0001256C">
            <w:pPr>
              <w:pStyle w:val="Title"/>
              <w:ind w:left="0"/>
              <w:jc w:val="both"/>
              <w:rPr>
                <w:i w:val="0"/>
              </w:rPr>
            </w:pPr>
            <w:r w:rsidRPr="0019416B">
              <w:rPr>
                <w:i w:val="0"/>
              </w:rPr>
              <w:t>Amount</w:t>
            </w:r>
          </w:p>
        </w:tc>
      </w:tr>
      <w:tr w:rsidR="005F63D4" w:rsidRPr="0019416B" w14:paraId="4C2F6E97" w14:textId="77777777" w:rsidTr="003B6A9C">
        <w:tc>
          <w:tcPr>
            <w:tcW w:w="4968" w:type="dxa"/>
          </w:tcPr>
          <w:p w14:paraId="57DE6D5E" w14:textId="77777777" w:rsidR="005F63D4" w:rsidRPr="0019416B" w:rsidRDefault="005F63D4" w:rsidP="0001256C">
            <w:pPr>
              <w:pStyle w:val="Title"/>
              <w:ind w:left="0"/>
              <w:jc w:val="both"/>
              <w:rPr>
                <w:b w:val="0"/>
                <w:bCs/>
                <w:i w:val="0"/>
              </w:rPr>
            </w:pPr>
            <w:r w:rsidRPr="0019416B">
              <w:rPr>
                <w:b w:val="0"/>
                <w:bCs/>
                <w:i w:val="0"/>
              </w:rPr>
              <w:t xml:space="preserve">2012 Enacted </w:t>
            </w:r>
          </w:p>
        </w:tc>
        <w:tc>
          <w:tcPr>
            <w:tcW w:w="1260" w:type="dxa"/>
            <w:vAlign w:val="center"/>
          </w:tcPr>
          <w:p w14:paraId="0B16883E" w14:textId="77777777" w:rsidR="005F63D4" w:rsidRPr="0019416B" w:rsidRDefault="005F63D4" w:rsidP="0001256C">
            <w:pPr>
              <w:pStyle w:val="Title"/>
              <w:ind w:left="0"/>
              <w:jc w:val="both"/>
              <w:rPr>
                <w:b w:val="0"/>
                <w:bCs/>
                <w:i w:val="0"/>
              </w:rPr>
            </w:pPr>
            <w:r>
              <w:rPr>
                <w:b w:val="0"/>
                <w:bCs/>
                <w:i w:val="0"/>
              </w:rPr>
              <w:t>188</w:t>
            </w:r>
          </w:p>
        </w:tc>
        <w:tc>
          <w:tcPr>
            <w:tcW w:w="1260" w:type="dxa"/>
            <w:vAlign w:val="center"/>
          </w:tcPr>
          <w:p w14:paraId="7A7564DF" w14:textId="77777777" w:rsidR="005F63D4" w:rsidRPr="0019416B" w:rsidRDefault="006C78A5" w:rsidP="0001256C">
            <w:pPr>
              <w:pStyle w:val="Title"/>
              <w:ind w:left="0"/>
              <w:jc w:val="both"/>
              <w:rPr>
                <w:b w:val="0"/>
                <w:bCs/>
                <w:i w:val="0"/>
              </w:rPr>
            </w:pPr>
            <w:r>
              <w:rPr>
                <w:b w:val="0"/>
                <w:bCs/>
                <w:i w:val="0"/>
              </w:rPr>
              <w:t>128</w:t>
            </w:r>
          </w:p>
        </w:tc>
        <w:tc>
          <w:tcPr>
            <w:tcW w:w="2088" w:type="dxa"/>
          </w:tcPr>
          <w:p w14:paraId="04ABC19E" w14:textId="77777777" w:rsidR="005F63D4" w:rsidRPr="0019416B" w:rsidRDefault="005F63D4" w:rsidP="003B6A9C">
            <w:pPr>
              <w:pStyle w:val="Title"/>
              <w:ind w:left="0"/>
              <w:jc w:val="right"/>
              <w:rPr>
                <w:b w:val="0"/>
                <w:bCs/>
                <w:i w:val="0"/>
              </w:rPr>
            </w:pPr>
            <w:r>
              <w:rPr>
                <w:b w:val="0"/>
                <w:bCs/>
                <w:i w:val="0"/>
              </w:rPr>
              <w:t>198,500,000</w:t>
            </w:r>
          </w:p>
        </w:tc>
      </w:tr>
      <w:tr w:rsidR="005F63D4" w:rsidRPr="0019416B" w14:paraId="0286AC78" w14:textId="77777777" w:rsidTr="003B6A9C">
        <w:tc>
          <w:tcPr>
            <w:tcW w:w="4968" w:type="dxa"/>
          </w:tcPr>
          <w:p w14:paraId="52B2666E" w14:textId="77777777" w:rsidR="005F63D4" w:rsidRPr="0019416B" w:rsidRDefault="005F63D4" w:rsidP="0001256C">
            <w:pPr>
              <w:pStyle w:val="Title"/>
              <w:ind w:left="0"/>
              <w:jc w:val="both"/>
              <w:rPr>
                <w:b w:val="0"/>
                <w:bCs/>
                <w:i w:val="0"/>
              </w:rPr>
            </w:pPr>
            <w:r w:rsidRPr="0019416B">
              <w:rPr>
                <w:b w:val="0"/>
                <w:bCs/>
                <w:i w:val="0"/>
              </w:rPr>
              <w:t>2013 Continuing Resolution</w:t>
            </w:r>
          </w:p>
        </w:tc>
        <w:tc>
          <w:tcPr>
            <w:tcW w:w="1260" w:type="dxa"/>
            <w:vAlign w:val="center"/>
          </w:tcPr>
          <w:p w14:paraId="2110600E" w14:textId="77777777" w:rsidR="005F63D4" w:rsidRPr="0019416B" w:rsidRDefault="005F63D4" w:rsidP="0001256C">
            <w:pPr>
              <w:pStyle w:val="Title"/>
              <w:ind w:left="0"/>
              <w:jc w:val="both"/>
              <w:rPr>
                <w:b w:val="0"/>
                <w:bCs/>
                <w:i w:val="0"/>
              </w:rPr>
            </w:pPr>
            <w:r>
              <w:rPr>
                <w:b w:val="0"/>
                <w:bCs/>
                <w:i w:val="0"/>
              </w:rPr>
              <w:t>188</w:t>
            </w:r>
          </w:p>
        </w:tc>
        <w:tc>
          <w:tcPr>
            <w:tcW w:w="1260" w:type="dxa"/>
            <w:vAlign w:val="center"/>
          </w:tcPr>
          <w:p w14:paraId="0C41C79D" w14:textId="77777777" w:rsidR="005F63D4" w:rsidRPr="0019416B" w:rsidRDefault="006C78A5" w:rsidP="0001256C">
            <w:pPr>
              <w:pStyle w:val="Title"/>
              <w:ind w:left="0"/>
              <w:jc w:val="both"/>
              <w:rPr>
                <w:b w:val="0"/>
                <w:bCs/>
                <w:i w:val="0"/>
              </w:rPr>
            </w:pPr>
            <w:r>
              <w:rPr>
                <w:b w:val="0"/>
                <w:bCs/>
                <w:i w:val="0"/>
              </w:rPr>
              <w:t>128</w:t>
            </w:r>
          </w:p>
        </w:tc>
        <w:tc>
          <w:tcPr>
            <w:tcW w:w="2088" w:type="dxa"/>
          </w:tcPr>
          <w:p w14:paraId="5293934C" w14:textId="77777777" w:rsidR="005F63D4" w:rsidRPr="0019416B" w:rsidRDefault="005F63D4" w:rsidP="003B6A9C">
            <w:pPr>
              <w:pStyle w:val="Title"/>
              <w:ind w:left="0"/>
              <w:jc w:val="right"/>
              <w:rPr>
                <w:b w:val="0"/>
                <w:bCs/>
                <w:i w:val="0"/>
              </w:rPr>
            </w:pPr>
            <w:r>
              <w:rPr>
                <w:b w:val="0"/>
                <w:bCs/>
                <w:i w:val="0"/>
              </w:rPr>
              <w:t>198,500,000</w:t>
            </w:r>
          </w:p>
        </w:tc>
      </w:tr>
      <w:tr w:rsidR="005F63D4" w:rsidRPr="0019416B" w14:paraId="0155B9B5" w14:textId="77777777" w:rsidTr="003B6A9C">
        <w:tc>
          <w:tcPr>
            <w:tcW w:w="4968" w:type="dxa"/>
          </w:tcPr>
          <w:p w14:paraId="0393339E" w14:textId="77777777" w:rsidR="005F63D4" w:rsidRPr="0019416B" w:rsidRDefault="005F63D4" w:rsidP="0001256C">
            <w:pPr>
              <w:pStyle w:val="Title"/>
              <w:ind w:left="0"/>
              <w:jc w:val="both"/>
              <w:rPr>
                <w:b w:val="0"/>
                <w:bCs/>
                <w:i w:val="0"/>
              </w:rPr>
            </w:pPr>
            <w:r w:rsidRPr="0019416B">
              <w:rPr>
                <w:b w:val="0"/>
                <w:bCs/>
                <w:i w:val="0"/>
              </w:rPr>
              <w:t>2013 Continuing Resolution 0.612% Increase</w:t>
            </w:r>
          </w:p>
        </w:tc>
        <w:tc>
          <w:tcPr>
            <w:tcW w:w="1260" w:type="dxa"/>
            <w:vAlign w:val="center"/>
          </w:tcPr>
          <w:p w14:paraId="412FD478" w14:textId="77777777" w:rsidR="005F63D4" w:rsidRPr="0019416B" w:rsidRDefault="005F63D4" w:rsidP="0001256C">
            <w:pPr>
              <w:pStyle w:val="Title"/>
              <w:ind w:left="0"/>
              <w:jc w:val="both"/>
              <w:rPr>
                <w:b w:val="0"/>
                <w:bCs/>
                <w:i w:val="0"/>
              </w:rPr>
            </w:pPr>
            <w:r>
              <w:rPr>
                <w:b w:val="0"/>
                <w:bCs/>
                <w:i w:val="0"/>
              </w:rPr>
              <w:t>188</w:t>
            </w:r>
          </w:p>
        </w:tc>
        <w:tc>
          <w:tcPr>
            <w:tcW w:w="1260" w:type="dxa"/>
            <w:vAlign w:val="center"/>
          </w:tcPr>
          <w:p w14:paraId="62F6E689" w14:textId="77777777" w:rsidR="005F63D4" w:rsidRPr="0019416B" w:rsidRDefault="006C78A5" w:rsidP="0001256C">
            <w:pPr>
              <w:pStyle w:val="Title"/>
              <w:ind w:left="0"/>
              <w:jc w:val="both"/>
              <w:rPr>
                <w:b w:val="0"/>
                <w:bCs/>
                <w:i w:val="0"/>
              </w:rPr>
            </w:pPr>
            <w:r>
              <w:rPr>
                <w:b w:val="0"/>
                <w:bCs/>
                <w:i w:val="0"/>
              </w:rPr>
              <w:t>128</w:t>
            </w:r>
          </w:p>
        </w:tc>
        <w:tc>
          <w:tcPr>
            <w:tcW w:w="2088" w:type="dxa"/>
          </w:tcPr>
          <w:p w14:paraId="34F6F65A" w14:textId="77777777" w:rsidR="005F63D4" w:rsidRPr="0019416B" w:rsidRDefault="000F71E2" w:rsidP="003B6A9C">
            <w:pPr>
              <w:pStyle w:val="Title"/>
              <w:ind w:left="0"/>
              <w:jc w:val="right"/>
              <w:rPr>
                <w:b w:val="0"/>
                <w:bCs/>
                <w:i w:val="0"/>
              </w:rPr>
            </w:pPr>
            <w:r>
              <w:rPr>
                <w:b w:val="0"/>
                <w:bCs/>
                <w:i w:val="0"/>
              </w:rPr>
              <w:t>1,214,820</w:t>
            </w:r>
          </w:p>
        </w:tc>
      </w:tr>
      <w:tr w:rsidR="005F63D4" w:rsidRPr="0019416B" w14:paraId="740C05BA" w14:textId="77777777" w:rsidTr="003B6A9C">
        <w:tc>
          <w:tcPr>
            <w:tcW w:w="4968" w:type="dxa"/>
          </w:tcPr>
          <w:p w14:paraId="50C21484" w14:textId="77777777" w:rsidR="005F63D4" w:rsidRPr="0019416B" w:rsidRDefault="005F63D4" w:rsidP="0001256C">
            <w:pPr>
              <w:pStyle w:val="Title"/>
              <w:ind w:left="0"/>
              <w:jc w:val="both"/>
              <w:rPr>
                <w:b w:val="0"/>
                <w:bCs/>
                <w:i w:val="0"/>
              </w:rPr>
            </w:pPr>
            <w:r w:rsidRPr="0019416B">
              <w:rPr>
                <w:b w:val="0"/>
                <w:bCs/>
                <w:i w:val="0"/>
              </w:rPr>
              <w:t>Base and Technical Adjustments</w:t>
            </w:r>
          </w:p>
        </w:tc>
        <w:tc>
          <w:tcPr>
            <w:tcW w:w="1260" w:type="dxa"/>
            <w:vAlign w:val="center"/>
          </w:tcPr>
          <w:p w14:paraId="4099FBE6" w14:textId="77777777" w:rsidR="005F63D4" w:rsidRPr="0019416B" w:rsidRDefault="003A14EA" w:rsidP="0001256C">
            <w:pPr>
              <w:pStyle w:val="Title"/>
              <w:ind w:left="0"/>
              <w:jc w:val="both"/>
              <w:rPr>
                <w:b w:val="0"/>
                <w:bCs/>
                <w:i w:val="0"/>
              </w:rPr>
            </w:pPr>
            <w:r>
              <w:rPr>
                <w:b w:val="0"/>
                <w:bCs/>
                <w:i w:val="0"/>
              </w:rPr>
              <w:t>0</w:t>
            </w:r>
          </w:p>
        </w:tc>
        <w:tc>
          <w:tcPr>
            <w:tcW w:w="1260" w:type="dxa"/>
            <w:vAlign w:val="center"/>
          </w:tcPr>
          <w:p w14:paraId="6E6173BA" w14:textId="77777777" w:rsidR="005F63D4" w:rsidRPr="0019416B" w:rsidRDefault="003A14EA" w:rsidP="0001256C">
            <w:pPr>
              <w:pStyle w:val="Title"/>
              <w:ind w:left="0"/>
              <w:jc w:val="both"/>
              <w:rPr>
                <w:b w:val="0"/>
                <w:bCs/>
                <w:i w:val="0"/>
              </w:rPr>
            </w:pPr>
            <w:r>
              <w:rPr>
                <w:b w:val="0"/>
                <w:bCs/>
                <w:i w:val="0"/>
              </w:rPr>
              <w:t>0</w:t>
            </w:r>
          </w:p>
        </w:tc>
        <w:tc>
          <w:tcPr>
            <w:tcW w:w="2088" w:type="dxa"/>
          </w:tcPr>
          <w:p w14:paraId="2BA1AA39" w14:textId="77777777" w:rsidR="005F63D4" w:rsidRPr="0019416B" w:rsidRDefault="00D577B0" w:rsidP="003B6A9C">
            <w:pPr>
              <w:pStyle w:val="Title"/>
              <w:ind w:left="0"/>
              <w:jc w:val="right"/>
              <w:rPr>
                <w:b w:val="0"/>
                <w:bCs/>
                <w:i w:val="0"/>
              </w:rPr>
            </w:pPr>
            <w:r>
              <w:rPr>
                <w:b w:val="0"/>
                <w:bCs/>
                <w:i w:val="0"/>
              </w:rPr>
              <w:t>22,390,000</w:t>
            </w:r>
          </w:p>
        </w:tc>
      </w:tr>
      <w:tr w:rsidR="005F63D4" w:rsidRPr="0019416B" w14:paraId="191BFB98" w14:textId="77777777" w:rsidTr="003B6A9C">
        <w:tc>
          <w:tcPr>
            <w:tcW w:w="4968" w:type="dxa"/>
          </w:tcPr>
          <w:p w14:paraId="0C44932E" w14:textId="77777777" w:rsidR="005F63D4" w:rsidRPr="0019416B" w:rsidRDefault="005F63D4" w:rsidP="0001256C">
            <w:pPr>
              <w:pStyle w:val="Title"/>
              <w:ind w:left="0"/>
              <w:jc w:val="both"/>
              <w:rPr>
                <w:b w:val="0"/>
                <w:bCs/>
                <w:i w:val="0"/>
              </w:rPr>
            </w:pPr>
            <w:r w:rsidRPr="0019416B">
              <w:rPr>
                <w:b w:val="0"/>
                <w:bCs/>
                <w:i w:val="0"/>
              </w:rPr>
              <w:t>2014 Current Services</w:t>
            </w:r>
          </w:p>
        </w:tc>
        <w:tc>
          <w:tcPr>
            <w:tcW w:w="1260" w:type="dxa"/>
            <w:vAlign w:val="center"/>
          </w:tcPr>
          <w:p w14:paraId="3DCF00B0" w14:textId="77777777" w:rsidR="005F63D4" w:rsidRPr="0019416B" w:rsidRDefault="00F24A0F" w:rsidP="0001256C">
            <w:pPr>
              <w:pStyle w:val="Title"/>
              <w:ind w:left="0"/>
              <w:jc w:val="both"/>
              <w:rPr>
                <w:b w:val="0"/>
                <w:bCs/>
                <w:i w:val="0"/>
              </w:rPr>
            </w:pPr>
            <w:r>
              <w:rPr>
                <w:b w:val="0"/>
                <w:bCs/>
                <w:i w:val="0"/>
              </w:rPr>
              <w:t>188</w:t>
            </w:r>
          </w:p>
        </w:tc>
        <w:tc>
          <w:tcPr>
            <w:tcW w:w="1260" w:type="dxa"/>
            <w:vAlign w:val="center"/>
          </w:tcPr>
          <w:p w14:paraId="495A2386" w14:textId="77777777" w:rsidR="005F63D4" w:rsidRPr="0019416B" w:rsidRDefault="00F24A0F" w:rsidP="0001256C">
            <w:pPr>
              <w:pStyle w:val="Title"/>
              <w:ind w:left="0"/>
              <w:jc w:val="both"/>
              <w:rPr>
                <w:b w:val="0"/>
                <w:bCs/>
                <w:i w:val="0"/>
              </w:rPr>
            </w:pPr>
            <w:r>
              <w:rPr>
                <w:b w:val="0"/>
                <w:bCs/>
                <w:i w:val="0"/>
              </w:rPr>
              <w:t>128</w:t>
            </w:r>
          </w:p>
        </w:tc>
        <w:tc>
          <w:tcPr>
            <w:tcW w:w="2088" w:type="dxa"/>
          </w:tcPr>
          <w:p w14:paraId="22119F60" w14:textId="77777777" w:rsidR="005F63D4" w:rsidRPr="0019416B" w:rsidRDefault="004F6F09" w:rsidP="003B6A9C">
            <w:pPr>
              <w:pStyle w:val="Title"/>
              <w:ind w:left="0"/>
              <w:jc w:val="right"/>
              <w:rPr>
                <w:b w:val="0"/>
                <w:bCs/>
                <w:i w:val="0"/>
              </w:rPr>
            </w:pPr>
            <w:r>
              <w:rPr>
                <w:b w:val="0"/>
                <w:bCs/>
                <w:i w:val="0"/>
              </w:rPr>
              <w:t>198</w:t>
            </w:r>
            <w:r w:rsidR="003A14EA">
              <w:rPr>
                <w:b w:val="0"/>
                <w:bCs/>
                <w:i w:val="0"/>
              </w:rPr>
              <w:t>,</w:t>
            </w:r>
            <w:r>
              <w:rPr>
                <w:b w:val="0"/>
                <w:bCs/>
                <w:i w:val="0"/>
              </w:rPr>
              <w:t>500</w:t>
            </w:r>
            <w:r w:rsidR="003A14EA">
              <w:rPr>
                <w:b w:val="0"/>
                <w:bCs/>
                <w:i w:val="0"/>
              </w:rPr>
              <w:t>,</w:t>
            </w:r>
            <w:r>
              <w:rPr>
                <w:b w:val="0"/>
                <w:bCs/>
                <w:i w:val="0"/>
              </w:rPr>
              <w:t>000</w:t>
            </w:r>
          </w:p>
        </w:tc>
      </w:tr>
      <w:tr w:rsidR="005F63D4" w:rsidRPr="0019416B" w14:paraId="637BB591" w14:textId="77777777" w:rsidTr="003B6A9C">
        <w:tc>
          <w:tcPr>
            <w:tcW w:w="4968" w:type="dxa"/>
            <w:tcBorders>
              <w:bottom w:val="single" w:sz="4" w:space="0" w:color="auto"/>
            </w:tcBorders>
          </w:tcPr>
          <w:p w14:paraId="618FC843" w14:textId="77777777" w:rsidR="005F63D4" w:rsidRPr="0019416B" w:rsidRDefault="005F63D4" w:rsidP="0001256C">
            <w:pPr>
              <w:pStyle w:val="Title"/>
              <w:ind w:left="0"/>
              <w:jc w:val="both"/>
              <w:rPr>
                <w:b w:val="0"/>
                <w:bCs/>
                <w:i w:val="0"/>
              </w:rPr>
            </w:pPr>
            <w:r w:rsidRPr="0019416B">
              <w:rPr>
                <w:b w:val="0"/>
                <w:bCs/>
                <w:i w:val="0"/>
              </w:rPr>
              <w:t>2014 Program Increases</w:t>
            </w:r>
          </w:p>
        </w:tc>
        <w:tc>
          <w:tcPr>
            <w:tcW w:w="1260" w:type="dxa"/>
            <w:tcBorders>
              <w:bottom w:val="single" w:sz="4" w:space="0" w:color="auto"/>
            </w:tcBorders>
            <w:vAlign w:val="center"/>
          </w:tcPr>
          <w:p w14:paraId="6402AE92" w14:textId="77777777" w:rsidR="005F63D4" w:rsidRPr="0019416B" w:rsidRDefault="00C64FCA" w:rsidP="0001256C">
            <w:pPr>
              <w:pStyle w:val="Title"/>
              <w:ind w:left="0"/>
              <w:jc w:val="both"/>
              <w:rPr>
                <w:b w:val="0"/>
                <w:bCs/>
                <w:i w:val="0"/>
              </w:rPr>
            </w:pPr>
            <w:r>
              <w:rPr>
                <w:b w:val="0"/>
                <w:bCs/>
                <w:i w:val="0"/>
              </w:rPr>
              <w:t>0</w:t>
            </w:r>
          </w:p>
        </w:tc>
        <w:tc>
          <w:tcPr>
            <w:tcW w:w="1260" w:type="dxa"/>
            <w:tcBorders>
              <w:bottom w:val="single" w:sz="4" w:space="0" w:color="auto"/>
            </w:tcBorders>
            <w:vAlign w:val="center"/>
          </w:tcPr>
          <w:p w14:paraId="55EFF705" w14:textId="77777777" w:rsidR="005F63D4" w:rsidRPr="0019416B" w:rsidRDefault="00C64FCA" w:rsidP="0001256C">
            <w:pPr>
              <w:pStyle w:val="Title"/>
              <w:ind w:left="0"/>
              <w:jc w:val="both"/>
              <w:rPr>
                <w:b w:val="0"/>
                <w:bCs/>
                <w:i w:val="0"/>
              </w:rPr>
            </w:pPr>
            <w:r>
              <w:rPr>
                <w:b w:val="0"/>
                <w:bCs/>
                <w:i w:val="0"/>
              </w:rPr>
              <w:t>0</w:t>
            </w:r>
          </w:p>
        </w:tc>
        <w:tc>
          <w:tcPr>
            <w:tcW w:w="2088" w:type="dxa"/>
            <w:tcBorders>
              <w:bottom w:val="single" w:sz="4" w:space="0" w:color="auto"/>
            </w:tcBorders>
          </w:tcPr>
          <w:p w14:paraId="71E46ECD" w14:textId="77777777" w:rsidR="005F63D4" w:rsidRPr="0019416B" w:rsidRDefault="00DB0EEB" w:rsidP="003B6A9C">
            <w:pPr>
              <w:pStyle w:val="Title"/>
              <w:ind w:left="0"/>
              <w:jc w:val="right"/>
              <w:rPr>
                <w:b w:val="0"/>
                <w:bCs/>
                <w:i w:val="0"/>
              </w:rPr>
            </w:pPr>
            <w:r>
              <w:rPr>
                <w:b w:val="0"/>
                <w:bCs/>
                <w:i w:val="0"/>
              </w:rPr>
              <w:t>241,000,000</w:t>
            </w:r>
          </w:p>
        </w:tc>
      </w:tr>
      <w:tr w:rsidR="005F63D4" w:rsidRPr="0019416B" w14:paraId="7D1A99EC" w14:textId="77777777" w:rsidTr="003B6A9C">
        <w:tc>
          <w:tcPr>
            <w:tcW w:w="4968" w:type="dxa"/>
            <w:tcBorders>
              <w:bottom w:val="single" w:sz="4" w:space="0" w:color="auto"/>
            </w:tcBorders>
          </w:tcPr>
          <w:p w14:paraId="1BF168B3" w14:textId="77777777" w:rsidR="005F63D4" w:rsidRPr="0019416B" w:rsidRDefault="005F63D4" w:rsidP="0001256C">
            <w:pPr>
              <w:pStyle w:val="Title"/>
              <w:ind w:left="0"/>
              <w:jc w:val="both"/>
              <w:rPr>
                <w:b w:val="0"/>
                <w:bCs/>
                <w:i w:val="0"/>
              </w:rPr>
            </w:pPr>
            <w:r w:rsidRPr="0019416B">
              <w:rPr>
                <w:b w:val="0"/>
                <w:bCs/>
                <w:i w:val="0"/>
              </w:rPr>
              <w:t>2014 Program Offsets</w:t>
            </w:r>
          </w:p>
        </w:tc>
        <w:tc>
          <w:tcPr>
            <w:tcW w:w="1260" w:type="dxa"/>
            <w:tcBorders>
              <w:bottom w:val="single" w:sz="4" w:space="0" w:color="auto"/>
            </w:tcBorders>
            <w:vAlign w:val="center"/>
          </w:tcPr>
          <w:p w14:paraId="174A5985" w14:textId="77777777" w:rsidR="005F63D4" w:rsidRPr="0019416B" w:rsidRDefault="003A14EA" w:rsidP="0001256C">
            <w:pPr>
              <w:pStyle w:val="Title"/>
              <w:ind w:left="0"/>
              <w:jc w:val="both"/>
              <w:rPr>
                <w:b w:val="0"/>
                <w:bCs/>
                <w:i w:val="0"/>
              </w:rPr>
            </w:pPr>
            <w:r>
              <w:rPr>
                <w:b w:val="0"/>
                <w:bCs/>
                <w:i w:val="0"/>
              </w:rPr>
              <w:t>0</w:t>
            </w:r>
          </w:p>
        </w:tc>
        <w:tc>
          <w:tcPr>
            <w:tcW w:w="1260" w:type="dxa"/>
            <w:tcBorders>
              <w:bottom w:val="single" w:sz="4" w:space="0" w:color="auto"/>
            </w:tcBorders>
            <w:vAlign w:val="center"/>
          </w:tcPr>
          <w:p w14:paraId="1A590987" w14:textId="77777777" w:rsidR="005F63D4" w:rsidRPr="0019416B" w:rsidRDefault="003A14EA" w:rsidP="0001256C">
            <w:pPr>
              <w:pStyle w:val="Title"/>
              <w:ind w:left="0"/>
              <w:jc w:val="both"/>
              <w:rPr>
                <w:b w:val="0"/>
                <w:bCs/>
                <w:i w:val="0"/>
              </w:rPr>
            </w:pPr>
            <w:r>
              <w:rPr>
                <w:b w:val="0"/>
                <w:bCs/>
                <w:i w:val="0"/>
              </w:rPr>
              <w:t>0</w:t>
            </w:r>
          </w:p>
        </w:tc>
        <w:tc>
          <w:tcPr>
            <w:tcW w:w="2088" w:type="dxa"/>
            <w:tcBorders>
              <w:bottom w:val="single" w:sz="4" w:space="0" w:color="auto"/>
            </w:tcBorders>
          </w:tcPr>
          <w:p w14:paraId="64CF3B16" w14:textId="77777777" w:rsidR="005F63D4" w:rsidRPr="0019416B" w:rsidRDefault="003A14EA" w:rsidP="003B6A9C">
            <w:pPr>
              <w:pStyle w:val="Title"/>
              <w:ind w:left="0"/>
              <w:jc w:val="right"/>
              <w:rPr>
                <w:b w:val="0"/>
                <w:bCs/>
                <w:i w:val="0"/>
              </w:rPr>
            </w:pPr>
            <w:r>
              <w:rPr>
                <w:b w:val="0"/>
                <w:bCs/>
                <w:i w:val="0"/>
              </w:rPr>
              <w:t>0</w:t>
            </w:r>
          </w:p>
        </w:tc>
      </w:tr>
      <w:tr w:rsidR="005F63D4" w:rsidRPr="0019416B" w14:paraId="3585CC64" w14:textId="77777777" w:rsidTr="003B6A9C">
        <w:tc>
          <w:tcPr>
            <w:tcW w:w="4968" w:type="dxa"/>
            <w:tcBorders>
              <w:bottom w:val="single" w:sz="4" w:space="0" w:color="auto"/>
            </w:tcBorders>
          </w:tcPr>
          <w:p w14:paraId="008FF843" w14:textId="77777777" w:rsidR="005F63D4" w:rsidRPr="0019416B" w:rsidRDefault="005F63D4" w:rsidP="0001256C">
            <w:pPr>
              <w:pStyle w:val="Title"/>
              <w:ind w:left="0"/>
              <w:jc w:val="both"/>
              <w:rPr>
                <w:b w:val="0"/>
                <w:bCs/>
                <w:i w:val="0"/>
              </w:rPr>
            </w:pPr>
            <w:r w:rsidRPr="0019416B">
              <w:rPr>
                <w:b w:val="0"/>
                <w:bCs/>
                <w:i w:val="0"/>
              </w:rPr>
              <w:t>2014 Request</w:t>
            </w:r>
          </w:p>
        </w:tc>
        <w:tc>
          <w:tcPr>
            <w:tcW w:w="1260" w:type="dxa"/>
            <w:tcBorders>
              <w:bottom w:val="single" w:sz="4" w:space="0" w:color="auto"/>
            </w:tcBorders>
            <w:vAlign w:val="center"/>
          </w:tcPr>
          <w:p w14:paraId="2E33C9D4" w14:textId="77777777" w:rsidR="005F63D4" w:rsidRPr="0019416B" w:rsidRDefault="00F24A0F" w:rsidP="0001256C">
            <w:pPr>
              <w:pStyle w:val="Title"/>
              <w:ind w:left="0"/>
              <w:jc w:val="both"/>
              <w:rPr>
                <w:b w:val="0"/>
                <w:bCs/>
                <w:i w:val="0"/>
              </w:rPr>
            </w:pPr>
            <w:r>
              <w:rPr>
                <w:b w:val="0"/>
                <w:bCs/>
                <w:i w:val="0"/>
              </w:rPr>
              <w:t>188</w:t>
            </w:r>
          </w:p>
        </w:tc>
        <w:tc>
          <w:tcPr>
            <w:tcW w:w="1260" w:type="dxa"/>
            <w:tcBorders>
              <w:bottom w:val="single" w:sz="4" w:space="0" w:color="auto"/>
            </w:tcBorders>
            <w:vAlign w:val="center"/>
          </w:tcPr>
          <w:p w14:paraId="13D2994B" w14:textId="77777777" w:rsidR="005F63D4" w:rsidRPr="0019416B" w:rsidRDefault="00F24A0F" w:rsidP="0001256C">
            <w:pPr>
              <w:pStyle w:val="Title"/>
              <w:ind w:left="0"/>
              <w:jc w:val="both"/>
              <w:rPr>
                <w:b w:val="0"/>
                <w:bCs/>
                <w:i w:val="0"/>
              </w:rPr>
            </w:pPr>
            <w:r>
              <w:rPr>
                <w:b w:val="0"/>
                <w:bCs/>
                <w:i w:val="0"/>
              </w:rPr>
              <w:t>128</w:t>
            </w:r>
          </w:p>
        </w:tc>
        <w:tc>
          <w:tcPr>
            <w:tcW w:w="2088" w:type="dxa"/>
            <w:tcBorders>
              <w:bottom w:val="single" w:sz="4" w:space="0" w:color="auto"/>
            </w:tcBorders>
          </w:tcPr>
          <w:p w14:paraId="114F97F8" w14:textId="77777777" w:rsidR="005F63D4" w:rsidRPr="0019416B" w:rsidRDefault="003A14EA" w:rsidP="003B6A9C">
            <w:pPr>
              <w:pStyle w:val="Title"/>
              <w:ind w:left="0"/>
              <w:jc w:val="right"/>
              <w:rPr>
                <w:b w:val="0"/>
                <w:bCs/>
                <w:i w:val="0"/>
              </w:rPr>
            </w:pPr>
            <w:r>
              <w:rPr>
                <w:b w:val="0"/>
                <w:bCs/>
                <w:i w:val="0"/>
              </w:rPr>
              <w:t>439,500,000</w:t>
            </w:r>
          </w:p>
        </w:tc>
      </w:tr>
      <w:tr w:rsidR="005F63D4" w:rsidRPr="0019416B" w14:paraId="323D5506" w14:textId="77777777" w:rsidTr="003B6A9C">
        <w:tc>
          <w:tcPr>
            <w:tcW w:w="4968" w:type="dxa"/>
            <w:shd w:val="clear" w:color="auto" w:fill="E6E6E6"/>
          </w:tcPr>
          <w:p w14:paraId="68FED881" w14:textId="77777777" w:rsidR="005F63D4" w:rsidRPr="0019416B" w:rsidRDefault="005F63D4" w:rsidP="0001256C">
            <w:pPr>
              <w:pStyle w:val="Title"/>
              <w:ind w:left="0"/>
              <w:jc w:val="both"/>
              <w:rPr>
                <w:b w:val="0"/>
                <w:bCs/>
                <w:i w:val="0"/>
              </w:rPr>
            </w:pPr>
            <w:r w:rsidRPr="0019416B">
              <w:rPr>
                <w:i w:val="0"/>
              </w:rPr>
              <w:t>Total Change 201</w:t>
            </w:r>
            <w:r>
              <w:rPr>
                <w:i w:val="0"/>
              </w:rPr>
              <w:t>2</w:t>
            </w:r>
            <w:r w:rsidRPr="0019416B">
              <w:rPr>
                <w:i w:val="0"/>
              </w:rPr>
              <w:t>-2014</w:t>
            </w:r>
          </w:p>
        </w:tc>
        <w:tc>
          <w:tcPr>
            <w:tcW w:w="1260" w:type="dxa"/>
            <w:shd w:val="clear" w:color="auto" w:fill="E6E6E6"/>
            <w:vAlign w:val="center"/>
          </w:tcPr>
          <w:p w14:paraId="13C4A9A1" w14:textId="77777777" w:rsidR="005F63D4" w:rsidRPr="0019416B" w:rsidRDefault="005F63D4" w:rsidP="0001256C">
            <w:pPr>
              <w:pStyle w:val="Title"/>
              <w:ind w:left="0"/>
              <w:jc w:val="both"/>
              <w:rPr>
                <w:b w:val="0"/>
                <w:bCs/>
                <w:i w:val="0"/>
              </w:rPr>
            </w:pPr>
          </w:p>
        </w:tc>
        <w:tc>
          <w:tcPr>
            <w:tcW w:w="1260" w:type="dxa"/>
            <w:shd w:val="clear" w:color="auto" w:fill="E6E6E6"/>
            <w:vAlign w:val="center"/>
          </w:tcPr>
          <w:p w14:paraId="7AAC3404" w14:textId="77777777" w:rsidR="005F63D4" w:rsidRPr="0019416B" w:rsidRDefault="005F63D4" w:rsidP="0001256C">
            <w:pPr>
              <w:pStyle w:val="Title"/>
              <w:ind w:left="0"/>
              <w:jc w:val="both"/>
              <w:rPr>
                <w:b w:val="0"/>
                <w:bCs/>
                <w:i w:val="0"/>
              </w:rPr>
            </w:pPr>
          </w:p>
        </w:tc>
        <w:tc>
          <w:tcPr>
            <w:tcW w:w="2088" w:type="dxa"/>
            <w:shd w:val="clear" w:color="auto" w:fill="E6E6E6"/>
          </w:tcPr>
          <w:p w14:paraId="3B5475F0" w14:textId="77777777" w:rsidR="005F63D4" w:rsidRPr="0019416B" w:rsidRDefault="00F7745F" w:rsidP="003B6A9C">
            <w:pPr>
              <w:pStyle w:val="Title"/>
              <w:ind w:left="0"/>
              <w:jc w:val="right"/>
              <w:rPr>
                <w:b w:val="0"/>
                <w:bCs/>
                <w:i w:val="0"/>
              </w:rPr>
            </w:pPr>
            <w:r>
              <w:rPr>
                <w:b w:val="0"/>
                <w:bCs/>
                <w:i w:val="0"/>
              </w:rPr>
              <w:t>241,000</w:t>
            </w:r>
            <w:r w:rsidR="00DB0EEB">
              <w:rPr>
                <w:b w:val="0"/>
                <w:bCs/>
                <w:i w:val="0"/>
              </w:rPr>
              <w:t>,000</w:t>
            </w:r>
          </w:p>
        </w:tc>
      </w:tr>
    </w:tbl>
    <w:p w14:paraId="75F3A30A" w14:textId="77777777" w:rsidR="005F63D4" w:rsidRDefault="005F63D4" w:rsidP="0001256C">
      <w:pPr>
        <w:pStyle w:val="Title"/>
        <w:ind w:left="0"/>
        <w:jc w:val="both"/>
        <w:rPr>
          <w:i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68"/>
        <w:gridCol w:w="1260"/>
        <w:gridCol w:w="1260"/>
        <w:gridCol w:w="2088"/>
      </w:tblGrid>
      <w:tr w:rsidR="00E51ED3" w:rsidRPr="0019416B" w14:paraId="56A3114F" w14:textId="77777777" w:rsidTr="005A005C">
        <w:tc>
          <w:tcPr>
            <w:tcW w:w="4968" w:type="dxa"/>
          </w:tcPr>
          <w:p w14:paraId="1EC2AB00" w14:textId="77777777" w:rsidR="00E51ED3" w:rsidRPr="0019416B" w:rsidRDefault="00E51ED3" w:rsidP="0001256C">
            <w:pPr>
              <w:pStyle w:val="Title"/>
              <w:ind w:left="0"/>
              <w:jc w:val="both"/>
              <w:rPr>
                <w:iCs/>
              </w:rPr>
            </w:pPr>
            <w:r>
              <w:rPr>
                <w:iCs/>
              </w:rPr>
              <w:t>Community Oriented Policing</w:t>
            </w:r>
          </w:p>
        </w:tc>
        <w:tc>
          <w:tcPr>
            <w:tcW w:w="1260" w:type="dxa"/>
          </w:tcPr>
          <w:p w14:paraId="2D26D5ED" w14:textId="77777777" w:rsidR="00E51ED3" w:rsidRPr="0019416B" w:rsidRDefault="00E51ED3" w:rsidP="0001256C">
            <w:pPr>
              <w:pStyle w:val="Title"/>
              <w:ind w:left="0"/>
              <w:jc w:val="both"/>
              <w:rPr>
                <w:i w:val="0"/>
              </w:rPr>
            </w:pPr>
            <w:r w:rsidRPr="0019416B">
              <w:rPr>
                <w:i w:val="0"/>
              </w:rPr>
              <w:t>Direct Pos.</w:t>
            </w:r>
          </w:p>
        </w:tc>
        <w:tc>
          <w:tcPr>
            <w:tcW w:w="1260" w:type="dxa"/>
          </w:tcPr>
          <w:p w14:paraId="45E99E0B" w14:textId="77777777" w:rsidR="00E51ED3" w:rsidRPr="0019416B" w:rsidRDefault="00E51ED3" w:rsidP="0001256C">
            <w:pPr>
              <w:pStyle w:val="Title"/>
              <w:ind w:left="0"/>
              <w:jc w:val="both"/>
              <w:rPr>
                <w:i w:val="0"/>
              </w:rPr>
            </w:pPr>
            <w:r w:rsidRPr="0019416B">
              <w:rPr>
                <w:i w:val="0"/>
              </w:rPr>
              <w:t>Estimate</w:t>
            </w:r>
            <w:r w:rsidRPr="0019416B">
              <w:rPr>
                <w:i w:val="0"/>
              </w:rPr>
              <w:br/>
              <w:t>FTE</w:t>
            </w:r>
          </w:p>
        </w:tc>
        <w:tc>
          <w:tcPr>
            <w:tcW w:w="2088" w:type="dxa"/>
          </w:tcPr>
          <w:p w14:paraId="2E60E7A3" w14:textId="77777777" w:rsidR="00E51ED3" w:rsidRPr="0019416B" w:rsidRDefault="00E51ED3" w:rsidP="0001256C">
            <w:pPr>
              <w:pStyle w:val="Title"/>
              <w:ind w:left="0"/>
              <w:jc w:val="both"/>
              <w:rPr>
                <w:i w:val="0"/>
              </w:rPr>
            </w:pPr>
            <w:r w:rsidRPr="0019416B">
              <w:rPr>
                <w:i w:val="0"/>
              </w:rPr>
              <w:t>Amount</w:t>
            </w:r>
          </w:p>
        </w:tc>
      </w:tr>
      <w:tr w:rsidR="00E51ED3" w:rsidRPr="0019416B" w14:paraId="68275DD9" w14:textId="77777777" w:rsidTr="005A005C">
        <w:tc>
          <w:tcPr>
            <w:tcW w:w="4968" w:type="dxa"/>
          </w:tcPr>
          <w:p w14:paraId="48DBED46" w14:textId="77777777" w:rsidR="00E51ED3" w:rsidRPr="0019416B" w:rsidRDefault="00E51ED3" w:rsidP="0001256C">
            <w:pPr>
              <w:pStyle w:val="Title"/>
              <w:ind w:left="0"/>
              <w:jc w:val="both"/>
              <w:rPr>
                <w:b w:val="0"/>
                <w:bCs/>
                <w:i w:val="0"/>
              </w:rPr>
            </w:pPr>
            <w:r>
              <w:rPr>
                <w:b w:val="0"/>
                <w:bCs/>
                <w:i w:val="0"/>
              </w:rPr>
              <w:t>COPS MANAGEMENT AND ADMINISTRATION:</w:t>
            </w:r>
          </w:p>
        </w:tc>
        <w:tc>
          <w:tcPr>
            <w:tcW w:w="1260" w:type="dxa"/>
            <w:vAlign w:val="center"/>
          </w:tcPr>
          <w:p w14:paraId="382A6DA6" w14:textId="77777777" w:rsidR="00E51ED3" w:rsidRDefault="00E51ED3" w:rsidP="0001256C">
            <w:pPr>
              <w:pStyle w:val="Title"/>
              <w:ind w:left="0"/>
              <w:jc w:val="both"/>
              <w:rPr>
                <w:b w:val="0"/>
                <w:bCs/>
                <w:i w:val="0"/>
              </w:rPr>
            </w:pPr>
          </w:p>
        </w:tc>
        <w:tc>
          <w:tcPr>
            <w:tcW w:w="1260" w:type="dxa"/>
            <w:vAlign w:val="center"/>
          </w:tcPr>
          <w:p w14:paraId="4EBD3D44" w14:textId="77777777" w:rsidR="00E51ED3" w:rsidRDefault="00E51ED3" w:rsidP="0001256C">
            <w:pPr>
              <w:pStyle w:val="Title"/>
              <w:ind w:left="0"/>
              <w:jc w:val="both"/>
              <w:rPr>
                <w:b w:val="0"/>
                <w:bCs/>
                <w:i w:val="0"/>
              </w:rPr>
            </w:pPr>
          </w:p>
        </w:tc>
        <w:tc>
          <w:tcPr>
            <w:tcW w:w="2088" w:type="dxa"/>
            <w:vAlign w:val="center"/>
          </w:tcPr>
          <w:p w14:paraId="4CE429E0" w14:textId="77777777" w:rsidR="00E51ED3" w:rsidRDefault="00E51ED3" w:rsidP="0001256C">
            <w:pPr>
              <w:pStyle w:val="Title"/>
              <w:ind w:left="0"/>
              <w:jc w:val="both"/>
              <w:rPr>
                <w:b w:val="0"/>
                <w:bCs/>
                <w:i w:val="0"/>
              </w:rPr>
            </w:pPr>
          </w:p>
        </w:tc>
      </w:tr>
      <w:tr w:rsidR="00E51ED3" w:rsidRPr="0019416B" w14:paraId="1DC4ECA3" w14:textId="77777777" w:rsidTr="003B6A9C">
        <w:tc>
          <w:tcPr>
            <w:tcW w:w="4968" w:type="dxa"/>
          </w:tcPr>
          <w:p w14:paraId="4948481D" w14:textId="77777777" w:rsidR="00E51ED3" w:rsidRPr="0019416B" w:rsidRDefault="00E51ED3" w:rsidP="0001256C">
            <w:pPr>
              <w:pStyle w:val="Title"/>
              <w:ind w:left="0"/>
              <w:jc w:val="both"/>
              <w:rPr>
                <w:b w:val="0"/>
                <w:bCs/>
                <w:i w:val="0"/>
              </w:rPr>
            </w:pPr>
            <w:r w:rsidRPr="0019416B">
              <w:rPr>
                <w:b w:val="0"/>
                <w:bCs/>
                <w:i w:val="0"/>
              </w:rPr>
              <w:t xml:space="preserve">2012 Enacted </w:t>
            </w:r>
          </w:p>
        </w:tc>
        <w:tc>
          <w:tcPr>
            <w:tcW w:w="1260" w:type="dxa"/>
            <w:vAlign w:val="center"/>
          </w:tcPr>
          <w:p w14:paraId="75036B28" w14:textId="77777777" w:rsidR="00E51ED3" w:rsidRPr="0019416B" w:rsidRDefault="00E51ED3" w:rsidP="0001256C">
            <w:pPr>
              <w:pStyle w:val="Title"/>
              <w:ind w:left="0"/>
              <w:jc w:val="both"/>
              <w:rPr>
                <w:b w:val="0"/>
                <w:bCs/>
                <w:i w:val="0"/>
              </w:rPr>
            </w:pPr>
            <w:r>
              <w:rPr>
                <w:b w:val="0"/>
                <w:bCs/>
                <w:i w:val="0"/>
              </w:rPr>
              <w:t>188</w:t>
            </w:r>
          </w:p>
        </w:tc>
        <w:tc>
          <w:tcPr>
            <w:tcW w:w="1260" w:type="dxa"/>
            <w:vAlign w:val="center"/>
          </w:tcPr>
          <w:p w14:paraId="1F32C995" w14:textId="77777777" w:rsidR="00E51ED3" w:rsidRPr="0019416B" w:rsidRDefault="006C78A5" w:rsidP="0001256C">
            <w:pPr>
              <w:pStyle w:val="Title"/>
              <w:ind w:left="0"/>
              <w:jc w:val="both"/>
              <w:rPr>
                <w:b w:val="0"/>
                <w:bCs/>
                <w:i w:val="0"/>
              </w:rPr>
            </w:pPr>
            <w:r>
              <w:rPr>
                <w:b w:val="0"/>
                <w:bCs/>
                <w:i w:val="0"/>
              </w:rPr>
              <w:t>128</w:t>
            </w:r>
          </w:p>
        </w:tc>
        <w:tc>
          <w:tcPr>
            <w:tcW w:w="2088" w:type="dxa"/>
          </w:tcPr>
          <w:p w14:paraId="7A6C09E7" w14:textId="77777777" w:rsidR="00E51ED3" w:rsidRPr="0019416B" w:rsidRDefault="00E51ED3" w:rsidP="003B6A9C">
            <w:pPr>
              <w:pStyle w:val="Title"/>
              <w:ind w:left="0"/>
              <w:jc w:val="right"/>
              <w:rPr>
                <w:b w:val="0"/>
                <w:bCs/>
                <w:i w:val="0"/>
              </w:rPr>
            </w:pPr>
            <w:r>
              <w:rPr>
                <w:b w:val="0"/>
                <w:bCs/>
                <w:i w:val="0"/>
              </w:rPr>
              <w:t>37,004,000</w:t>
            </w:r>
          </w:p>
        </w:tc>
      </w:tr>
      <w:tr w:rsidR="00E51ED3" w:rsidRPr="0019416B" w14:paraId="397BDC8F" w14:textId="77777777" w:rsidTr="003B6A9C">
        <w:tc>
          <w:tcPr>
            <w:tcW w:w="4968" w:type="dxa"/>
          </w:tcPr>
          <w:p w14:paraId="26B6FDA9" w14:textId="77777777" w:rsidR="00E51ED3" w:rsidRPr="0019416B" w:rsidRDefault="00E51ED3" w:rsidP="0001256C">
            <w:pPr>
              <w:pStyle w:val="Title"/>
              <w:ind w:left="0"/>
              <w:jc w:val="both"/>
              <w:rPr>
                <w:b w:val="0"/>
                <w:bCs/>
                <w:i w:val="0"/>
              </w:rPr>
            </w:pPr>
            <w:r w:rsidRPr="0019416B">
              <w:rPr>
                <w:b w:val="0"/>
                <w:bCs/>
                <w:i w:val="0"/>
              </w:rPr>
              <w:t>2013 Continuing Resolution</w:t>
            </w:r>
          </w:p>
        </w:tc>
        <w:tc>
          <w:tcPr>
            <w:tcW w:w="1260" w:type="dxa"/>
            <w:vAlign w:val="center"/>
          </w:tcPr>
          <w:p w14:paraId="552E0B11" w14:textId="77777777" w:rsidR="00E51ED3" w:rsidRPr="0019416B" w:rsidRDefault="00E51ED3" w:rsidP="0001256C">
            <w:pPr>
              <w:pStyle w:val="Title"/>
              <w:ind w:left="0"/>
              <w:jc w:val="both"/>
              <w:rPr>
                <w:b w:val="0"/>
                <w:bCs/>
                <w:i w:val="0"/>
              </w:rPr>
            </w:pPr>
            <w:r>
              <w:rPr>
                <w:b w:val="0"/>
                <w:bCs/>
                <w:i w:val="0"/>
              </w:rPr>
              <w:t>188</w:t>
            </w:r>
          </w:p>
        </w:tc>
        <w:tc>
          <w:tcPr>
            <w:tcW w:w="1260" w:type="dxa"/>
            <w:vAlign w:val="center"/>
          </w:tcPr>
          <w:p w14:paraId="626B80BD" w14:textId="77777777" w:rsidR="00E51ED3" w:rsidRPr="0019416B" w:rsidRDefault="006C78A5" w:rsidP="0001256C">
            <w:pPr>
              <w:pStyle w:val="Title"/>
              <w:ind w:left="0"/>
              <w:jc w:val="both"/>
              <w:rPr>
                <w:b w:val="0"/>
                <w:bCs/>
                <w:i w:val="0"/>
              </w:rPr>
            </w:pPr>
            <w:r>
              <w:rPr>
                <w:b w:val="0"/>
                <w:bCs/>
                <w:i w:val="0"/>
              </w:rPr>
              <w:t>128</w:t>
            </w:r>
          </w:p>
        </w:tc>
        <w:tc>
          <w:tcPr>
            <w:tcW w:w="2088" w:type="dxa"/>
          </w:tcPr>
          <w:p w14:paraId="5136AC46" w14:textId="77777777" w:rsidR="00E51ED3" w:rsidRPr="0019416B" w:rsidRDefault="00E51ED3" w:rsidP="003B6A9C">
            <w:pPr>
              <w:pStyle w:val="Title"/>
              <w:ind w:left="0"/>
              <w:jc w:val="right"/>
              <w:rPr>
                <w:b w:val="0"/>
                <w:bCs/>
                <w:i w:val="0"/>
              </w:rPr>
            </w:pPr>
            <w:r>
              <w:rPr>
                <w:b w:val="0"/>
                <w:bCs/>
                <w:i w:val="0"/>
              </w:rPr>
              <w:t>37,004,000</w:t>
            </w:r>
          </w:p>
        </w:tc>
      </w:tr>
      <w:tr w:rsidR="00E51ED3" w:rsidRPr="0019416B" w14:paraId="3393A049" w14:textId="77777777" w:rsidTr="003B6A9C">
        <w:tc>
          <w:tcPr>
            <w:tcW w:w="4968" w:type="dxa"/>
          </w:tcPr>
          <w:p w14:paraId="5FC93FB3" w14:textId="77777777" w:rsidR="00E51ED3" w:rsidRPr="0019416B" w:rsidRDefault="00E51ED3" w:rsidP="0001256C">
            <w:pPr>
              <w:pStyle w:val="Title"/>
              <w:ind w:left="0"/>
              <w:jc w:val="both"/>
              <w:rPr>
                <w:b w:val="0"/>
                <w:bCs/>
                <w:i w:val="0"/>
              </w:rPr>
            </w:pPr>
            <w:r w:rsidRPr="0019416B">
              <w:rPr>
                <w:b w:val="0"/>
                <w:bCs/>
                <w:i w:val="0"/>
              </w:rPr>
              <w:t>2013 Continuing Resolution 0.612% Increase</w:t>
            </w:r>
          </w:p>
        </w:tc>
        <w:tc>
          <w:tcPr>
            <w:tcW w:w="1260" w:type="dxa"/>
            <w:vAlign w:val="center"/>
          </w:tcPr>
          <w:p w14:paraId="469DA97E" w14:textId="77777777" w:rsidR="00E51ED3" w:rsidRPr="0019416B" w:rsidRDefault="00E51ED3" w:rsidP="0001256C">
            <w:pPr>
              <w:pStyle w:val="Title"/>
              <w:ind w:left="0"/>
              <w:jc w:val="both"/>
              <w:rPr>
                <w:b w:val="0"/>
                <w:bCs/>
                <w:i w:val="0"/>
              </w:rPr>
            </w:pPr>
            <w:r>
              <w:rPr>
                <w:b w:val="0"/>
                <w:bCs/>
                <w:i w:val="0"/>
              </w:rPr>
              <w:t>188</w:t>
            </w:r>
          </w:p>
        </w:tc>
        <w:tc>
          <w:tcPr>
            <w:tcW w:w="1260" w:type="dxa"/>
            <w:vAlign w:val="center"/>
          </w:tcPr>
          <w:p w14:paraId="297C1D18" w14:textId="77777777" w:rsidR="00E51ED3" w:rsidRPr="0019416B" w:rsidRDefault="006C78A5" w:rsidP="0001256C">
            <w:pPr>
              <w:pStyle w:val="Title"/>
              <w:ind w:left="0"/>
              <w:jc w:val="both"/>
              <w:rPr>
                <w:b w:val="0"/>
                <w:bCs/>
                <w:i w:val="0"/>
              </w:rPr>
            </w:pPr>
            <w:r>
              <w:rPr>
                <w:b w:val="0"/>
                <w:bCs/>
                <w:i w:val="0"/>
              </w:rPr>
              <w:t>128</w:t>
            </w:r>
          </w:p>
        </w:tc>
        <w:tc>
          <w:tcPr>
            <w:tcW w:w="2088" w:type="dxa"/>
          </w:tcPr>
          <w:p w14:paraId="1974DECA" w14:textId="77777777" w:rsidR="00E51ED3" w:rsidRPr="0019416B" w:rsidRDefault="007B36C1" w:rsidP="003B6A9C">
            <w:pPr>
              <w:pStyle w:val="Title"/>
              <w:ind w:left="0"/>
              <w:jc w:val="right"/>
              <w:rPr>
                <w:b w:val="0"/>
                <w:bCs/>
                <w:i w:val="0"/>
              </w:rPr>
            </w:pPr>
            <w:r>
              <w:rPr>
                <w:b w:val="0"/>
                <w:bCs/>
                <w:i w:val="0"/>
              </w:rPr>
              <w:t>226,000</w:t>
            </w:r>
          </w:p>
        </w:tc>
      </w:tr>
      <w:tr w:rsidR="00E51ED3" w:rsidRPr="0019416B" w14:paraId="3ACE8DE6" w14:textId="77777777" w:rsidTr="003B6A9C">
        <w:tc>
          <w:tcPr>
            <w:tcW w:w="4968" w:type="dxa"/>
          </w:tcPr>
          <w:p w14:paraId="4178CD23" w14:textId="77777777" w:rsidR="00E51ED3" w:rsidRPr="0019416B" w:rsidRDefault="00E51ED3" w:rsidP="0001256C">
            <w:pPr>
              <w:pStyle w:val="Title"/>
              <w:ind w:left="0"/>
              <w:jc w:val="both"/>
              <w:rPr>
                <w:b w:val="0"/>
                <w:bCs/>
                <w:i w:val="0"/>
              </w:rPr>
            </w:pPr>
            <w:r w:rsidRPr="0019416B">
              <w:rPr>
                <w:b w:val="0"/>
                <w:bCs/>
                <w:i w:val="0"/>
              </w:rPr>
              <w:t>Base and Technical Adjustments</w:t>
            </w:r>
          </w:p>
        </w:tc>
        <w:tc>
          <w:tcPr>
            <w:tcW w:w="1260" w:type="dxa"/>
            <w:vAlign w:val="center"/>
          </w:tcPr>
          <w:p w14:paraId="52628F88" w14:textId="77777777" w:rsidR="00E51ED3" w:rsidRPr="0019416B" w:rsidRDefault="00E51ED3" w:rsidP="0001256C">
            <w:pPr>
              <w:pStyle w:val="Title"/>
              <w:ind w:left="0"/>
              <w:jc w:val="both"/>
              <w:rPr>
                <w:b w:val="0"/>
                <w:bCs/>
                <w:i w:val="0"/>
              </w:rPr>
            </w:pPr>
            <w:r>
              <w:rPr>
                <w:b w:val="0"/>
                <w:bCs/>
                <w:i w:val="0"/>
              </w:rPr>
              <w:t>0</w:t>
            </w:r>
          </w:p>
        </w:tc>
        <w:tc>
          <w:tcPr>
            <w:tcW w:w="1260" w:type="dxa"/>
            <w:vAlign w:val="center"/>
          </w:tcPr>
          <w:p w14:paraId="2A2929C0" w14:textId="77777777" w:rsidR="00E51ED3" w:rsidRPr="0019416B" w:rsidRDefault="00E51ED3" w:rsidP="0001256C">
            <w:pPr>
              <w:pStyle w:val="Title"/>
              <w:ind w:left="0"/>
              <w:jc w:val="both"/>
              <w:rPr>
                <w:b w:val="0"/>
                <w:bCs/>
                <w:i w:val="0"/>
              </w:rPr>
            </w:pPr>
            <w:r>
              <w:rPr>
                <w:b w:val="0"/>
                <w:bCs/>
                <w:i w:val="0"/>
              </w:rPr>
              <w:t>0</w:t>
            </w:r>
          </w:p>
        </w:tc>
        <w:tc>
          <w:tcPr>
            <w:tcW w:w="2088" w:type="dxa"/>
          </w:tcPr>
          <w:p w14:paraId="08338052" w14:textId="77777777" w:rsidR="00E51ED3" w:rsidRPr="0019416B" w:rsidRDefault="007B36C1" w:rsidP="003B6A9C">
            <w:pPr>
              <w:pStyle w:val="Title"/>
              <w:ind w:left="0"/>
              <w:jc w:val="right"/>
              <w:rPr>
                <w:b w:val="0"/>
                <w:bCs/>
                <w:i w:val="0"/>
              </w:rPr>
            </w:pPr>
            <w:r>
              <w:rPr>
                <w:b w:val="0"/>
                <w:bCs/>
                <w:i w:val="0"/>
              </w:rPr>
              <w:t>(48,000)</w:t>
            </w:r>
          </w:p>
        </w:tc>
      </w:tr>
      <w:tr w:rsidR="00E51ED3" w:rsidRPr="0019416B" w14:paraId="2369E231" w14:textId="77777777" w:rsidTr="003B6A9C">
        <w:tc>
          <w:tcPr>
            <w:tcW w:w="4968" w:type="dxa"/>
          </w:tcPr>
          <w:p w14:paraId="21268EAB" w14:textId="77777777" w:rsidR="00E51ED3" w:rsidRPr="0019416B" w:rsidRDefault="00E51ED3" w:rsidP="0001256C">
            <w:pPr>
              <w:pStyle w:val="Title"/>
              <w:ind w:left="0"/>
              <w:jc w:val="both"/>
              <w:rPr>
                <w:b w:val="0"/>
                <w:bCs/>
                <w:i w:val="0"/>
              </w:rPr>
            </w:pPr>
            <w:r w:rsidRPr="0019416B">
              <w:rPr>
                <w:b w:val="0"/>
                <w:bCs/>
                <w:i w:val="0"/>
              </w:rPr>
              <w:t>2014 Current Services</w:t>
            </w:r>
          </w:p>
        </w:tc>
        <w:tc>
          <w:tcPr>
            <w:tcW w:w="1260" w:type="dxa"/>
            <w:vAlign w:val="center"/>
          </w:tcPr>
          <w:p w14:paraId="5F3BEEFD" w14:textId="77777777" w:rsidR="00E51ED3" w:rsidRPr="0019416B" w:rsidRDefault="00F24A0F" w:rsidP="0001256C">
            <w:pPr>
              <w:pStyle w:val="Title"/>
              <w:ind w:left="0"/>
              <w:jc w:val="both"/>
              <w:rPr>
                <w:b w:val="0"/>
                <w:bCs/>
                <w:i w:val="0"/>
              </w:rPr>
            </w:pPr>
            <w:r>
              <w:rPr>
                <w:b w:val="0"/>
                <w:bCs/>
                <w:i w:val="0"/>
              </w:rPr>
              <w:t>188</w:t>
            </w:r>
          </w:p>
        </w:tc>
        <w:tc>
          <w:tcPr>
            <w:tcW w:w="1260" w:type="dxa"/>
            <w:vAlign w:val="center"/>
          </w:tcPr>
          <w:p w14:paraId="194C5AF2" w14:textId="77777777" w:rsidR="00E51ED3" w:rsidRPr="0019416B" w:rsidRDefault="00F24A0F" w:rsidP="0001256C">
            <w:pPr>
              <w:pStyle w:val="Title"/>
              <w:ind w:left="0"/>
              <w:jc w:val="both"/>
              <w:rPr>
                <w:b w:val="0"/>
                <w:bCs/>
                <w:i w:val="0"/>
              </w:rPr>
            </w:pPr>
            <w:r>
              <w:rPr>
                <w:b w:val="0"/>
                <w:bCs/>
                <w:i w:val="0"/>
              </w:rPr>
              <w:t>128</w:t>
            </w:r>
          </w:p>
        </w:tc>
        <w:tc>
          <w:tcPr>
            <w:tcW w:w="2088" w:type="dxa"/>
          </w:tcPr>
          <w:p w14:paraId="2149B322" w14:textId="77777777" w:rsidR="00E51ED3" w:rsidRPr="0019416B" w:rsidRDefault="00E51ED3" w:rsidP="003B6A9C">
            <w:pPr>
              <w:pStyle w:val="Title"/>
              <w:ind w:left="0"/>
              <w:jc w:val="right"/>
              <w:rPr>
                <w:b w:val="0"/>
                <w:bCs/>
                <w:i w:val="0"/>
              </w:rPr>
            </w:pPr>
            <w:r>
              <w:rPr>
                <w:b w:val="0"/>
                <w:bCs/>
                <w:i w:val="0"/>
              </w:rPr>
              <w:t>37,</w:t>
            </w:r>
            <w:r w:rsidR="00DB0EEB">
              <w:rPr>
                <w:b w:val="0"/>
                <w:bCs/>
                <w:i w:val="0"/>
              </w:rPr>
              <w:t>182,000</w:t>
            </w:r>
          </w:p>
        </w:tc>
      </w:tr>
      <w:tr w:rsidR="00E51ED3" w:rsidRPr="0019416B" w14:paraId="77237E15" w14:textId="77777777" w:rsidTr="003B6A9C">
        <w:tc>
          <w:tcPr>
            <w:tcW w:w="4968" w:type="dxa"/>
            <w:tcBorders>
              <w:bottom w:val="single" w:sz="4" w:space="0" w:color="auto"/>
            </w:tcBorders>
          </w:tcPr>
          <w:p w14:paraId="3017262D" w14:textId="77777777" w:rsidR="00E51ED3" w:rsidRPr="0019416B" w:rsidRDefault="00E51ED3" w:rsidP="0001256C">
            <w:pPr>
              <w:pStyle w:val="Title"/>
              <w:ind w:left="0"/>
              <w:jc w:val="both"/>
              <w:rPr>
                <w:b w:val="0"/>
                <w:bCs/>
                <w:i w:val="0"/>
              </w:rPr>
            </w:pPr>
            <w:r w:rsidRPr="0019416B">
              <w:rPr>
                <w:b w:val="0"/>
                <w:bCs/>
                <w:i w:val="0"/>
              </w:rPr>
              <w:t>2014 Program Increases</w:t>
            </w:r>
          </w:p>
        </w:tc>
        <w:tc>
          <w:tcPr>
            <w:tcW w:w="1260" w:type="dxa"/>
            <w:tcBorders>
              <w:bottom w:val="single" w:sz="4" w:space="0" w:color="auto"/>
            </w:tcBorders>
            <w:vAlign w:val="center"/>
          </w:tcPr>
          <w:p w14:paraId="032064EB" w14:textId="77777777" w:rsidR="00E51ED3" w:rsidRPr="0019416B" w:rsidRDefault="00F24A0F" w:rsidP="0001256C">
            <w:pPr>
              <w:pStyle w:val="Title"/>
              <w:ind w:left="0"/>
              <w:jc w:val="both"/>
              <w:rPr>
                <w:b w:val="0"/>
                <w:bCs/>
                <w:i w:val="0"/>
              </w:rPr>
            </w:pPr>
            <w:r>
              <w:rPr>
                <w:b w:val="0"/>
                <w:bCs/>
                <w:i w:val="0"/>
              </w:rPr>
              <w:t>0</w:t>
            </w:r>
          </w:p>
        </w:tc>
        <w:tc>
          <w:tcPr>
            <w:tcW w:w="1260" w:type="dxa"/>
            <w:tcBorders>
              <w:bottom w:val="single" w:sz="4" w:space="0" w:color="auto"/>
            </w:tcBorders>
            <w:vAlign w:val="center"/>
          </w:tcPr>
          <w:p w14:paraId="0CCC3350" w14:textId="77777777" w:rsidR="00E51ED3" w:rsidRPr="0019416B" w:rsidRDefault="00F24A0F" w:rsidP="0001256C">
            <w:pPr>
              <w:pStyle w:val="Title"/>
              <w:ind w:left="0"/>
              <w:jc w:val="both"/>
              <w:rPr>
                <w:b w:val="0"/>
                <w:bCs/>
                <w:i w:val="0"/>
              </w:rPr>
            </w:pPr>
            <w:r>
              <w:rPr>
                <w:b w:val="0"/>
                <w:bCs/>
                <w:i w:val="0"/>
              </w:rPr>
              <w:t>0</w:t>
            </w:r>
          </w:p>
        </w:tc>
        <w:tc>
          <w:tcPr>
            <w:tcW w:w="2088" w:type="dxa"/>
            <w:tcBorders>
              <w:bottom w:val="single" w:sz="4" w:space="0" w:color="auto"/>
            </w:tcBorders>
          </w:tcPr>
          <w:p w14:paraId="10D9306D" w14:textId="77777777" w:rsidR="00E51ED3" w:rsidRPr="0019416B" w:rsidRDefault="00E51ED3" w:rsidP="003B6A9C">
            <w:pPr>
              <w:pStyle w:val="Title"/>
              <w:ind w:left="0"/>
              <w:jc w:val="right"/>
              <w:rPr>
                <w:b w:val="0"/>
                <w:bCs/>
                <w:i w:val="0"/>
              </w:rPr>
            </w:pPr>
            <w:r>
              <w:rPr>
                <w:b w:val="0"/>
                <w:bCs/>
                <w:i w:val="0"/>
              </w:rPr>
              <w:t>0</w:t>
            </w:r>
          </w:p>
        </w:tc>
      </w:tr>
      <w:tr w:rsidR="00E51ED3" w:rsidRPr="0019416B" w14:paraId="4037FCFC" w14:textId="77777777" w:rsidTr="003B6A9C">
        <w:tc>
          <w:tcPr>
            <w:tcW w:w="4968" w:type="dxa"/>
            <w:tcBorders>
              <w:bottom w:val="single" w:sz="4" w:space="0" w:color="auto"/>
            </w:tcBorders>
          </w:tcPr>
          <w:p w14:paraId="27A8DAF0" w14:textId="77777777" w:rsidR="00E51ED3" w:rsidRPr="0019416B" w:rsidRDefault="00E51ED3" w:rsidP="0001256C">
            <w:pPr>
              <w:pStyle w:val="Title"/>
              <w:ind w:left="0"/>
              <w:jc w:val="both"/>
              <w:rPr>
                <w:b w:val="0"/>
                <w:bCs/>
                <w:i w:val="0"/>
              </w:rPr>
            </w:pPr>
            <w:r w:rsidRPr="0019416B">
              <w:rPr>
                <w:b w:val="0"/>
                <w:bCs/>
                <w:i w:val="0"/>
              </w:rPr>
              <w:t>2014 Program Offsets</w:t>
            </w:r>
          </w:p>
        </w:tc>
        <w:tc>
          <w:tcPr>
            <w:tcW w:w="1260" w:type="dxa"/>
            <w:tcBorders>
              <w:bottom w:val="single" w:sz="4" w:space="0" w:color="auto"/>
            </w:tcBorders>
            <w:vAlign w:val="center"/>
          </w:tcPr>
          <w:p w14:paraId="13E3E941" w14:textId="77777777" w:rsidR="00E51ED3" w:rsidRPr="0019416B" w:rsidRDefault="00E51ED3" w:rsidP="0001256C">
            <w:pPr>
              <w:pStyle w:val="Title"/>
              <w:ind w:left="0"/>
              <w:jc w:val="both"/>
              <w:rPr>
                <w:b w:val="0"/>
                <w:bCs/>
                <w:i w:val="0"/>
              </w:rPr>
            </w:pPr>
            <w:r>
              <w:rPr>
                <w:b w:val="0"/>
                <w:bCs/>
                <w:i w:val="0"/>
              </w:rPr>
              <w:t>0</w:t>
            </w:r>
          </w:p>
        </w:tc>
        <w:tc>
          <w:tcPr>
            <w:tcW w:w="1260" w:type="dxa"/>
            <w:tcBorders>
              <w:bottom w:val="single" w:sz="4" w:space="0" w:color="auto"/>
            </w:tcBorders>
            <w:vAlign w:val="center"/>
          </w:tcPr>
          <w:p w14:paraId="297821B4" w14:textId="77777777" w:rsidR="00E51ED3" w:rsidRPr="0019416B" w:rsidRDefault="00E51ED3" w:rsidP="0001256C">
            <w:pPr>
              <w:pStyle w:val="Title"/>
              <w:ind w:left="0"/>
              <w:jc w:val="both"/>
              <w:rPr>
                <w:b w:val="0"/>
                <w:bCs/>
                <w:i w:val="0"/>
              </w:rPr>
            </w:pPr>
            <w:r>
              <w:rPr>
                <w:b w:val="0"/>
                <w:bCs/>
                <w:i w:val="0"/>
              </w:rPr>
              <w:t>0</w:t>
            </w:r>
          </w:p>
        </w:tc>
        <w:tc>
          <w:tcPr>
            <w:tcW w:w="2088" w:type="dxa"/>
            <w:tcBorders>
              <w:bottom w:val="single" w:sz="4" w:space="0" w:color="auto"/>
            </w:tcBorders>
          </w:tcPr>
          <w:p w14:paraId="00B1CDFC" w14:textId="77777777" w:rsidR="00E51ED3" w:rsidRPr="0019416B" w:rsidRDefault="00DB0EEB" w:rsidP="003B6A9C">
            <w:pPr>
              <w:pStyle w:val="Title"/>
              <w:ind w:left="0"/>
              <w:jc w:val="right"/>
              <w:rPr>
                <w:b w:val="0"/>
                <w:bCs/>
                <w:i w:val="0"/>
              </w:rPr>
            </w:pPr>
            <w:r>
              <w:rPr>
                <w:b w:val="0"/>
                <w:bCs/>
                <w:i w:val="0"/>
              </w:rPr>
              <w:t>0</w:t>
            </w:r>
          </w:p>
        </w:tc>
      </w:tr>
      <w:tr w:rsidR="00E51ED3" w:rsidRPr="0019416B" w14:paraId="7534B865" w14:textId="77777777" w:rsidTr="003B6A9C">
        <w:tc>
          <w:tcPr>
            <w:tcW w:w="4968" w:type="dxa"/>
            <w:tcBorders>
              <w:bottom w:val="single" w:sz="4" w:space="0" w:color="auto"/>
            </w:tcBorders>
          </w:tcPr>
          <w:p w14:paraId="3EF1317B" w14:textId="77777777" w:rsidR="00E51ED3" w:rsidRPr="0019416B" w:rsidRDefault="00E51ED3" w:rsidP="0001256C">
            <w:pPr>
              <w:pStyle w:val="Title"/>
              <w:ind w:left="0"/>
              <w:jc w:val="both"/>
              <w:rPr>
                <w:b w:val="0"/>
                <w:bCs/>
                <w:i w:val="0"/>
              </w:rPr>
            </w:pPr>
            <w:r w:rsidRPr="0019416B">
              <w:rPr>
                <w:b w:val="0"/>
                <w:bCs/>
                <w:i w:val="0"/>
              </w:rPr>
              <w:t>2014 Request</w:t>
            </w:r>
          </w:p>
        </w:tc>
        <w:tc>
          <w:tcPr>
            <w:tcW w:w="1260" w:type="dxa"/>
            <w:tcBorders>
              <w:bottom w:val="single" w:sz="4" w:space="0" w:color="auto"/>
            </w:tcBorders>
            <w:vAlign w:val="center"/>
          </w:tcPr>
          <w:p w14:paraId="46040A22" w14:textId="77777777" w:rsidR="00E51ED3" w:rsidRPr="0019416B" w:rsidRDefault="00F24A0F" w:rsidP="0001256C">
            <w:pPr>
              <w:pStyle w:val="Title"/>
              <w:ind w:left="0"/>
              <w:jc w:val="both"/>
              <w:rPr>
                <w:b w:val="0"/>
                <w:bCs/>
                <w:i w:val="0"/>
              </w:rPr>
            </w:pPr>
            <w:r>
              <w:rPr>
                <w:b w:val="0"/>
                <w:bCs/>
                <w:i w:val="0"/>
              </w:rPr>
              <w:t>188</w:t>
            </w:r>
          </w:p>
        </w:tc>
        <w:tc>
          <w:tcPr>
            <w:tcW w:w="1260" w:type="dxa"/>
            <w:tcBorders>
              <w:bottom w:val="single" w:sz="4" w:space="0" w:color="auto"/>
            </w:tcBorders>
            <w:vAlign w:val="center"/>
          </w:tcPr>
          <w:p w14:paraId="24059B03" w14:textId="77777777" w:rsidR="00E51ED3" w:rsidRPr="0019416B" w:rsidRDefault="00F24A0F" w:rsidP="0001256C">
            <w:pPr>
              <w:pStyle w:val="Title"/>
              <w:ind w:left="0"/>
              <w:jc w:val="both"/>
              <w:rPr>
                <w:b w:val="0"/>
                <w:bCs/>
                <w:i w:val="0"/>
              </w:rPr>
            </w:pPr>
            <w:r>
              <w:rPr>
                <w:b w:val="0"/>
                <w:bCs/>
                <w:i w:val="0"/>
              </w:rPr>
              <w:t>128</w:t>
            </w:r>
          </w:p>
        </w:tc>
        <w:tc>
          <w:tcPr>
            <w:tcW w:w="2088" w:type="dxa"/>
            <w:tcBorders>
              <w:bottom w:val="single" w:sz="4" w:space="0" w:color="auto"/>
            </w:tcBorders>
          </w:tcPr>
          <w:p w14:paraId="061881B5" w14:textId="77777777" w:rsidR="00E51ED3" w:rsidRPr="0019416B" w:rsidRDefault="00E51ED3" w:rsidP="003B6A9C">
            <w:pPr>
              <w:pStyle w:val="Title"/>
              <w:ind w:left="0"/>
              <w:jc w:val="right"/>
              <w:rPr>
                <w:b w:val="0"/>
                <w:bCs/>
                <w:i w:val="0"/>
              </w:rPr>
            </w:pPr>
            <w:r>
              <w:rPr>
                <w:b w:val="0"/>
                <w:bCs/>
                <w:i w:val="0"/>
              </w:rPr>
              <w:t>37,182,000</w:t>
            </w:r>
          </w:p>
        </w:tc>
      </w:tr>
      <w:tr w:rsidR="00E51ED3" w:rsidRPr="0019416B" w14:paraId="2DF1B4EE" w14:textId="77777777" w:rsidTr="003B6A9C">
        <w:tc>
          <w:tcPr>
            <w:tcW w:w="4968" w:type="dxa"/>
            <w:shd w:val="clear" w:color="auto" w:fill="E6E6E6"/>
          </w:tcPr>
          <w:p w14:paraId="0292EB03" w14:textId="77777777" w:rsidR="00E51ED3" w:rsidRPr="0019416B" w:rsidRDefault="00E51ED3" w:rsidP="0001256C">
            <w:pPr>
              <w:pStyle w:val="Title"/>
              <w:ind w:left="0"/>
              <w:jc w:val="both"/>
              <w:rPr>
                <w:b w:val="0"/>
                <w:bCs/>
                <w:i w:val="0"/>
              </w:rPr>
            </w:pPr>
            <w:r w:rsidRPr="0019416B">
              <w:rPr>
                <w:i w:val="0"/>
              </w:rPr>
              <w:t>Total Change 201</w:t>
            </w:r>
            <w:r>
              <w:rPr>
                <w:i w:val="0"/>
              </w:rPr>
              <w:t>2</w:t>
            </w:r>
            <w:r w:rsidRPr="0019416B">
              <w:rPr>
                <w:i w:val="0"/>
              </w:rPr>
              <w:t>-2014</w:t>
            </w:r>
          </w:p>
        </w:tc>
        <w:tc>
          <w:tcPr>
            <w:tcW w:w="1260" w:type="dxa"/>
            <w:shd w:val="clear" w:color="auto" w:fill="E6E6E6"/>
            <w:vAlign w:val="center"/>
          </w:tcPr>
          <w:p w14:paraId="594E905B" w14:textId="77777777" w:rsidR="00E51ED3" w:rsidRPr="0019416B" w:rsidRDefault="00F24A0F" w:rsidP="0001256C">
            <w:pPr>
              <w:pStyle w:val="Title"/>
              <w:ind w:left="0"/>
              <w:jc w:val="both"/>
              <w:rPr>
                <w:b w:val="0"/>
                <w:bCs/>
                <w:i w:val="0"/>
              </w:rPr>
            </w:pPr>
            <w:r>
              <w:rPr>
                <w:b w:val="0"/>
                <w:bCs/>
                <w:i w:val="0"/>
              </w:rPr>
              <w:t>0</w:t>
            </w:r>
          </w:p>
        </w:tc>
        <w:tc>
          <w:tcPr>
            <w:tcW w:w="1260" w:type="dxa"/>
            <w:shd w:val="clear" w:color="auto" w:fill="E6E6E6"/>
            <w:vAlign w:val="center"/>
          </w:tcPr>
          <w:p w14:paraId="3604CABA" w14:textId="77777777" w:rsidR="00E51ED3" w:rsidRPr="0019416B" w:rsidRDefault="00F24A0F" w:rsidP="0001256C">
            <w:pPr>
              <w:pStyle w:val="Title"/>
              <w:ind w:left="0"/>
              <w:jc w:val="both"/>
              <w:rPr>
                <w:b w:val="0"/>
                <w:bCs/>
                <w:i w:val="0"/>
              </w:rPr>
            </w:pPr>
            <w:r>
              <w:rPr>
                <w:b w:val="0"/>
                <w:bCs/>
                <w:i w:val="0"/>
              </w:rPr>
              <w:t>0</w:t>
            </w:r>
          </w:p>
        </w:tc>
        <w:tc>
          <w:tcPr>
            <w:tcW w:w="2088" w:type="dxa"/>
            <w:shd w:val="clear" w:color="auto" w:fill="E6E6E6"/>
          </w:tcPr>
          <w:p w14:paraId="70E21FFA" w14:textId="77777777" w:rsidR="00E51ED3" w:rsidRPr="0019416B" w:rsidRDefault="00F24FEC" w:rsidP="003B6A9C">
            <w:pPr>
              <w:pStyle w:val="Title"/>
              <w:ind w:left="0"/>
              <w:jc w:val="right"/>
              <w:rPr>
                <w:b w:val="0"/>
                <w:bCs/>
                <w:i w:val="0"/>
              </w:rPr>
            </w:pPr>
            <w:r>
              <w:rPr>
                <w:b w:val="0"/>
                <w:bCs/>
                <w:i w:val="0"/>
              </w:rPr>
              <w:t>1</w:t>
            </w:r>
            <w:r w:rsidR="00F7745F">
              <w:rPr>
                <w:b w:val="0"/>
                <w:bCs/>
                <w:i w:val="0"/>
              </w:rPr>
              <w:t>78</w:t>
            </w:r>
            <w:r>
              <w:rPr>
                <w:b w:val="0"/>
                <w:bCs/>
                <w:i w:val="0"/>
              </w:rPr>
              <w:t>,000</w:t>
            </w:r>
          </w:p>
        </w:tc>
      </w:tr>
    </w:tbl>
    <w:p w14:paraId="2CB6D2B9" w14:textId="77777777" w:rsidR="00E51ED3" w:rsidRDefault="00E51ED3" w:rsidP="0001256C">
      <w:pPr>
        <w:pStyle w:val="Title"/>
        <w:ind w:left="0"/>
        <w:jc w:val="both"/>
        <w:rPr>
          <w:i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68"/>
        <w:gridCol w:w="1260"/>
        <w:gridCol w:w="1260"/>
        <w:gridCol w:w="2088"/>
      </w:tblGrid>
      <w:tr w:rsidR="003608B2" w:rsidRPr="0019416B" w14:paraId="01DAB521" w14:textId="77777777" w:rsidTr="0068280F">
        <w:tc>
          <w:tcPr>
            <w:tcW w:w="4968" w:type="dxa"/>
          </w:tcPr>
          <w:p w14:paraId="7CBEC8E3" w14:textId="77777777" w:rsidR="003608B2" w:rsidRPr="0019416B" w:rsidRDefault="003608B2" w:rsidP="0001256C">
            <w:pPr>
              <w:pStyle w:val="Title"/>
              <w:ind w:left="0"/>
              <w:jc w:val="both"/>
              <w:rPr>
                <w:i w:val="0"/>
                <w:iCs/>
              </w:rPr>
            </w:pPr>
            <w:r>
              <w:rPr>
                <w:iCs/>
              </w:rPr>
              <w:t xml:space="preserve">Community Oriented Policing Services- </w:t>
            </w:r>
            <w:r w:rsidRPr="0019416B">
              <w:rPr>
                <w:i w:val="0"/>
                <w:iCs/>
              </w:rPr>
              <w:t xml:space="preserve">Information Technology Breakout </w:t>
            </w:r>
          </w:p>
        </w:tc>
        <w:tc>
          <w:tcPr>
            <w:tcW w:w="1260" w:type="dxa"/>
          </w:tcPr>
          <w:p w14:paraId="3E2DA9D2" w14:textId="77777777" w:rsidR="003608B2" w:rsidRPr="0019416B" w:rsidRDefault="003608B2" w:rsidP="0001256C">
            <w:pPr>
              <w:pStyle w:val="Title"/>
              <w:ind w:left="0"/>
              <w:jc w:val="both"/>
              <w:rPr>
                <w:i w:val="0"/>
              </w:rPr>
            </w:pPr>
            <w:r w:rsidRPr="0019416B">
              <w:rPr>
                <w:i w:val="0"/>
              </w:rPr>
              <w:t>Direct Pos.</w:t>
            </w:r>
          </w:p>
        </w:tc>
        <w:tc>
          <w:tcPr>
            <w:tcW w:w="1260" w:type="dxa"/>
          </w:tcPr>
          <w:p w14:paraId="78D8B2C7" w14:textId="77777777" w:rsidR="003608B2" w:rsidRPr="0019416B" w:rsidRDefault="003608B2" w:rsidP="0001256C">
            <w:pPr>
              <w:pStyle w:val="Title"/>
              <w:ind w:left="0"/>
              <w:jc w:val="both"/>
              <w:rPr>
                <w:i w:val="0"/>
              </w:rPr>
            </w:pPr>
            <w:r w:rsidRPr="0019416B">
              <w:rPr>
                <w:i w:val="0"/>
              </w:rPr>
              <w:t>Estimate</w:t>
            </w:r>
            <w:r w:rsidRPr="0019416B">
              <w:rPr>
                <w:i w:val="0"/>
              </w:rPr>
              <w:br/>
              <w:t>FTE</w:t>
            </w:r>
          </w:p>
        </w:tc>
        <w:tc>
          <w:tcPr>
            <w:tcW w:w="2088" w:type="dxa"/>
          </w:tcPr>
          <w:p w14:paraId="2C4F862A" w14:textId="77777777" w:rsidR="003608B2" w:rsidRPr="0019416B" w:rsidRDefault="003608B2" w:rsidP="0001256C">
            <w:pPr>
              <w:pStyle w:val="Title"/>
              <w:ind w:left="0"/>
              <w:jc w:val="both"/>
              <w:rPr>
                <w:i w:val="0"/>
              </w:rPr>
            </w:pPr>
            <w:r w:rsidRPr="0019416B">
              <w:rPr>
                <w:i w:val="0"/>
              </w:rPr>
              <w:t>Amount</w:t>
            </w:r>
          </w:p>
        </w:tc>
      </w:tr>
      <w:tr w:rsidR="003608B2" w:rsidRPr="0019416B" w14:paraId="3A9E3102" w14:textId="77777777" w:rsidTr="003B6A9C">
        <w:tc>
          <w:tcPr>
            <w:tcW w:w="4968" w:type="dxa"/>
          </w:tcPr>
          <w:p w14:paraId="3E636B7C" w14:textId="77777777" w:rsidR="003608B2" w:rsidRPr="0019416B" w:rsidRDefault="003608B2" w:rsidP="0001256C">
            <w:pPr>
              <w:pStyle w:val="Title"/>
              <w:ind w:left="0"/>
              <w:jc w:val="both"/>
              <w:rPr>
                <w:b w:val="0"/>
                <w:bCs/>
                <w:i w:val="0"/>
              </w:rPr>
            </w:pPr>
            <w:r w:rsidRPr="0019416B">
              <w:rPr>
                <w:b w:val="0"/>
                <w:bCs/>
                <w:i w:val="0"/>
              </w:rPr>
              <w:t>2012 Enacted</w:t>
            </w:r>
          </w:p>
        </w:tc>
        <w:tc>
          <w:tcPr>
            <w:tcW w:w="1260" w:type="dxa"/>
            <w:vAlign w:val="center"/>
          </w:tcPr>
          <w:p w14:paraId="071F4C3E" w14:textId="77777777" w:rsidR="003608B2" w:rsidRPr="0019416B" w:rsidRDefault="005A1005" w:rsidP="0001256C">
            <w:pPr>
              <w:pStyle w:val="Title"/>
              <w:ind w:left="0"/>
              <w:jc w:val="both"/>
              <w:rPr>
                <w:b w:val="0"/>
                <w:bCs/>
                <w:i w:val="0"/>
              </w:rPr>
            </w:pPr>
            <w:r>
              <w:rPr>
                <w:b w:val="0"/>
                <w:bCs/>
                <w:i w:val="0"/>
              </w:rPr>
              <w:t>3</w:t>
            </w:r>
          </w:p>
        </w:tc>
        <w:tc>
          <w:tcPr>
            <w:tcW w:w="1260" w:type="dxa"/>
            <w:vAlign w:val="center"/>
          </w:tcPr>
          <w:p w14:paraId="56BCA8FC" w14:textId="77777777" w:rsidR="003608B2" w:rsidRPr="0019416B" w:rsidRDefault="005A1005" w:rsidP="0001256C">
            <w:pPr>
              <w:pStyle w:val="Title"/>
              <w:ind w:left="0"/>
              <w:jc w:val="both"/>
              <w:rPr>
                <w:b w:val="0"/>
                <w:bCs/>
                <w:i w:val="0"/>
              </w:rPr>
            </w:pPr>
            <w:r>
              <w:rPr>
                <w:b w:val="0"/>
                <w:bCs/>
                <w:i w:val="0"/>
              </w:rPr>
              <w:t>3</w:t>
            </w:r>
          </w:p>
        </w:tc>
        <w:tc>
          <w:tcPr>
            <w:tcW w:w="2088" w:type="dxa"/>
          </w:tcPr>
          <w:p w14:paraId="1EABA9CF" w14:textId="77777777" w:rsidR="003608B2" w:rsidRPr="0019416B" w:rsidRDefault="003608B2" w:rsidP="003B6A9C">
            <w:pPr>
              <w:pStyle w:val="Title"/>
              <w:ind w:left="0"/>
              <w:jc w:val="right"/>
              <w:rPr>
                <w:b w:val="0"/>
                <w:bCs/>
                <w:i w:val="0"/>
              </w:rPr>
            </w:pPr>
            <w:r>
              <w:rPr>
                <w:b w:val="0"/>
                <w:bCs/>
                <w:i w:val="0"/>
              </w:rPr>
              <w:t>7,386,000</w:t>
            </w:r>
          </w:p>
        </w:tc>
      </w:tr>
      <w:tr w:rsidR="003608B2" w:rsidRPr="0019416B" w14:paraId="4F2DE807" w14:textId="77777777" w:rsidTr="003B6A9C">
        <w:tc>
          <w:tcPr>
            <w:tcW w:w="4968" w:type="dxa"/>
          </w:tcPr>
          <w:p w14:paraId="61CAE627" w14:textId="77777777" w:rsidR="003608B2" w:rsidRPr="0019416B" w:rsidRDefault="003608B2" w:rsidP="0001256C">
            <w:pPr>
              <w:pStyle w:val="Title"/>
              <w:ind w:left="0"/>
              <w:jc w:val="both"/>
              <w:rPr>
                <w:b w:val="0"/>
                <w:bCs/>
                <w:i w:val="0"/>
              </w:rPr>
            </w:pPr>
            <w:r w:rsidRPr="0019416B">
              <w:rPr>
                <w:b w:val="0"/>
                <w:bCs/>
                <w:i w:val="0"/>
              </w:rPr>
              <w:t>2013 Continuing Resolution</w:t>
            </w:r>
          </w:p>
        </w:tc>
        <w:tc>
          <w:tcPr>
            <w:tcW w:w="1260" w:type="dxa"/>
            <w:vAlign w:val="center"/>
          </w:tcPr>
          <w:p w14:paraId="3FEC4A7F" w14:textId="77777777" w:rsidR="003608B2" w:rsidRPr="0019416B" w:rsidRDefault="005A1005" w:rsidP="0001256C">
            <w:pPr>
              <w:pStyle w:val="Title"/>
              <w:ind w:left="0"/>
              <w:jc w:val="both"/>
              <w:rPr>
                <w:b w:val="0"/>
                <w:bCs/>
                <w:i w:val="0"/>
              </w:rPr>
            </w:pPr>
            <w:r>
              <w:rPr>
                <w:b w:val="0"/>
                <w:bCs/>
                <w:i w:val="0"/>
              </w:rPr>
              <w:t>3</w:t>
            </w:r>
          </w:p>
        </w:tc>
        <w:tc>
          <w:tcPr>
            <w:tcW w:w="1260" w:type="dxa"/>
            <w:vAlign w:val="center"/>
          </w:tcPr>
          <w:p w14:paraId="66F2CC4A" w14:textId="77777777" w:rsidR="003608B2" w:rsidRPr="0019416B" w:rsidRDefault="005A1005" w:rsidP="0001256C">
            <w:pPr>
              <w:pStyle w:val="Title"/>
              <w:ind w:left="0"/>
              <w:jc w:val="both"/>
              <w:rPr>
                <w:b w:val="0"/>
                <w:bCs/>
                <w:i w:val="0"/>
              </w:rPr>
            </w:pPr>
            <w:r>
              <w:rPr>
                <w:b w:val="0"/>
                <w:bCs/>
                <w:i w:val="0"/>
              </w:rPr>
              <w:t>3</w:t>
            </w:r>
          </w:p>
        </w:tc>
        <w:tc>
          <w:tcPr>
            <w:tcW w:w="2088" w:type="dxa"/>
          </w:tcPr>
          <w:p w14:paraId="0B943124" w14:textId="77777777" w:rsidR="003608B2" w:rsidRPr="0019416B" w:rsidRDefault="003608B2" w:rsidP="003B6A9C">
            <w:pPr>
              <w:pStyle w:val="Title"/>
              <w:ind w:left="0"/>
              <w:jc w:val="right"/>
              <w:rPr>
                <w:b w:val="0"/>
                <w:bCs/>
                <w:i w:val="0"/>
              </w:rPr>
            </w:pPr>
            <w:r>
              <w:rPr>
                <w:b w:val="0"/>
                <w:bCs/>
                <w:i w:val="0"/>
              </w:rPr>
              <w:t>6,705,000</w:t>
            </w:r>
          </w:p>
        </w:tc>
      </w:tr>
      <w:tr w:rsidR="003608B2" w:rsidRPr="0019416B" w14:paraId="49206161" w14:textId="77777777" w:rsidTr="003B6A9C">
        <w:tc>
          <w:tcPr>
            <w:tcW w:w="4968" w:type="dxa"/>
          </w:tcPr>
          <w:p w14:paraId="2F2B25FE" w14:textId="77777777" w:rsidR="003608B2" w:rsidRPr="0019416B" w:rsidRDefault="003608B2" w:rsidP="0001256C">
            <w:pPr>
              <w:pStyle w:val="Title"/>
              <w:ind w:left="0"/>
              <w:jc w:val="both"/>
              <w:rPr>
                <w:b w:val="0"/>
                <w:bCs/>
                <w:i w:val="0"/>
              </w:rPr>
            </w:pPr>
            <w:r w:rsidRPr="0019416B">
              <w:rPr>
                <w:b w:val="0"/>
                <w:bCs/>
                <w:i w:val="0"/>
              </w:rPr>
              <w:t>2013 Continuing Resolution 0.612% Increase</w:t>
            </w:r>
          </w:p>
        </w:tc>
        <w:tc>
          <w:tcPr>
            <w:tcW w:w="1260" w:type="dxa"/>
            <w:vAlign w:val="center"/>
          </w:tcPr>
          <w:p w14:paraId="255D45C3" w14:textId="77777777" w:rsidR="003608B2" w:rsidRPr="0019416B" w:rsidRDefault="003608B2" w:rsidP="0001256C">
            <w:pPr>
              <w:pStyle w:val="Title"/>
              <w:ind w:left="0"/>
              <w:jc w:val="both"/>
              <w:rPr>
                <w:b w:val="0"/>
                <w:bCs/>
                <w:i w:val="0"/>
              </w:rPr>
            </w:pPr>
            <w:r>
              <w:rPr>
                <w:b w:val="0"/>
                <w:bCs/>
                <w:i w:val="0"/>
              </w:rPr>
              <w:t>0</w:t>
            </w:r>
          </w:p>
        </w:tc>
        <w:tc>
          <w:tcPr>
            <w:tcW w:w="1260" w:type="dxa"/>
            <w:vAlign w:val="center"/>
          </w:tcPr>
          <w:p w14:paraId="0649FE12" w14:textId="77777777" w:rsidR="003608B2" w:rsidRPr="0019416B" w:rsidRDefault="003608B2" w:rsidP="0001256C">
            <w:pPr>
              <w:pStyle w:val="Title"/>
              <w:ind w:left="0"/>
              <w:jc w:val="both"/>
              <w:rPr>
                <w:b w:val="0"/>
                <w:bCs/>
                <w:i w:val="0"/>
              </w:rPr>
            </w:pPr>
            <w:r>
              <w:rPr>
                <w:b w:val="0"/>
                <w:bCs/>
                <w:i w:val="0"/>
              </w:rPr>
              <w:t>0</w:t>
            </w:r>
          </w:p>
        </w:tc>
        <w:tc>
          <w:tcPr>
            <w:tcW w:w="2088" w:type="dxa"/>
          </w:tcPr>
          <w:p w14:paraId="5FA49CCE" w14:textId="77777777" w:rsidR="003608B2" w:rsidRPr="0019416B" w:rsidRDefault="003608B2" w:rsidP="003B6A9C">
            <w:pPr>
              <w:pStyle w:val="Title"/>
              <w:ind w:left="0"/>
              <w:jc w:val="right"/>
              <w:rPr>
                <w:b w:val="0"/>
                <w:bCs/>
                <w:i w:val="0"/>
              </w:rPr>
            </w:pPr>
            <w:r>
              <w:rPr>
                <w:b w:val="0"/>
                <w:bCs/>
                <w:i w:val="0"/>
              </w:rPr>
              <w:t>0</w:t>
            </w:r>
          </w:p>
        </w:tc>
      </w:tr>
      <w:tr w:rsidR="003608B2" w:rsidRPr="0019416B" w14:paraId="31911F2C" w14:textId="77777777" w:rsidTr="003B6A9C">
        <w:tc>
          <w:tcPr>
            <w:tcW w:w="4968" w:type="dxa"/>
          </w:tcPr>
          <w:p w14:paraId="7A449835" w14:textId="77777777" w:rsidR="003608B2" w:rsidRPr="0019416B" w:rsidRDefault="003608B2" w:rsidP="0001256C">
            <w:pPr>
              <w:pStyle w:val="Title"/>
              <w:ind w:left="0"/>
              <w:jc w:val="both"/>
              <w:rPr>
                <w:b w:val="0"/>
                <w:bCs/>
                <w:i w:val="0"/>
              </w:rPr>
            </w:pPr>
            <w:r w:rsidRPr="0019416B">
              <w:rPr>
                <w:b w:val="0"/>
                <w:bCs/>
                <w:i w:val="0"/>
              </w:rPr>
              <w:t>Adjustments to Base and Technical Adjustments</w:t>
            </w:r>
          </w:p>
        </w:tc>
        <w:tc>
          <w:tcPr>
            <w:tcW w:w="1260" w:type="dxa"/>
            <w:vAlign w:val="center"/>
          </w:tcPr>
          <w:p w14:paraId="34901E85" w14:textId="77777777" w:rsidR="003608B2" w:rsidRPr="0019416B" w:rsidRDefault="003608B2" w:rsidP="0001256C">
            <w:pPr>
              <w:pStyle w:val="Title"/>
              <w:ind w:left="0"/>
              <w:jc w:val="both"/>
              <w:rPr>
                <w:b w:val="0"/>
                <w:bCs/>
                <w:i w:val="0"/>
              </w:rPr>
            </w:pPr>
            <w:r>
              <w:rPr>
                <w:b w:val="0"/>
                <w:bCs/>
                <w:i w:val="0"/>
              </w:rPr>
              <w:t>0</w:t>
            </w:r>
          </w:p>
        </w:tc>
        <w:tc>
          <w:tcPr>
            <w:tcW w:w="1260" w:type="dxa"/>
            <w:vAlign w:val="center"/>
          </w:tcPr>
          <w:p w14:paraId="17EF9223" w14:textId="77777777" w:rsidR="003608B2" w:rsidRPr="0019416B" w:rsidRDefault="003608B2" w:rsidP="0001256C">
            <w:pPr>
              <w:pStyle w:val="Title"/>
              <w:ind w:left="0"/>
              <w:jc w:val="both"/>
              <w:rPr>
                <w:b w:val="0"/>
                <w:bCs/>
                <w:i w:val="0"/>
              </w:rPr>
            </w:pPr>
            <w:r>
              <w:rPr>
                <w:b w:val="0"/>
                <w:bCs/>
                <w:i w:val="0"/>
              </w:rPr>
              <w:t>0</w:t>
            </w:r>
          </w:p>
        </w:tc>
        <w:tc>
          <w:tcPr>
            <w:tcW w:w="2088" w:type="dxa"/>
          </w:tcPr>
          <w:p w14:paraId="5CC5F692" w14:textId="77777777" w:rsidR="003608B2" w:rsidRPr="0019416B" w:rsidRDefault="003608B2" w:rsidP="003B6A9C">
            <w:pPr>
              <w:pStyle w:val="Title"/>
              <w:ind w:left="0"/>
              <w:jc w:val="right"/>
              <w:rPr>
                <w:b w:val="0"/>
                <w:bCs/>
                <w:i w:val="0"/>
              </w:rPr>
            </w:pPr>
            <w:r>
              <w:rPr>
                <w:b w:val="0"/>
                <w:bCs/>
                <w:i w:val="0"/>
              </w:rPr>
              <w:t>0</w:t>
            </w:r>
          </w:p>
        </w:tc>
      </w:tr>
      <w:tr w:rsidR="003608B2" w:rsidRPr="0019416B" w14:paraId="1A712D73" w14:textId="77777777" w:rsidTr="003B6A9C">
        <w:tc>
          <w:tcPr>
            <w:tcW w:w="4968" w:type="dxa"/>
          </w:tcPr>
          <w:p w14:paraId="2765B68C" w14:textId="77777777" w:rsidR="003608B2" w:rsidRPr="0019416B" w:rsidRDefault="003608B2" w:rsidP="0001256C">
            <w:pPr>
              <w:pStyle w:val="Title"/>
              <w:ind w:left="0"/>
              <w:jc w:val="both"/>
              <w:rPr>
                <w:b w:val="0"/>
                <w:bCs/>
                <w:i w:val="0"/>
              </w:rPr>
            </w:pPr>
            <w:r w:rsidRPr="0019416B">
              <w:rPr>
                <w:b w:val="0"/>
                <w:bCs/>
                <w:i w:val="0"/>
              </w:rPr>
              <w:t>2014 Current Services</w:t>
            </w:r>
          </w:p>
        </w:tc>
        <w:tc>
          <w:tcPr>
            <w:tcW w:w="1260" w:type="dxa"/>
            <w:vAlign w:val="center"/>
          </w:tcPr>
          <w:p w14:paraId="0418F15B" w14:textId="77777777" w:rsidR="003608B2" w:rsidRPr="0019416B" w:rsidRDefault="005A1005" w:rsidP="0001256C">
            <w:pPr>
              <w:pStyle w:val="Title"/>
              <w:ind w:left="0"/>
              <w:jc w:val="both"/>
              <w:rPr>
                <w:b w:val="0"/>
                <w:bCs/>
                <w:i w:val="0"/>
              </w:rPr>
            </w:pPr>
            <w:r>
              <w:rPr>
                <w:b w:val="0"/>
                <w:bCs/>
                <w:i w:val="0"/>
              </w:rPr>
              <w:t>3</w:t>
            </w:r>
          </w:p>
        </w:tc>
        <w:tc>
          <w:tcPr>
            <w:tcW w:w="1260" w:type="dxa"/>
            <w:vAlign w:val="center"/>
          </w:tcPr>
          <w:p w14:paraId="4BEFD107" w14:textId="77777777" w:rsidR="003608B2" w:rsidRPr="0019416B" w:rsidRDefault="005A1005" w:rsidP="0001256C">
            <w:pPr>
              <w:pStyle w:val="Title"/>
              <w:ind w:left="0"/>
              <w:jc w:val="both"/>
              <w:rPr>
                <w:b w:val="0"/>
                <w:bCs/>
                <w:i w:val="0"/>
              </w:rPr>
            </w:pPr>
            <w:r>
              <w:rPr>
                <w:b w:val="0"/>
                <w:bCs/>
                <w:i w:val="0"/>
              </w:rPr>
              <w:t>3</w:t>
            </w:r>
          </w:p>
        </w:tc>
        <w:tc>
          <w:tcPr>
            <w:tcW w:w="2088" w:type="dxa"/>
          </w:tcPr>
          <w:p w14:paraId="4A32D062" w14:textId="77777777" w:rsidR="003608B2" w:rsidRPr="0019416B" w:rsidRDefault="003608B2" w:rsidP="003B6A9C">
            <w:pPr>
              <w:pStyle w:val="Title"/>
              <w:ind w:left="0"/>
              <w:jc w:val="right"/>
              <w:rPr>
                <w:b w:val="0"/>
                <w:bCs/>
                <w:i w:val="0"/>
              </w:rPr>
            </w:pPr>
            <w:r>
              <w:rPr>
                <w:b w:val="0"/>
                <w:bCs/>
                <w:i w:val="0"/>
              </w:rPr>
              <w:t>6,705,000</w:t>
            </w:r>
          </w:p>
        </w:tc>
      </w:tr>
      <w:tr w:rsidR="003608B2" w:rsidRPr="0019416B" w14:paraId="68A7BF02" w14:textId="77777777" w:rsidTr="003B6A9C">
        <w:tc>
          <w:tcPr>
            <w:tcW w:w="4968" w:type="dxa"/>
            <w:tcBorders>
              <w:bottom w:val="single" w:sz="4" w:space="0" w:color="auto"/>
            </w:tcBorders>
          </w:tcPr>
          <w:p w14:paraId="02E95332" w14:textId="77777777" w:rsidR="003608B2" w:rsidRPr="0019416B" w:rsidRDefault="003608B2" w:rsidP="0001256C">
            <w:pPr>
              <w:pStyle w:val="Title"/>
              <w:ind w:left="0"/>
              <w:jc w:val="both"/>
              <w:rPr>
                <w:b w:val="0"/>
                <w:bCs/>
                <w:i w:val="0"/>
              </w:rPr>
            </w:pPr>
            <w:r w:rsidRPr="0019416B">
              <w:rPr>
                <w:b w:val="0"/>
                <w:bCs/>
                <w:i w:val="0"/>
              </w:rPr>
              <w:t>2014 Program Increases</w:t>
            </w:r>
          </w:p>
        </w:tc>
        <w:tc>
          <w:tcPr>
            <w:tcW w:w="1260" w:type="dxa"/>
            <w:tcBorders>
              <w:bottom w:val="single" w:sz="4" w:space="0" w:color="auto"/>
            </w:tcBorders>
            <w:vAlign w:val="center"/>
          </w:tcPr>
          <w:p w14:paraId="4C296467" w14:textId="77777777" w:rsidR="003608B2" w:rsidRPr="0019416B" w:rsidRDefault="003608B2" w:rsidP="0001256C">
            <w:pPr>
              <w:pStyle w:val="Title"/>
              <w:ind w:left="0"/>
              <w:jc w:val="both"/>
              <w:rPr>
                <w:b w:val="0"/>
                <w:bCs/>
                <w:i w:val="0"/>
              </w:rPr>
            </w:pPr>
            <w:r>
              <w:rPr>
                <w:b w:val="0"/>
                <w:bCs/>
                <w:i w:val="0"/>
              </w:rPr>
              <w:t>5</w:t>
            </w:r>
          </w:p>
        </w:tc>
        <w:tc>
          <w:tcPr>
            <w:tcW w:w="1260" w:type="dxa"/>
            <w:tcBorders>
              <w:bottom w:val="single" w:sz="4" w:space="0" w:color="auto"/>
            </w:tcBorders>
            <w:vAlign w:val="center"/>
          </w:tcPr>
          <w:p w14:paraId="6AFDA8F2" w14:textId="77777777" w:rsidR="003608B2" w:rsidRPr="0019416B" w:rsidRDefault="003608B2" w:rsidP="0001256C">
            <w:pPr>
              <w:pStyle w:val="Title"/>
              <w:ind w:left="0"/>
              <w:jc w:val="both"/>
              <w:rPr>
                <w:b w:val="0"/>
                <w:bCs/>
                <w:i w:val="0"/>
              </w:rPr>
            </w:pPr>
            <w:r>
              <w:rPr>
                <w:b w:val="0"/>
                <w:bCs/>
                <w:i w:val="0"/>
              </w:rPr>
              <w:t>5</w:t>
            </w:r>
          </w:p>
        </w:tc>
        <w:tc>
          <w:tcPr>
            <w:tcW w:w="2088" w:type="dxa"/>
            <w:tcBorders>
              <w:bottom w:val="single" w:sz="4" w:space="0" w:color="auto"/>
            </w:tcBorders>
          </w:tcPr>
          <w:p w14:paraId="2047417B" w14:textId="77777777" w:rsidR="003608B2" w:rsidRPr="0019416B" w:rsidRDefault="003608B2" w:rsidP="003B6A9C">
            <w:pPr>
              <w:pStyle w:val="Title"/>
              <w:ind w:left="0"/>
              <w:jc w:val="right"/>
              <w:rPr>
                <w:b w:val="0"/>
                <w:bCs/>
                <w:i w:val="0"/>
              </w:rPr>
            </w:pPr>
            <w:r>
              <w:rPr>
                <w:b w:val="0"/>
                <w:bCs/>
                <w:i w:val="0"/>
              </w:rPr>
              <w:t>332,000</w:t>
            </w:r>
          </w:p>
        </w:tc>
      </w:tr>
      <w:tr w:rsidR="003608B2" w:rsidRPr="0019416B" w14:paraId="371B8426" w14:textId="77777777" w:rsidTr="003B6A9C">
        <w:tc>
          <w:tcPr>
            <w:tcW w:w="4968" w:type="dxa"/>
            <w:tcBorders>
              <w:bottom w:val="single" w:sz="4" w:space="0" w:color="auto"/>
            </w:tcBorders>
          </w:tcPr>
          <w:p w14:paraId="065799D4" w14:textId="77777777" w:rsidR="003608B2" w:rsidRPr="0019416B" w:rsidRDefault="003608B2" w:rsidP="0001256C">
            <w:pPr>
              <w:pStyle w:val="Title"/>
              <w:ind w:left="0"/>
              <w:jc w:val="both"/>
              <w:rPr>
                <w:b w:val="0"/>
                <w:bCs/>
                <w:i w:val="0"/>
              </w:rPr>
            </w:pPr>
            <w:r w:rsidRPr="0019416B">
              <w:rPr>
                <w:b w:val="0"/>
                <w:bCs/>
                <w:i w:val="0"/>
              </w:rPr>
              <w:t>2014 Program Offsets</w:t>
            </w:r>
          </w:p>
        </w:tc>
        <w:tc>
          <w:tcPr>
            <w:tcW w:w="1260" w:type="dxa"/>
            <w:tcBorders>
              <w:bottom w:val="single" w:sz="4" w:space="0" w:color="auto"/>
            </w:tcBorders>
            <w:vAlign w:val="center"/>
          </w:tcPr>
          <w:p w14:paraId="69B51548" w14:textId="77777777" w:rsidR="003608B2" w:rsidRPr="0019416B" w:rsidRDefault="003608B2" w:rsidP="0001256C">
            <w:pPr>
              <w:pStyle w:val="Title"/>
              <w:ind w:left="0"/>
              <w:jc w:val="both"/>
              <w:rPr>
                <w:b w:val="0"/>
                <w:bCs/>
                <w:i w:val="0"/>
              </w:rPr>
            </w:pPr>
            <w:r>
              <w:rPr>
                <w:b w:val="0"/>
                <w:bCs/>
                <w:i w:val="0"/>
              </w:rPr>
              <w:t>0</w:t>
            </w:r>
          </w:p>
        </w:tc>
        <w:tc>
          <w:tcPr>
            <w:tcW w:w="1260" w:type="dxa"/>
            <w:tcBorders>
              <w:bottom w:val="single" w:sz="4" w:space="0" w:color="auto"/>
            </w:tcBorders>
            <w:vAlign w:val="center"/>
          </w:tcPr>
          <w:p w14:paraId="62FE5EFE" w14:textId="77777777" w:rsidR="003608B2" w:rsidRPr="0019416B" w:rsidRDefault="003608B2" w:rsidP="0001256C">
            <w:pPr>
              <w:pStyle w:val="Title"/>
              <w:ind w:left="0"/>
              <w:jc w:val="both"/>
              <w:rPr>
                <w:b w:val="0"/>
                <w:bCs/>
                <w:i w:val="0"/>
              </w:rPr>
            </w:pPr>
            <w:r>
              <w:rPr>
                <w:b w:val="0"/>
                <w:bCs/>
                <w:i w:val="0"/>
              </w:rPr>
              <w:t>0</w:t>
            </w:r>
          </w:p>
        </w:tc>
        <w:tc>
          <w:tcPr>
            <w:tcW w:w="2088" w:type="dxa"/>
            <w:tcBorders>
              <w:bottom w:val="single" w:sz="4" w:space="0" w:color="auto"/>
            </w:tcBorders>
          </w:tcPr>
          <w:p w14:paraId="538F2F6E" w14:textId="77777777" w:rsidR="003608B2" w:rsidRPr="0019416B" w:rsidRDefault="003608B2" w:rsidP="003B6A9C">
            <w:pPr>
              <w:pStyle w:val="Title"/>
              <w:ind w:left="0"/>
              <w:jc w:val="right"/>
              <w:rPr>
                <w:b w:val="0"/>
                <w:bCs/>
                <w:i w:val="0"/>
              </w:rPr>
            </w:pPr>
            <w:r>
              <w:rPr>
                <w:b w:val="0"/>
                <w:bCs/>
                <w:i w:val="0"/>
              </w:rPr>
              <w:t>0</w:t>
            </w:r>
          </w:p>
        </w:tc>
      </w:tr>
      <w:tr w:rsidR="003608B2" w14:paraId="04D5EBA5" w14:textId="77777777" w:rsidTr="003B6A9C">
        <w:tc>
          <w:tcPr>
            <w:tcW w:w="4968" w:type="dxa"/>
            <w:tcBorders>
              <w:bottom w:val="single" w:sz="4" w:space="0" w:color="auto"/>
            </w:tcBorders>
          </w:tcPr>
          <w:p w14:paraId="35A982F1" w14:textId="77777777" w:rsidR="003608B2" w:rsidRDefault="003608B2" w:rsidP="0001256C">
            <w:pPr>
              <w:pStyle w:val="Title"/>
              <w:ind w:left="0"/>
              <w:jc w:val="both"/>
              <w:rPr>
                <w:b w:val="0"/>
                <w:bCs/>
                <w:i w:val="0"/>
              </w:rPr>
            </w:pPr>
            <w:r w:rsidRPr="0019416B">
              <w:rPr>
                <w:b w:val="0"/>
                <w:bCs/>
                <w:i w:val="0"/>
              </w:rPr>
              <w:t>2014 Request</w:t>
            </w:r>
          </w:p>
        </w:tc>
        <w:tc>
          <w:tcPr>
            <w:tcW w:w="1260" w:type="dxa"/>
            <w:tcBorders>
              <w:bottom w:val="single" w:sz="4" w:space="0" w:color="auto"/>
            </w:tcBorders>
            <w:vAlign w:val="center"/>
          </w:tcPr>
          <w:p w14:paraId="431128EC" w14:textId="77777777" w:rsidR="003608B2" w:rsidRDefault="005A1005" w:rsidP="0001256C">
            <w:pPr>
              <w:pStyle w:val="Title"/>
              <w:ind w:left="0"/>
              <w:jc w:val="both"/>
              <w:rPr>
                <w:b w:val="0"/>
                <w:bCs/>
                <w:i w:val="0"/>
              </w:rPr>
            </w:pPr>
            <w:r>
              <w:rPr>
                <w:b w:val="0"/>
                <w:bCs/>
                <w:i w:val="0"/>
              </w:rPr>
              <w:t>8</w:t>
            </w:r>
          </w:p>
        </w:tc>
        <w:tc>
          <w:tcPr>
            <w:tcW w:w="1260" w:type="dxa"/>
            <w:tcBorders>
              <w:bottom w:val="single" w:sz="4" w:space="0" w:color="auto"/>
            </w:tcBorders>
            <w:vAlign w:val="center"/>
          </w:tcPr>
          <w:p w14:paraId="045BC99E" w14:textId="77777777" w:rsidR="003608B2" w:rsidRDefault="005A1005" w:rsidP="0001256C">
            <w:pPr>
              <w:pStyle w:val="Title"/>
              <w:ind w:left="0"/>
              <w:jc w:val="both"/>
              <w:rPr>
                <w:b w:val="0"/>
                <w:bCs/>
                <w:i w:val="0"/>
              </w:rPr>
            </w:pPr>
            <w:r>
              <w:rPr>
                <w:b w:val="0"/>
                <w:bCs/>
                <w:i w:val="0"/>
              </w:rPr>
              <w:t>8</w:t>
            </w:r>
          </w:p>
        </w:tc>
        <w:tc>
          <w:tcPr>
            <w:tcW w:w="2088" w:type="dxa"/>
            <w:tcBorders>
              <w:bottom w:val="single" w:sz="4" w:space="0" w:color="auto"/>
            </w:tcBorders>
          </w:tcPr>
          <w:p w14:paraId="50526ABE" w14:textId="77777777" w:rsidR="003608B2" w:rsidRDefault="003608B2" w:rsidP="003B6A9C">
            <w:pPr>
              <w:pStyle w:val="Title"/>
              <w:ind w:left="0"/>
              <w:jc w:val="right"/>
              <w:rPr>
                <w:b w:val="0"/>
                <w:bCs/>
                <w:i w:val="0"/>
              </w:rPr>
            </w:pPr>
            <w:r>
              <w:rPr>
                <w:b w:val="0"/>
                <w:bCs/>
                <w:i w:val="0"/>
              </w:rPr>
              <w:t>7,037,000</w:t>
            </w:r>
          </w:p>
        </w:tc>
      </w:tr>
      <w:tr w:rsidR="003608B2" w14:paraId="2449C52A" w14:textId="77777777" w:rsidTr="003B6A9C">
        <w:tc>
          <w:tcPr>
            <w:tcW w:w="4968" w:type="dxa"/>
            <w:shd w:val="clear" w:color="auto" w:fill="E6E6E6"/>
          </w:tcPr>
          <w:p w14:paraId="1DBDCCA5" w14:textId="77777777" w:rsidR="003608B2" w:rsidRDefault="003608B2" w:rsidP="0001256C">
            <w:pPr>
              <w:pStyle w:val="Title"/>
              <w:ind w:left="0"/>
              <w:jc w:val="both"/>
              <w:rPr>
                <w:b w:val="0"/>
                <w:bCs/>
                <w:i w:val="0"/>
              </w:rPr>
            </w:pPr>
            <w:r>
              <w:rPr>
                <w:i w:val="0"/>
              </w:rPr>
              <w:t>Total Change 2012-2014</w:t>
            </w:r>
          </w:p>
        </w:tc>
        <w:tc>
          <w:tcPr>
            <w:tcW w:w="1260" w:type="dxa"/>
            <w:shd w:val="clear" w:color="auto" w:fill="E6E6E6"/>
            <w:vAlign w:val="center"/>
          </w:tcPr>
          <w:p w14:paraId="15609628" w14:textId="77777777" w:rsidR="003608B2" w:rsidRDefault="003608B2" w:rsidP="0001256C">
            <w:pPr>
              <w:pStyle w:val="Title"/>
              <w:ind w:left="0"/>
              <w:jc w:val="both"/>
              <w:rPr>
                <w:b w:val="0"/>
                <w:bCs/>
                <w:i w:val="0"/>
              </w:rPr>
            </w:pPr>
          </w:p>
        </w:tc>
        <w:tc>
          <w:tcPr>
            <w:tcW w:w="1260" w:type="dxa"/>
            <w:shd w:val="clear" w:color="auto" w:fill="E6E6E6"/>
            <w:vAlign w:val="center"/>
          </w:tcPr>
          <w:p w14:paraId="356D498F" w14:textId="77777777" w:rsidR="003608B2" w:rsidRDefault="003608B2" w:rsidP="0001256C">
            <w:pPr>
              <w:pStyle w:val="Title"/>
              <w:ind w:left="0"/>
              <w:jc w:val="both"/>
              <w:rPr>
                <w:b w:val="0"/>
                <w:bCs/>
                <w:i w:val="0"/>
              </w:rPr>
            </w:pPr>
          </w:p>
        </w:tc>
        <w:tc>
          <w:tcPr>
            <w:tcW w:w="2088" w:type="dxa"/>
            <w:shd w:val="clear" w:color="auto" w:fill="E6E6E6"/>
          </w:tcPr>
          <w:p w14:paraId="3CABC24C" w14:textId="77777777" w:rsidR="003608B2" w:rsidRDefault="003608B2" w:rsidP="003B6A9C">
            <w:pPr>
              <w:pStyle w:val="Title"/>
              <w:ind w:left="0"/>
              <w:jc w:val="right"/>
              <w:rPr>
                <w:b w:val="0"/>
                <w:bCs/>
                <w:i w:val="0"/>
              </w:rPr>
            </w:pPr>
            <w:r>
              <w:rPr>
                <w:b w:val="0"/>
                <w:bCs/>
                <w:i w:val="0"/>
              </w:rPr>
              <w:t>(349,000)</w:t>
            </w:r>
          </w:p>
        </w:tc>
      </w:tr>
    </w:tbl>
    <w:p w14:paraId="3D1D90C8" w14:textId="77777777" w:rsidR="00FA3A31" w:rsidRDefault="00FA3A31" w:rsidP="0001256C">
      <w:pPr>
        <w:pStyle w:val="Title"/>
        <w:ind w:left="0"/>
        <w:jc w:val="both"/>
        <w:rPr>
          <w:i w:val="0"/>
        </w:rPr>
      </w:pPr>
    </w:p>
    <w:p w14:paraId="32482F29" w14:textId="77777777" w:rsidR="00C524E3" w:rsidRPr="00C524E3" w:rsidRDefault="00C524E3" w:rsidP="00C524E3">
      <w:pPr>
        <w:tabs>
          <w:tab w:val="left" w:pos="1080"/>
          <w:tab w:val="left" w:pos="3600"/>
          <w:tab w:val="left" w:pos="5580"/>
        </w:tabs>
        <w:ind w:left="90"/>
        <w:jc w:val="both"/>
        <w:rPr>
          <w:b/>
          <w:iCs/>
        </w:rPr>
      </w:pPr>
    </w:p>
    <w:p w14:paraId="1645FDF5" w14:textId="77777777" w:rsidR="00C524E3" w:rsidRPr="00C524E3" w:rsidRDefault="00C524E3" w:rsidP="00C524E3">
      <w:pPr>
        <w:tabs>
          <w:tab w:val="left" w:pos="1080"/>
          <w:tab w:val="left" w:pos="3600"/>
          <w:tab w:val="left" w:pos="5580"/>
        </w:tabs>
        <w:ind w:left="90"/>
        <w:jc w:val="both"/>
        <w:rPr>
          <w:b/>
          <w:iCs/>
        </w:rPr>
      </w:pPr>
    </w:p>
    <w:p w14:paraId="162C4D1D" w14:textId="77777777" w:rsidR="00C524E3" w:rsidRPr="00C524E3" w:rsidRDefault="00C524E3" w:rsidP="00C524E3">
      <w:pPr>
        <w:tabs>
          <w:tab w:val="left" w:pos="1080"/>
          <w:tab w:val="left" w:pos="3600"/>
          <w:tab w:val="left" w:pos="5580"/>
        </w:tabs>
        <w:ind w:left="90"/>
        <w:jc w:val="both"/>
        <w:rPr>
          <w:b/>
          <w:iCs/>
        </w:rPr>
      </w:pPr>
    </w:p>
    <w:p w14:paraId="3C971259" w14:textId="77777777" w:rsidR="00C524E3" w:rsidRPr="00C524E3" w:rsidRDefault="00C524E3" w:rsidP="00C524E3">
      <w:pPr>
        <w:tabs>
          <w:tab w:val="left" w:pos="1080"/>
          <w:tab w:val="left" w:pos="3600"/>
          <w:tab w:val="left" w:pos="5580"/>
        </w:tabs>
        <w:ind w:left="90"/>
        <w:jc w:val="both"/>
        <w:rPr>
          <w:b/>
          <w:iCs/>
        </w:rPr>
      </w:pPr>
    </w:p>
    <w:p w14:paraId="0AA7BEBF" w14:textId="77777777" w:rsidR="00C524E3" w:rsidRPr="00C524E3" w:rsidRDefault="00C524E3" w:rsidP="00C524E3">
      <w:pPr>
        <w:tabs>
          <w:tab w:val="left" w:pos="1080"/>
          <w:tab w:val="left" w:pos="3600"/>
          <w:tab w:val="left" w:pos="5580"/>
        </w:tabs>
        <w:ind w:left="90"/>
        <w:jc w:val="both"/>
        <w:rPr>
          <w:b/>
          <w:iCs/>
        </w:rPr>
      </w:pPr>
    </w:p>
    <w:p w14:paraId="604D53C4" w14:textId="77777777" w:rsidR="00E32D4F" w:rsidRDefault="00E32D4F" w:rsidP="0001256C">
      <w:pPr>
        <w:pStyle w:val="ListParagraph"/>
        <w:numPr>
          <w:ilvl w:val="3"/>
          <w:numId w:val="16"/>
        </w:numPr>
        <w:tabs>
          <w:tab w:val="left" w:pos="1080"/>
          <w:tab w:val="left" w:pos="3600"/>
          <w:tab w:val="left" w:pos="5580"/>
        </w:tabs>
        <w:ind w:left="270" w:hanging="180"/>
        <w:jc w:val="both"/>
        <w:rPr>
          <w:b/>
          <w:iCs/>
        </w:rPr>
      </w:pPr>
      <w:r>
        <w:rPr>
          <w:b/>
          <w:iCs/>
        </w:rPr>
        <w:lastRenderedPageBreak/>
        <w:t>Program Description</w:t>
      </w:r>
    </w:p>
    <w:p w14:paraId="119370C1" w14:textId="77777777" w:rsidR="00E32D4F" w:rsidRDefault="00E32D4F" w:rsidP="0001256C">
      <w:pPr>
        <w:tabs>
          <w:tab w:val="left" w:pos="1080"/>
          <w:tab w:val="left" w:pos="3600"/>
          <w:tab w:val="left" w:pos="5580"/>
        </w:tabs>
        <w:ind w:left="720"/>
        <w:jc w:val="both"/>
        <w:rPr>
          <w:b/>
          <w:iCs/>
        </w:rPr>
      </w:pPr>
    </w:p>
    <w:p w14:paraId="60595AD4" w14:textId="77777777" w:rsidR="003779FE" w:rsidRPr="009273C7" w:rsidRDefault="003779FE" w:rsidP="0001256C">
      <w:pPr>
        <w:jc w:val="both"/>
      </w:pPr>
      <w:r w:rsidRPr="009273C7">
        <w:t xml:space="preserve">The programs and resources offered by the COPS Office provide state, local, and tribal law enforcement agencies with a variety of community policing strategies for enhancing public safety and assisting in meeting existing and changing priorities within their communities. </w:t>
      </w:r>
      <w:r w:rsidR="007B36C1">
        <w:t xml:space="preserve"> </w:t>
      </w:r>
      <w:r w:rsidRPr="009273C7">
        <w:t xml:space="preserve">COPS initiatives can be grouped into two primary activities: </w:t>
      </w:r>
      <w:r w:rsidRPr="00506991">
        <w:rPr>
          <w:i/>
        </w:rPr>
        <w:t>Supporting Law Enforcement by Advancing Community Policing through Grant Resources</w:t>
      </w:r>
      <w:r w:rsidRPr="009273C7">
        <w:t xml:space="preserve">, and </w:t>
      </w:r>
      <w:r w:rsidRPr="00506991">
        <w:rPr>
          <w:i/>
        </w:rPr>
        <w:t>Advancing Community Policing through Knowledge Resources</w:t>
      </w:r>
      <w:r w:rsidRPr="009273C7">
        <w:t xml:space="preserve">. </w:t>
      </w:r>
    </w:p>
    <w:p w14:paraId="5EFE5220" w14:textId="77777777" w:rsidR="003779FE" w:rsidRPr="009273C7" w:rsidRDefault="003779FE" w:rsidP="0001256C">
      <w:pPr>
        <w:pStyle w:val="Footer"/>
        <w:widowControl/>
        <w:tabs>
          <w:tab w:val="clear" w:pos="4320"/>
          <w:tab w:val="clear" w:pos="8640"/>
        </w:tabs>
        <w:jc w:val="both"/>
        <w:rPr>
          <w:rFonts w:ascii="Times New Roman" w:hAnsi="Times New Roman"/>
          <w:sz w:val="24"/>
          <w:szCs w:val="24"/>
        </w:rPr>
      </w:pPr>
    </w:p>
    <w:p w14:paraId="5DA19108" w14:textId="77777777" w:rsidR="003779FE" w:rsidRPr="009273C7" w:rsidRDefault="003779FE" w:rsidP="0001256C">
      <w:pPr>
        <w:jc w:val="both"/>
        <w:rPr>
          <w:b/>
        </w:rPr>
      </w:pPr>
      <w:r w:rsidRPr="007B36C1">
        <w:rPr>
          <w:i/>
        </w:rPr>
        <w:t>Supporting Law Enforcement by Advancing Community Policing through Grant Resources</w:t>
      </w:r>
      <w:r w:rsidRPr="009273C7">
        <w:t xml:space="preserve"> program activities have provided law enforcement with the tools necessary to develop innovative, problem-solving approaches through community partnerships, to address the causes of crime and disorder within their community. COPS funding has provided state, local, and tribal law enforcement agencies with grants for </w:t>
      </w:r>
      <w:r w:rsidR="0032446E">
        <w:t>officer positions</w:t>
      </w:r>
      <w:r w:rsidR="0032446E" w:rsidRPr="009273C7">
        <w:t xml:space="preserve">, </w:t>
      </w:r>
      <w:r w:rsidR="0032446E">
        <w:t xml:space="preserve">training and technical assistance, </w:t>
      </w:r>
      <w:r w:rsidRPr="009273C7">
        <w:t xml:space="preserve">equipment, </w:t>
      </w:r>
      <w:r w:rsidR="0032446E">
        <w:t xml:space="preserve">and </w:t>
      </w:r>
      <w:r w:rsidRPr="009273C7">
        <w:t>technology, that enable law enforcement to build and strengthen their community policing infrastructure</w:t>
      </w:r>
      <w:r>
        <w:t>;</w:t>
      </w:r>
      <w:r w:rsidRPr="009273C7">
        <w:t xml:space="preserve"> and provided technical assistance to ensure that agencies are properly and effectively implementing the grant funding.  </w:t>
      </w:r>
    </w:p>
    <w:p w14:paraId="1A45BFF8" w14:textId="77777777" w:rsidR="003779FE" w:rsidRPr="007B36C1" w:rsidRDefault="003779FE" w:rsidP="0001256C">
      <w:pPr>
        <w:jc w:val="both"/>
        <w:rPr>
          <w:i/>
        </w:rPr>
      </w:pPr>
    </w:p>
    <w:p w14:paraId="00E23B54" w14:textId="77777777" w:rsidR="003779FE" w:rsidRPr="009273C7" w:rsidRDefault="003779FE" w:rsidP="0001256C">
      <w:pPr>
        <w:jc w:val="both"/>
      </w:pPr>
      <w:r w:rsidRPr="007B36C1">
        <w:rPr>
          <w:i/>
        </w:rPr>
        <w:t>Advancing Community Policing through Knowledge Resources</w:t>
      </w:r>
      <w:r w:rsidRPr="009273C7">
        <w:t xml:space="preserve"> program activities encompass COPS outreach efforts in advancing and supporting community policing strategies in agencies and communities across the nation through training</w:t>
      </w:r>
      <w:r>
        <w:t>;</w:t>
      </w:r>
      <w:r w:rsidRPr="009273C7">
        <w:t xml:space="preserve"> convening conferences</w:t>
      </w:r>
      <w:r>
        <w:t>;</w:t>
      </w:r>
      <w:r w:rsidRPr="009273C7">
        <w:t xml:space="preserve"> providing publication products</w:t>
      </w:r>
      <w:r>
        <w:t>;</w:t>
      </w:r>
      <w:r w:rsidRPr="009273C7">
        <w:t xml:space="preserve"> disseminating best practices</w:t>
      </w:r>
      <w:r>
        <w:t>;</w:t>
      </w:r>
      <w:r w:rsidRPr="009273C7">
        <w:t xml:space="preserve"> promoting law enforcement and community partnerships</w:t>
      </w:r>
      <w:r>
        <w:t>;</w:t>
      </w:r>
      <w:r w:rsidRPr="009273C7">
        <w:t xml:space="preserve"> and conducting program evaluations. These efforts also assist in preparing officers and their departments to meet challenges by using community policing strategies, as well as promoting collaboration between law enforcement and communities to solve problems locally.</w:t>
      </w:r>
    </w:p>
    <w:p w14:paraId="020ABBC5" w14:textId="77777777" w:rsidR="003779FE" w:rsidRPr="009273C7" w:rsidRDefault="003779FE" w:rsidP="0001256C">
      <w:pPr>
        <w:jc w:val="both"/>
      </w:pPr>
    </w:p>
    <w:p w14:paraId="70D21529" w14:textId="77777777" w:rsidR="003779FE" w:rsidRPr="009273C7" w:rsidRDefault="00A057F9" w:rsidP="0001256C">
      <w:pPr>
        <w:jc w:val="both"/>
      </w:pPr>
      <w:r>
        <w:t xml:space="preserve">Program </w:t>
      </w:r>
      <w:r w:rsidR="003779FE" w:rsidRPr="009273C7">
        <w:t>management and administration resources support the personnel requirements, contractual needs, information technology initiatives, and general overhead required to operate efficient and effective grant programs.</w:t>
      </w:r>
      <w:r w:rsidR="007B36C1">
        <w:t xml:space="preserve"> </w:t>
      </w:r>
      <w:r w:rsidR="003779FE" w:rsidRPr="009273C7">
        <w:t xml:space="preserve"> These costs are identified separately under each program activity. </w:t>
      </w:r>
    </w:p>
    <w:p w14:paraId="4682ABC2" w14:textId="77777777" w:rsidR="003779FE" w:rsidRDefault="003779FE" w:rsidP="0001256C">
      <w:pPr>
        <w:jc w:val="both"/>
        <w:rPr>
          <w:b/>
        </w:rPr>
      </w:pPr>
    </w:p>
    <w:p w14:paraId="1E040553" w14:textId="77777777" w:rsidR="003779FE" w:rsidRPr="009273C7" w:rsidRDefault="003779FE" w:rsidP="0001256C">
      <w:pPr>
        <w:jc w:val="both"/>
        <w:rPr>
          <w:b/>
        </w:rPr>
      </w:pPr>
      <w:r w:rsidRPr="009273C7">
        <w:rPr>
          <w:b/>
        </w:rPr>
        <w:t>Activity: Supporting Law Enforcement by Advancing Community Policing through Grant Resources</w:t>
      </w:r>
    </w:p>
    <w:p w14:paraId="1B4CFE72" w14:textId="77777777" w:rsidR="003779FE" w:rsidRPr="009273C7" w:rsidRDefault="003779FE" w:rsidP="0001256C">
      <w:pPr>
        <w:jc w:val="both"/>
        <w:rPr>
          <w:b/>
        </w:rPr>
      </w:pPr>
    </w:p>
    <w:p w14:paraId="73CA2537" w14:textId="77777777" w:rsidR="003779FE" w:rsidRPr="009273C7" w:rsidRDefault="003779FE" w:rsidP="0001256C">
      <w:pPr>
        <w:jc w:val="both"/>
      </w:pPr>
      <w:r w:rsidRPr="007B36C1">
        <w:rPr>
          <w:i/>
        </w:rPr>
        <w:t>Supporting Law Enforcement by Advancing Community Policing through Grant Resources</w:t>
      </w:r>
      <w:r w:rsidRPr="009273C7">
        <w:t xml:space="preserve"> is, and has been</w:t>
      </w:r>
      <w:r w:rsidR="00A828E4">
        <w:t xml:space="preserve"> since the office’s inception</w:t>
      </w:r>
      <w:r w:rsidRPr="009273C7">
        <w:t xml:space="preserve">, a primary program activity of the COPS Office. </w:t>
      </w:r>
      <w:r w:rsidR="00A057F9">
        <w:t xml:space="preserve">The </w:t>
      </w:r>
      <w:r w:rsidRPr="009273C7">
        <w:t xml:space="preserve">COPS </w:t>
      </w:r>
      <w:r w:rsidR="00A057F9">
        <w:t xml:space="preserve">Office </w:t>
      </w:r>
      <w:r w:rsidR="00A828E4">
        <w:t xml:space="preserve">proposes to </w:t>
      </w:r>
      <w:r w:rsidRPr="009273C7">
        <w:t>support state, local, and tribal law enforcement in FY 201</w:t>
      </w:r>
      <w:r w:rsidR="00A828E4">
        <w:t>4</w:t>
      </w:r>
      <w:r w:rsidRPr="009273C7">
        <w:t xml:space="preserve"> primarily through the awarding of grants under COPS Hiring</w:t>
      </w:r>
      <w:r w:rsidR="00495CB2">
        <w:t xml:space="preserve"> </w:t>
      </w:r>
      <w:r w:rsidR="00A057F9">
        <w:t>and</w:t>
      </w:r>
      <w:r w:rsidRPr="009273C7">
        <w:t xml:space="preserve"> Indian Country</w:t>
      </w:r>
      <w:r w:rsidR="00A057F9">
        <w:t xml:space="preserve"> </w:t>
      </w:r>
      <w:r w:rsidRPr="009273C7">
        <w:t>Program</w:t>
      </w:r>
      <w:r>
        <w:t>s</w:t>
      </w:r>
      <w:r w:rsidRPr="009273C7">
        <w:t>.</w:t>
      </w:r>
    </w:p>
    <w:p w14:paraId="2D02ABF6" w14:textId="77777777" w:rsidR="003779FE" w:rsidRPr="009273C7" w:rsidRDefault="003779FE" w:rsidP="0001256C">
      <w:pPr>
        <w:jc w:val="both"/>
      </w:pPr>
    </w:p>
    <w:p w14:paraId="5A8BD54E" w14:textId="77777777" w:rsidR="003779FE" w:rsidRDefault="003779FE" w:rsidP="0001256C">
      <w:pPr>
        <w:jc w:val="both"/>
        <w:rPr>
          <w:b/>
          <w:u w:val="single"/>
        </w:rPr>
      </w:pPr>
      <w:r w:rsidRPr="003239E9">
        <w:rPr>
          <w:b/>
          <w:u w:val="single"/>
        </w:rPr>
        <w:t>COPS Hiring</w:t>
      </w:r>
    </w:p>
    <w:p w14:paraId="4183027A" w14:textId="77777777" w:rsidR="003779FE" w:rsidRPr="009273C7" w:rsidRDefault="003779FE" w:rsidP="0001256C">
      <w:pPr>
        <w:autoSpaceDE w:val="0"/>
        <w:autoSpaceDN w:val="0"/>
        <w:adjustRightInd w:val="0"/>
        <w:spacing w:line="201" w:lineRule="atLeast"/>
        <w:jc w:val="both"/>
      </w:pPr>
      <w:r w:rsidRPr="009273C7">
        <w:t xml:space="preserve">COPS </w:t>
      </w:r>
      <w:r>
        <w:t>h</w:t>
      </w:r>
      <w:r w:rsidRPr="009273C7">
        <w:t xml:space="preserve">iring programs were developed to increase the number of </w:t>
      </w:r>
      <w:r>
        <w:t xml:space="preserve">community policing </w:t>
      </w:r>
      <w:r w:rsidRPr="009273C7">
        <w:t>officers on the streets of America. As state, local, and tribal law enforcement embrace the challenges of keeping communities safe, this is now more important than ever.</w:t>
      </w:r>
    </w:p>
    <w:p w14:paraId="5A02E6CC" w14:textId="77777777" w:rsidR="003779FE" w:rsidRPr="009273C7" w:rsidRDefault="003779FE" w:rsidP="0001256C">
      <w:pPr>
        <w:autoSpaceDE w:val="0"/>
        <w:autoSpaceDN w:val="0"/>
        <w:adjustRightInd w:val="0"/>
        <w:spacing w:line="201" w:lineRule="atLeast"/>
        <w:jc w:val="both"/>
      </w:pPr>
    </w:p>
    <w:p w14:paraId="3C5D1034" w14:textId="77777777" w:rsidR="003779FE" w:rsidRPr="009273C7" w:rsidRDefault="003779FE" w:rsidP="0001256C">
      <w:pPr>
        <w:autoSpaceDE w:val="0"/>
        <w:autoSpaceDN w:val="0"/>
        <w:adjustRightInd w:val="0"/>
        <w:spacing w:line="201" w:lineRule="atLeast"/>
        <w:jc w:val="both"/>
      </w:pPr>
      <w:r w:rsidRPr="009273C7">
        <w:t>More than a decade ago</w:t>
      </w:r>
      <w:r>
        <w:t>,</w:t>
      </w:r>
      <w:r w:rsidRPr="009273C7">
        <w:t xml:space="preserve"> as crime was soaring, law enforcement officers were rushing from incident </w:t>
      </w:r>
      <w:r>
        <w:t>to incident. Today, more than 15</w:t>
      </w:r>
      <w:r w:rsidRPr="009273C7">
        <w:t xml:space="preserve"> years after the Violent Crime Control and Law Enforcement Act of 1994 was signed into law, officers and citizens are partnering to develop creative and innovative ways to resolve long-standing community problems and public safety issues.</w:t>
      </w:r>
    </w:p>
    <w:p w14:paraId="59436A8A" w14:textId="77777777" w:rsidR="003779FE" w:rsidRPr="009273C7" w:rsidRDefault="003779FE" w:rsidP="0001256C">
      <w:pPr>
        <w:pStyle w:val="Default"/>
        <w:jc w:val="both"/>
        <w:rPr>
          <w:color w:val="auto"/>
        </w:rPr>
      </w:pPr>
    </w:p>
    <w:p w14:paraId="0A5B0D33" w14:textId="77777777" w:rsidR="003779FE" w:rsidRDefault="007B36C1" w:rsidP="0001256C">
      <w:pPr>
        <w:pStyle w:val="Default"/>
        <w:jc w:val="both"/>
        <w:rPr>
          <w:color w:val="auto"/>
        </w:rPr>
      </w:pPr>
      <w:r>
        <w:rPr>
          <w:color w:val="auto"/>
        </w:rPr>
        <w:t xml:space="preserve">The </w:t>
      </w:r>
      <w:r w:rsidR="003779FE" w:rsidRPr="009273C7">
        <w:rPr>
          <w:color w:val="auto"/>
        </w:rPr>
        <w:t>COPS</w:t>
      </w:r>
      <w:r>
        <w:rPr>
          <w:color w:val="auto"/>
        </w:rPr>
        <w:t xml:space="preserve"> Office</w:t>
      </w:r>
      <w:r w:rsidR="003779FE" w:rsidRPr="009273C7">
        <w:rPr>
          <w:color w:val="auto"/>
        </w:rPr>
        <w:t xml:space="preserve"> implemented the Universal Hiring Program (UHP) in 1995, and to date</w:t>
      </w:r>
      <w:r w:rsidR="003779FE">
        <w:rPr>
          <w:color w:val="auto"/>
        </w:rPr>
        <w:t>,</w:t>
      </w:r>
      <w:r w:rsidR="003779FE" w:rsidRPr="009273C7">
        <w:rPr>
          <w:color w:val="auto"/>
        </w:rPr>
        <w:t xml:space="preserve"> COPS has funded the addition of over 12</w:t>
      </w:r>
      <w:r w:rsidR="00980F79">
        <w:rPr>
          <w:color w:val="auto"/>
        </w:rPr>
        <w:t>4</w:t>
      </w:r>
      <w:r w:rsidR="003779FE" w:rsidRPr="009273C7">
        <w:rPr>
          <w:color w:val="auto"/>
        </w:rPr>
        <w:t>,</w:t>
      </w:r>
      <w:r w:rsidR="00980F79">
        <w:rPr>
          <w:color w:val="auto"/>
        </w:rPr>
        <w:t>6</w:t>
      </w:r>
      <w:r w:rsidR="003779FE" w:rsidRPr="009273C7">
        <w:rPr>
          <w:color w:val="auto"/>
        </w:rPr>
        <w:t xml:space="preserve">00 </w:t>
      </w:r>
      <w:r w:rsidR="003779FE">
        <w:rPr>
          <w:color w:val="auto"/>
        </w:rPr>
        <w:t xml:space="preserve">community policing </w:t>
      </w:r>
      <w:r w:rsidR="003779FE" w:rsidRPr="009273C7">
        <w:rPr>
          <w:color w:val="auto"/>
        </w:rPr>
        <w:t>officers</w:t>
      </w:r>
      <w:r w:rsidR="00164530">
        <w:rPr>
          <w:color w:val="auto"/>
        </w:rPr>
        <w:t xml:space="preserve"> and awarded over $8.</w:t>
      </w:r>
      <w:r w:rsidR="004C3A7B">
        <w:rPr>
          <w:color w:val="auto"/>
        </w:rPr>
        <w:t xml:space="preserve">5 </w:t>
      </w:r>
      <w:r w:rsidR="00164530">
        <w:rPr>
          <w:color w:val="auto"/>
        </w:rPr>
        <w:t>billion in funding</w:t>
      </w:r>
      <w:r w:rsidR="003779FE" w:rsidRPr="009273C7">
        <w:rPr>
          <w:color w:val="auto"/>
        </w:rPr>
        <w:t xml:space="preserve">. In all, COPS has awarded more than 38,000 grants to over 13,000 state, local, and tribal law enforcement agencies to advance community policing through COPS </w:t>
      </w:r>
      <w:r w:rsidR="003779FE">
        <w:rPr>
          <w:color w:val="auto"/>
        </w:rPr>
        <w:t>h</w:t>
      </w:r>
      <w:r w:rsidR="003779FE" w:rsidRPr="009273C7">
        <w:rPr>
          <w:color w:val="auto"/>
        </w:rPr>
        <w:t xml:space="preserve">iring resources. </w:t>
      </w:r>
      <w:r>
        <w:rPr>
          <w:color w:val="auto"/>
        </w:rPr>
        <w:t xml:space="preserve"> </w:t>
      </w:r>
      <w:r w:rsidR="003779FE" w:rsidRPr="009273C7">
        <w:rPr>
          <w:color w:val="auto"/>
        </w:rPr>
        <w:t>In addition to funding additional officers, these grants have been used to advance crime-fighting technology, support crime-prevention initiatives, and provide training and technical assistance.</w:t>
      </w:r>
    </w:p>
    <w:p w14:paraId="62160191" w14:textId="77777777" w:rsidR="002B3F2A" w:rsidRDefault="002B3F2A" w:rsidP="0001256C">
      <w:pPr>
        <w:pStyle w:val="Default"/>
        <w:jc w:val="both"/>
        <w:rPr>
          <w:color w:val="auto"/>
        </w:rPr>
      </w:pPr>
    </w:p>
    <w:p w14:paraId="0146FFAE" w14:textId="77777777" w:rsidR="003779FE" w:rsidRPr="009273C7" w:rsidRDefault="003779FE" w:rsidP="0001256C">
      <w:pPr>
        <w:pStyle w:val="Default"/>
        <w:jc w:val="both"/>
        <w:rPr>
          <w:color w:val="auto"/>
        </w:rPr>
      </w:pPr>
      <w:r w:rsidRPr="009273C7">
        <w:rPr>
          <w:color w:val="auto"/>
        </w:rPr>
        <w:t>In FY 2009, the COPS Office assisted the Administration in stimulating an economic recovery through the COPS Hiring Recovery Program (CHRP) appropriated under the American Recovery and Reinvestment Act. With $1 billion in grant funding, along with provisions to waive the officer salary cap and the local match requirement,</w:t>
      </w:r>
      <w:r w:rsidR="007B36C1">
        <w:rPr>
          <w:color w:val="auto"/>
        </w:rPr>
        <w:t xml:space="preserve"> the </w:t>
      </w:r>
      <w:r w:rsidRPr="009273C7">
        <w:rPr>
          <w:color w:val="auto"/>
        </w:rPr>
        <w:t>COPS</w:t>
      </w:r>
      <w:r w:rsidR="007B36C1">
        <w:rPr>
          <w:color w:val="auto"/>
        </w:rPr>
        <w:t xml:space="preserve"> Office</w:t>
      </w:r>
      <w:r w:rsidRPr="009273C7">
        <w:rPr>
          <w:color w:val="auto"/>
        </w:rPr>
        <w:t xml:space="preserve"> received an unprecedented demand for hiring funds totaling over $8 billion dollars.  CHRP funded an additional 4,699 community policing officers</w:t>
      </w:r>
      <w:r>
        <w:rPr>
          <w:color w:val="auto"/>
        </w:rPr>
        <w:t xml:space="preserve"> in 1,046 agencies</w:t>
      </w:r>
      <w:r w:rsidRPr="009273C7">
        <w:rPr>
          <w:color w:val="auto"/>
        </w:rPr>
        <w:t xml:space="preserve">.  </w:t>
      </w:r>
    </w:p>
    <w:p w14:paraId="1BCB6E2F" w14:textId="77777777" w:rsidR="003779FE" w:rsidRPr="009273C7" w:rsidRDefault="003779FE" w:rsidP="0001256C">
      <w:pPr>
        <w:pStyle w:val="Default"/>
        <w:jc w:val="both"/>
        <w:rPr>
          <w:color w:val="auto"/>
        </w:rPr>
      </w:pPr>
    </w:p>
    <w:p w14:paraId="664ECED9" w14:textId="77777777" w:rsidR="003779FE" w:rsidRDefault="00DB52D3" w:rsidP="0001256C">
      <w:pPr>
        <w:pStyle w:val="Default"/>
        <w:jc w:val="both"/>
        <w:rPr>
          <w:color w:val="auto"/>
        </w:rPr>
      </w:pPr>
      <w:r w:rsidRPr="00423FA6">
        <w:t>In FY 2010, the COPS Office funded 1,388 additional officer positions.</w:t>
      </w:r>
      <w:r w:rsidR="007B36C1">
        <w:t xml:space="preserve"> </w:t>
      </w:r>
      <w:r w:rsidRPr="00423FA6">
        <w:t xml:space="preserve"> </w:t>
      </w:r>
      <w:r w:rsidR="003779FE" w:rsidRPr="00423FA6">
        <w:t>In FY 2011, the COPS Office invested $24</w:t>
      </w:r>
      <w:r w:rsidR="003B6667">
        <w:t>3</w:t>
      </w:r>
      <w:r w:rsidR="003779FE" w:rsidRPr="00423FA6">
        <w:t xml:space="preserve"> million to continue the COPS Hiring Program (CHP) activities that began with the American Recovery and Reinvestment Act of 2009</w:t>
      </w:r>
      <w:r w:rsidR="007B36C1">
        <w:rPr>
          <w:color w:val="auto"/>
        </w:rPr>
        <w:t xml:space="preserve"> by funding </w:t>
      </w:r>
      <w:r w:rsidR="00B23368" w:rsidRPr="00423FA6">
        <w:rPr>
          <w:color w:val="auto"/>
        </w:rPr>
        <w:t xml:space="preserve">1,021 </w:t>
      </w:r>
      <w:r w:rsidR="003779FE" w:rsidRPr="00423FA6">
        <w:rPr>
          <w:color w:val="auto"/>
        </w:rPr>
        <w:t xml:space="preserve">community policing officers in </w:t>
      </w:r>
      <w:r w:rsidR="00B23368" w:rsidRPr="00423FA6">
        <w:rPr>
          <w:color w:val="auto"/>
        </w:rPr>
        <w:t xml:space="preserve">238 </w:t>
      </w:r>
      <w:r w:rsidR="003779FE" w:rsidRPr="00423FA6">
        <w:rPr>
          <w:color w:val="auto"/>
        </w:rPr>
        <w:t>agencies.</w:t>
      </w:r>
      <w:r w:rsidR="003779FE">
        <w:rPr>
          <w:color w:val="auto"/>
        </w:rPr>
        <w:t xml:space="preserve">  </w:t>
      </w:r>
    </w:p>
    <w:p w14:paraId="78625500" w14:textId="77777777" w:rsidR="00401071" w:rsidRDefault="00401071" w:rsidP="0001256C">
      <w:pPr>
        <w:pStyle w:val="Default"/>
        <w:jc w:val="both"/>
        <w:rPr>
          <w:color w:val="auto"/>
        </w:rPr>
      </w:pPr>
    </w:p>
    <w:p w14:paraId="6F63D463" w14:textId="77777777" w:rsidR="00255D7A" w:rsidRDefault="00401071" w:rsidP="0001256C">
      <w:pPr>
        <w:jc w:val="both"/>
        <w:rPr>
          <w:rFonts w:cs="Arial"/>
        </w:rPr>
      </w:pPr>
      <w:r w:rsidRPr="00725334">
        <w:t>The demand from state, local and tribal governments for COPS hiring funds remains extremely high</w:t>
      </w:r>
      <w:r>
        <w:t>, especially with state and local budgets being tightened</w:t>
      </w:r>
      <w:r w:rsidRPr="00725334">
        <w:t>.</w:t>
      </w:r>
      <w:r w:rsidRPr="00725334">
        <w:rPr>
          <w:rFonts w:cs="Arial"/>
        </w:rPr>
        <w:t xml:space="preserve"> </w:t>
      </w:r>
      <w:r w:rsidRPr="00C4455C">
        <w:t xml:space="preserve">A January 2009 press release by the Police Executive Research Forum stated that nearly two out of three police agencies responding </w:t>
      </w:r>
      <w:r>
        <w:t xml:space="preserve">to </w:t>
      </w:r>
      <w:r w:rsidRPr="00C4455C">
        <w:t xml:space="preserve">its survey said they </w:t>
      </w:r>
      <w:r>
        <w:t>we</w:t>
      </w:r>
      <w:r w:rsidRPr="00C4455C">
        <w:t>re making plans to cut their budgets.  Additionally, 44 percent of the police departments reported increases in certain types of crime (robberies, burglaries, and thefts) which they believe c</w:t>
      </w:r>
      <w:r>
        <w:t>ould</w:t>
      </w:r>
      <w:r w:rsidRPr="00C4455C">
        <w:t xml:space="preserve"> be attributed to the economic crisis.</w:t>
      </w:r>
      <w:r>
        <w:t xml:space="preserve">  A total of 27 percent stated that they had already implemented a hiring freeze for sworn law enforcement positions. As previously mentioned, the demand for funding </w:t>
      </w:r>
      <w:r>
        <w:rPr>
          <w:rFonts w:cs="Arial"/>
        </w:rPr>
        <w:t xml:space="preserve">under the COPS Hiring Recovery Program (CHRP) in FY 2009, was unprecedented, as the COPS Office received over 7,200 applications requesting over $8 billion in federal funding.  </w:t>
      </w:r>
      <w:r w:rsidRPr="00434CBB">
        <w:rPr>
          <w:rFonts w:cs="Arial"/>
        </w:rPr>
        <w:t>In FY 2010, COPS received 4,423 applications requesting over $2 billion in federal funding.  The FY 2011 demand for CHP was similar to the prior year demand in terms of total funding requested; over $2 billion was requested in 2,712 applications.</w:t>
      </w:r>
      <w:r>
        <w:rPr>
          <w:rFonts w:cs="Arial"/>
        </w:rPr>
        <w:t xml:space="preserve"> </w:t>
      </w:r>
    </w:p>
    <w:p w14:paraId="63D7CFAD" w14:textId="77777777" w:rsidR="00255D7A" w:rsidRDefault="00255D7A" w:rsidP="0001256C">
      <w:pPr>
        <w:jc w:val="both"/>
        <w:rPr>
          <w:rFonts w:cs="Arial"/>
        </w:rPr>
      </w:pPr>
    </w:p>
    <w:p w14:paraId="69470779" w14:textId="77777777" w:rsidR="00426BBE" w:rsidRDefault="00401071" w:rsidP="0001256C">
      <w:pPr>
        <w:jc w:val="both"/>
        <w:rPr>
          <w:rFonts w:cs="Arial"/>
        </w:rPr>
      </w:pPr>
      <w:r>
        <w:rPr>
          <w:rFonts w:cs="Arial"/>
        </w:rPr>
        <w:t xml:space="preserve">In FY 2012, to manage demand in light </w:t>
      </w:r>
      <w:r w:rsidR="00C10404">
        <w:rPr>
          <w:rFonts w:cs="Arial"/>
        </w:rPr>
        <w:t>of a decrease in</w:t>
      </w:r>
      <w:r>
        <w:rPr>
          <w:rFonts w:cs="Arial"/>
        </w:rPr>
        <w:t xml:space="preserve"> CHP funding </w:t>
      </w:r>
      <w:r w:rsidR="00255D7A">
        <w:rPr>
          <w:rFonts w:cs="Arial"/>
        </w:rPr>
        <w:t>($111 million</w:t>
      </w:r>
      <w:r w:rsidR="002A765E">
        <w:rPr>
          <w:rFonts w:cs="Arial"/>
        </w:rPr>
        <w:t xml:space="preserve"> available</w:t>
      </w:r>
      <w:r w:rsidR="00255D7A">
        <w:rPr>
          <w:rFonts w:cs="Arial"/>
        </w:rPr>
        <w:t xml:space="preserve">) </w:t>
      </w:r>
      <w:r>
        <w:rPr>
          <w:rFonts w:cs="Arial"/>
        </w:rPr>
        <w:t xml:space="preserve">and the impact of that demand on COPS workload, the FY 2012 solicitation was made available only to agencies that applied in FY 2011 </w:t>
      </w:r>
      <w:r w:rsidR="00A828E4">
        <w:rPr>
          <w:rFonts w:cs="Arial"/>
        </w:rPr>
        <w:t>that did</w:t>
      </w:r>
      <w:r>
        <w:rPr>
          <w:rFonts w:cs="Arial"/>
        </w:rPr>
        <w:t xml:space="preserve"> not receive funding or were partially funded.  </w:t>
      </w:r>
    </w:p>
    <w:p w14:paraId="64F68ED0" w14:textId="77777777" w:rsidR="002A765E" w:rsidRPr="002A765E" w:rsidRDefault="00426BBE" w:rsidP="002A765E">
      <w:pPr>
        <w:rPr>
          <w:rFonts w:cs="Arial"/>
        </w:rPr>
      </w:pPr>
      <w:r>
        <w:rPr>
          <w:rFonts w:cs="Arial"/>
        </w:rPr>
        <w:t>Addi</w:t>
      </w:r>
      <w:r w:rsidR="00C10404">
        <w:rPr>
          <w:rFonts w:cs="Arial"/>
        </w:rPr>
        <w:t xml:space="preserve">tionally, the inclusion of military </w:t>
      </w:r>
      <w:r>
        <w:rPr>
          <w:rFonts w:cs="Arial"/>
        </w:rPr>
        <w:t xml:space="preserve">veterans </w:t>
      </w:r>
      <w:r w:rsidR="00C10404">
        <w:rPr>
          <w:rFonts w:cs="Arial"/>
        </w:rPr>
        <w:t xml:space="preserve">who served on active duty on or after September 11, 2001 </w:t>
      </w:r>
      <w:r w:rsidR="00C70F09">
        <w:rPr>
          <w:rFonts w:cs="Arial"/>
        </w:rPr>
        <w:t>was</w:t>
      </w:r>
      <w:r>
        <w:rPr>
          <w:rFonts w:cs="Arial"/>
        </w:rPr>
        <w:t xml:space="preserve"> a requirement of the FY 2012 CHP solicitation. </w:t>
      </w:r>
      <w:r w:rsidR="00255D7A">
        <w:rPr>
          <w:rFonts w:cs="Arial"/>
        </w:rPr>
        <w:t xml:space="preserve">The COPS Office </w:t>
      </w:r>
      <w:r w:rsidR="00F7745F">
        <w:rPr>
          <w:rFonts w:cs="Arial"/>
        </w:rPr>
        <w:t>funded 828</w:t>
      </w:r>
      <w:r w:rsidR="009B2F17">
        <w:rPr>
          <w:rFonts w:cs="Arial"/>
        </w:rPr>
        <w:t xml:space="preserve"> </w:t>
      </w:r>
      <w:r w:rsidR="00255D7A">
        <w:rPr>
          <w:rFonts w:cs="Arial"/>
        </w:rPr>
        <w:t xml:space="preserve">officer positions in FY 2012.  </w:t>
      </w:r>
      <w:r w:rsidR="002A765E" w:rsidRPr="002A765E">
        <w:rPr>
          <w:rFonts w:cs="Arial"/>
        </w:rPr>
        <w:t>Funding will be proportionately taken from CHP for COPS management and administration activities; the allowance for up to five percent of total discretionary budget to be used for technical assistance to grantees; and the allowance for up to two percent of the total FY 2014 discretionary budget to be used for research, evaluation or statistical purposes.</w:t>
      </w:r>
    </w:p>
    <w:p w14:paraId="61D1A3F1" w14:textId="77777777" w:rsidR="00255D7A" w:rsidRDefault="00255D7A" w:rsidP="0001256C">
      <w:pPr>
        <w:jc w:val="both"/>
      </w:pPr>
    </w:p>
    <w:p w14:paraId="428B4159" w14:textId="77777777" w:rsidR="00BA0D49" w:rsidRDefault="003779FE" w:rsidP="00E72718">
      <w:r w:rsidRPr="009273C7">
        <w:t>In FY 201</w:t>
      </w:r>
      <w:r>
        <w:t>3</w:t>
      </w:r>
      <w:r w:rsidRPr="009273C7">
        <w:t xml:space="preserve">, the COPS Office </w:t>
      </w:r>
      <w:r w:rsidR="002A765E">
        <w:t>anticipates</w:t>
      </w:r>
      <w:r w:rsidRPr="009273C7">
        <w:t xml:space="preserve"> $</w:t>
      </w:r>
      <w:r w:rsidR="002A765E">
        <w:t>166</w:t>
      </w:r>
      <w:r>
        <w:t xml:space="preserve"> million</w:t>
      </w:r>
      <w:r w:rsidRPr="009273C7">
        <w:t xml:space="preserve"> for the COPS Hiring Program</w:t>
      </w:r>
      <w:r>
        <w:t xml:space="preserve">.  </w:t>
      </w:r>
      <w:r w:rsidR="00164530">
        <w:t>Of this amount,</w:t>
      </w:r>
      <w:r>
        <w:t xml:space="preserve"> </w:t>
      </w:r>
      <w:r w:rsidR="003E71CA">
        <w:t>$1</w:t>
      </w:r>
      <w:r w:rsidR="00624DD7">
        <w:t>5</w:t>
      </w:r>
      <w:r w:rsidR="00DE7A6F">
        <w:t xml:space="preserve"> million</w:t>
      </w:r>
      <w:r>
        <w:t xml:space="preserve"> </w:t>
      </w:r>
      <w:r w:rsidR="00164530">
        <w:t xml:space="preserve">is requested as a transfer to the </w:t>
      </w:r>
      <w:r w:rsidR="004A323B">
        <w:t>Indian Country Program</w:t>
      </w:r>
      <w:r w:rsidR="00164530">
        <w:t xml:space="preserve"> to be used for </w:t>
      </w:r>
      <w:r w:rsidR="00F7745F">
        <w:t>the hiring of tribal law enforcement officers</w:t>
      </w:r>
      <w:r>
        <w:t xml:space="preserve">.  </w:t>
      </w:r>
      <w:r w:rsidR="00F7745F">
        <w:t>The Department recognize</w:t>
      </w:r>
      <w:r w:rsidR="002A765E">
        <w:t>s</w:t>
      </w:r>
      <w:r w:rsidR="00F7745F">
        <w:t xml:space="preserve"> the serious needs facing </w:t>
      </w:r>
      <w:r w:rsidR="00F7745F">
        <w:lastRenderedPageBreak/>
        <w:t xml:space="preserve">Tribal governments and believes that a dedicated funding stream for the hiring of Tribal officers will help bridge the serious gap between those needs and the resources available. </w:t>
      </w:r>
      <w:r w:rsidR="00DE7A6F">
        <w:t>Also, $1</w:t>
      </w:r>
      <w:r w:rsidR="002A765E">
        <w:t>0</w:t>
      </w:r>
      <w:r w:rsidR="00DE7A6F">
        <w:t xml:space="preserve"> million will be dedicated to training and technical assistance to the law enforcement community</w:t>
      </w:r>
      <w:r w:rsidR="00BA0D49">
        <w:t xml:space="preserve">, and will be administered through the COPS </w:t>
      </w:r>
      <w:r w:rsidR="003D58BE">
        <w:t>Community Policing Development (</w:t>
      </w:r>
      <w:r w:rsidR="00BA0D49">
        <w:t>CPD</w:t>
      </w:r>
      <w:r w:rsidR="003D58BE">
        <w:t>)</w:t>
      </w:r>
      <w:r w:rsidR="00BA0D49">
        <w:t xml:space="preserve"> Initiative</w:t>
      </w:r>
      <w:r w:rsidR="00DE7A6F">
        <w:t xml:space="preserve">.  </w:t>
      </w:r>
      <w:r w:rsidR="0033674B">
        <w:t>In</w:t>
      </w:r>
      <w:r w:rsidR="0033674B" w:rsidRPr="00A54801">
        <w:t xml:space="preserve"> FY 2013, the COPS Office is giving a preference in any grant awards</w:t>
      </w:r>
      <w:r w:rsidR="0033674B">
        <w:t xml:space="preserve"> used for hiring school resource officers, as well as for hiring post-9/11 veterans as officers.</w:t>
      </w:r>
      <w:r w:rsidR="000E34DA">
        <w:t xml:space="preserve"> </w:t>
      </w:r>
      <w:r w:rsidR="00E72718" w:rsidRPr="00E72718">
        <w:t>Funding</w:t>
      </w:r>
      <w:r w:rsidR="00E72718">
        <w:rPr>
          <w:rFonts w:ascii="Calibri" w:hAnsi="Calibri" w:cs="Calibri"/>
          <w:i/>
          <w:iCs/>
          <w:color w:val="1F497D"/>
          <w:sz w:val="22"/>
          <w:szCs w:val="22"/>
        </w:rPr>
        <w:t xml:space="preserve"> </w:t>
      </w:r>
      <w:r w:rsidR="00E72718" w:rsidRPr="00E72718">
        <w:t>will be proportionately taken from the FY 2013 C</w:t>
      </w:r>
      <w:r w:rsidR="00E72718">
        <w:t>OPS Hiring P</w:t>
      </w:r>
      <w:r w:rsidR="00E72718" w:rsidRPr="00E72718">
        <w:t>rogram for COPS management and administration activities.</w:t>
      </w:r>
      <w:r w:rsidR="000E34DA">
        <w:t xml:space="preserve"> </w:t>
      </w:r>
    </w:p>
    <w:p w14:paraId="7356C347" w14:textId="77777777" w:rsidR="00510309" w:rsidRDefault="00510309" w:rsidP="0001256C">
      <w:pPr>
        <w:jc w:val="both"/>
      </w:pPr>
    </w:p>
    <w:p w14:paraId="628E73BA" w14:textId="77777777" w:rsidR="00E72718" w:rsidRDefault="00BA0D49" w:rsidP="0001256C">
      <w:pPr>
        <w:jc w:val="both"/>
      </w:pPr>
      <w:r>
        <w:t xml:space="preserve">In FY 2014, the COPS Office proposes </w:t>
      </w:r>
      <w:r w:rsidR="002326DA">
        <w:t xml:space="preserve">a </w:t>
      </w:r>
      <w:r w:rsidR="000C5C58">
        <w:t xml:space="preserve">funding level of $257 million for CHP.  </w:t>
      </w:r>
      <w:r>
        <w:t xml:space="preserve"> </w:t>
      </w:r>
      <w:r w:rsidR="00510309">
        <w:t>Of the $</w:t>
      </w:r>
      <w:r w:rsidR="000C5C58">
        <w:t xml:space="preserve">217 </w:t>
      </w:r>
      <w:r w:rsidR="00510309">
        <w:t xml:space="preserve">million available for CHP after </w:t>
      </w:r>
      <w:r w:rsidR="00426BBE">
        <w:t xml:space="preserve">the </w:t>
      </w:r>
      <w:r w:rsidR="00510309">
        <w:t xml:space="preserve">transfers to </w:t>
      </w:r>
      <w:r w:rsidR="00426BBE">
        <w:t>the Indian Country</w:t>
      </w:r>
      <w:r w:rsidR="00AD24E1">
        <w:t>,</w:t>
      </w:r>
      <w:r w:rsidR="00426BBE">
        <w:t xml:space="preserve"> </w:t>
      </w:r>
      <w:r w:rsidR="00E250F2">
        <w:t xml:space="preserve">CPD initiative activities and </w:t>
      </w:r>
      <w:r w:rsidR="000C5C58">
        <w:t xml:space="preserve">the </w:t>
      </w:r>
      <w:r w:rsidR="00AD24E1">
        <w:t xml:space="preserve">Collaborative Reform Model </w:t>
      </w:r>
      <w:r w:rsidR="000C5C58">
        <w:t>of T</w:t>
      </w:r>
      <w:r w:rsidR="00E250F2">
        <w:t xml:space="preserve">echnical </w:t>
      </w:r>
      <w:r w:rsidR="000C5C58">
        <w:t>A</w:t>
      </w:r>
      <w:r w:rsidR="00E250F2">
        <w:t>ssistance</w:t>
      </w:r>
      <w:r w:rsidR="00510309">
        <w:t xml:space="preserve">, the COPS Office anticipates that </w:t>
      </w:r>
      <w:r w:rsidR="00884874">
        <w:t xml:space="preserve">$183 million will be </w:t>
      </w:r>
      <w:r w:rsidR="002326DA">
        <w:t>available</w:t>
      </w:r>
      <w:r w:rsidR="00884874">
        <w:t xml:space="preserve"> for hiring grants to state, local and tribal law enforcement agencies.  </w:t>
      </w:r>
    </w:p>
    <w:p w14:paraId="0DFA8702" w14:textId="77777777" w:rsidR="00F04E0F" w:rsidRPr="00F04E0F" w:rsidRDefault="00E72718" w:rsidP="0001256C">
      <w:pPr>
        <w:jc w:val="both"/>
      </w:pPr>
      <w:r>
        <w:t>Additional f</w:t>
      </w:r>
      <w:r w:rsidR="00F04E0F" w:rsidRPr="00F04E0F">
        <w:t>unding will be proportionately taken from CHP for COPS management and administration activities; the allowance for up to five percent of total discretionary budget to be used for technical assistance to grantees; and the allowance for up to two percent of the total FY 2014 discretionary budget to be used for research, evaluation or statistical purposes.</w:t>
      </w:r>
    </w:p>
    <w:p w14:paraId="5F1A026F" w14:textId="77777777" w:rsidR="0031321B" w:rsidRDefault="0031321B" w:rsidP="0001256C">
      <w:pPr>
        <w:jc w:val="both"/>
      </w:pPr>
    </w:p>
    <w:p w14:paraId="03DC4AB3" w14:textId="77777777" w:rsidR="00BA0D49" w:rsidRDefault="000E34DA" w:rsidP="0001256C">
      <w:pPr>
        <w:jc w:val="both"/>
      </w:pPr>
      <w:r>
        <w:t>New in</w:t>
      </w:r>
      <w:r w:rsidR="0035677F">
        <w:t xml:space="preserve"> FY 2014 is a request for CHP funding to be used for the hiring of both sworn and non-sworn personnel.  Of the amount available for CHP, $50,000,000 will be dedicated to advancing community policing through the hiring of</w:t>
      </w:r>
      <w:r w:rsidR="0035677F" w:rsidRPr="009273C7">
        <w:t xml:space="preserve"> non-sworn personnel</w:t>
      </w:r>
      <w:r w:rsidR="0035677F">
        <w:t>,</w:t>
      </w:r>
      <w:r w:rsidR="0035677F" w:rsidRPr="009273C7">
        <w:t xml:space="preserve"> such as crime and intelligence analysts</w:t>
      </w:r>
      <w:r w:rsidR="0035677F">
        <w:t>, to permit the redeployment of sworn law enforcement personnel to the streets</w:t>
      </w:r>
      <w:r w:rsidR="0035677F" w:rsidRPr="009273C7">
        <w:t xml:space="preserve">.  </w:t>
      </w:r>
      <w:r w:rsidR="00E61144" w:rsidRPr="00E61144">
        <w:rPr>
          <w:rFonts w:ascii="Georgia" w:hAnsi="Georgia"/>
        </w:rPr>
        <w:t xml:space="preserve"> </w:t>
      </w:r>
      <w:r w:rsidR="00E61144" w:rsidRPr="00E61144">
        <w:t xml:space="preserve">The number of </w:t>
      </w:r>
      <w:r w:rsidR="00E61144" w:rsidRPr="00E61144">
        <w:rPr>
          <w:color w:val="221E1F"/>
        </w:rPr>
        <w:t>non-sworn law enforcement personnel funded under this grant should result in an equivalent increase in the number of sworn career law enforcement officers redeployed into community policing.</w:t>
      </w:r>
      <w:r w:rsidR="00E61144">
        <w:rPr>
          <w:rFonts w:ascii="Georgia" w:hAnsi="Georgia"/>
          <w:color w:val="221E1F"/>
        </w:rPr>
        <w:t xml:space="preserve">  </w:t>
      </w:r>
      <w:r w:rsidR="0035677F" w:rsidRPr="009273C7">
        <w:t>The infusion of hiring dollars for both sworn and non-sworn personnel will provide grantees with the capacity to develop and implement a comprehensive problem-solving approach towards crime prevention and creat</w:t>
      </w:r>
      <w:r w:rsidR="0035677F">
        <w:t>e</w:t>
      </w:r>
      <w:r w:rsidR="0035677F" w:rsidRPr="009273C7">
        <w:t xml:space="preserve"> safer neighborhoods.  </w:t>
      </w:r>
      <w:r>
        <w:t>We propose maintaining the 25 percent local match requirement and the $125,000 salary cap</w:t>
      </w:r>
      <w:r w:rsidR="00E250F2">
        <w:t xml:space="preserve"> per officer </w:t>
      </w:r>
      <w:r w:rsidR="00DE6B09">
        <w:t xml:space="preserve">are applicable to </w:t>
      </w:r>
      <w:r>
        <w:t>FY 2012</w:t>
      </w:r>
      <w:r w:rsidR="00DE6B09">
        <w:t xml:space="preserve"> and FY 2013 grant awards</w:t>
      </w:r>
      <w:r>
        <w:t>.</w:t>
      </w:r>
    </w:p>
    <w:p w14:paraId="352A577F" w14:textId="77777777" w:rsidR="00FA3A31" w:rsidRDefault="00FA3A31" w:rsidP="0001256C">
      <w:pPr>
        <w:jc w:val="both"/>
      </w:pPr>
    </w:p>
    <w:p w14:paraId="346B6BE5" w14:textId="77777777" w:rsidR="003477FA" w:rsidRPr="004A323B" w:rsidRDefault="00BA0D49" w:rsidP="0001256C">
      <w:pPr>
        <w:jc w:val="both"/>
      </w:pPr>
      <w:r w:rsidRPr="004A323B">
        <w:t>The COPS Office also prop</w:t>
      </w:r>
      <w:r w:rsidR="003A0345" w:rsidRPr="004A323B">
        <w:t>oses significant changes to CHP in FY 201</w:t>
      </w:r>
      <w:r w:rsidR="003477FA" w:rsidRPr="004A323B">
        <w:t xml:space="preserve">4 designed to increase program flexibility and maximize the impact of funding.  Consistent with the FY 2013 President’s Budget request, we request the removal of the statutory requirement that 50 percent of hiring funding </w:t>
      </w:r>
      <w:r w:rsidR="00160FC4" w:rsidRPr="004A323B">
        <w:t>is</w:t>
      </w:r>
      <w:r w:rsidR="003477FA" w:rsidRPr="004A323B">
        <w:t xml:space="preserve"> awarded to law enforcement agencies that serve populations </w:t>
      </w:r>
      <w:r w:rsidR="00FA2452">
        <w:t>of</w:t>
      </w:r>
      <w:r w:rsidR="003477FA" w:rsidRPr="004A323B">
        <w:t xml:space="preserve"> 150,000 individuals </w:t>
      </w:r>
      <w:r w:rsidR="00FA2452">
        <w:t xml:space="preserve">or </w:t>
      </w:r>
      <w:r w:rsidR="002326DA">
        <w:t xml:space="preserve">fewer </w:t>
      </w:r>
      <w:r w:rsidR="003477FA" w:rsidRPr="004A323B">
        <w:t>and the other 50 percent be awarded to agencies severing populations greater than 150,000</w:t>
      </w:r>
      <w:r w:rsidR="00FA2452">
        <w:t xml:space="preserve"> individuals</w:t>
      </w:r>
      <w:r w:rsidR="003477FA" w:rsidRPr="004A323B">
        <w:t xml:space="preserve">.  The removal of the population split requirement will allow the program development for CHP to </w:t>
      </w:r>
      <w:r w:rsidR="004E13BB">
        <w:t>be more flexib</w:t>
      </w:r>
      <w:r w:rsidR="00FA2452">
        <w:t>le</w:t>
      </w:r>
      <w:r w:rsidR="004E13BB">
        <w:t xml:space="preserve"> </w:t>
      </w:r>
      <w:r w:rsidR="00FA2452">
        <w:t>in</w:t>
      </w:r>
      <w:r w:rsidR="004E13BB">
        <w:t xml:space="preserve"> fund</w:t>
      </w:r>
      <w:r w:rsidR="00FA2452">
        <w:t>ing</w:t>
      </w:r>
      <w:r w:rsidR="004E13BB">
        <w:t xml:space="preserve"> innovative neighborhood level strategies.  </w:t>
      </w:r>
    </w:p>
    <w:p w14:paraId="1816F1FB" w14:textId="77777777" w:rsidR="003477FA" w:rsidRDefault="003477FA" w:rsidP="0001256C">
      <w:pPr>
        <w:jc w:val="both"/>
        <w:rPr>
          <w:rFonts w:asciiTheme="minorHAnsi" w:hAnsiTheme="minorHAnsi" w:cstheme="minorHAnsi"/>
        </w:rPr>
      </w:pPr>
    </w:p>
    <w:p w14:paraId="434DF018" w14:textId="77777777" w:rsidR="005A25FA" w:rsidRPr="005A25FA" w:rsidRDefault="0074425B" w:rsidP="0001256C">
      <w:pPr>
        <w:jc w:val="both"/>
      </w:pPr>
      <w:r>
        <w:t>The</w:t>
      </w:r>
      <w:r w:rsidR="003477FA" w:rsidRPr="0074425B">
        <w:t xml:space="preserve"> COPS Office is consider</w:t>
      </w:r>
      <w:r w:rsidR="00942E05" w:rsidRPr="0074425B">
        <w:t xml:space="preserve">ing </w:t>
      </w:r>
      <w:r w:rsidR="00263C81">
        <w:t>two</w:t>
      </w:r>
      <w:r w:rsidR="00942E05" w:rsidRPr="0074425B">
        <w:t xml:space="preserve"> strategies that would provide a more focused approach to the administration of CHP, each of which </w:t>
      </w:r>
      <w:r w:rsidR="007179A2" w:rsidRPr="0074425B">
        <w:t>would include</w:t>
      </w:r>
      <w:r w:rsidR="00942E05" w:rsidRPr="0074425B">
        <w:t xml:space="preserve"> a targeted technical assistance effort since the number of awards would be small enough to develop cohort based approaches. </w:t>
      </w:r>
      <w:r w:rsidR="00124070">
        <w:t xml:space="preserve"> </w:t>
      </w:r>
      <w:r w:rsidR="005A25FA" w:rsidRPr="005A25FA">
        <w:t>The program evaluation of this new approach could be done several different ways.  The models selected to address the</w:t>
      </w:r>
      <w:r w:rsidR="005A25FA">
        <w:t xml:space="preserve"> agency-identified</w:t>
      </w:r>
      <w:r w:rsidR="005A25FA" w:rsidRPr="005A25FA">
        <w:t xml:space="preserve"> problems have an evaluation component built in—our process will link</w:t>
      </w:r>
      <w:r w:rsidR="00DB1964">
        <w:t xml:space="preserve"> this component</w:t>
      </w:r>
      <w:r w:rsidR="005A25FA" w:rsidRPr="005A25FA">
        <w:t xml:space="preserve"> to the impact of the CHP officers. Also, by treating the grantees as a cohort, </w:t>
      </w:r>
      <w:r w:rsidR="00DB1964">
        <w:t xml:space="preserve">we can evaluate </w:t>
      </w:r>
      <w:r w:rsidR="005A25FA" w:rsidRPr="005A25FA">
        <w:t>the overall approach and technical assistance to see if the problem really was impacted</w:t>
      </w:r>
      <w:r w:rsidR="00C41623">
        <w:t xml:space="preserve">.  </w:t>
      </w:r>
    </w:p>
    <w:p w14:paraId="20008E41" w14:textId="77777777" w:rsidR="00942E05" w:rsidRDefault="00942E05" w:rsidP="0001256C">
      <w:pPr>
        <w:jc w:val="both"/>
        <w:rPr>
          <w:rFonts w:asciiTheme="minorHAnsi" w:hAnsiTheme="minorHAnsi" w:cstheme="minorHAnsi"/>
        </w:rPr>
      </w:pPr>
    </w:p>
    <w:p w14:paraId="505E1CAB" w14:textId="77777777" w:rsidR="00942E05" w:rsidRPr="00942E05" w:rsidRDefault="00942E05" w:rsidP="0001256C">
      <w:pPr>
        <w:pStyle w:val="ListParagraph"/>
        <w:numPr>
          <w:ilvl w:val="0"/>
          <w:numId w:val="34"/>
        </w:numPr>
        <w:jc w:val="both"/>
        <w:rPr>
          <w:b/>
          <w:color w:val="000000" w:themeColor="text1"/>
        </w:rPr>
      </w:pPr>
      <w:r w:rsidRPr="00942E05">
        <w:rPr>
          <w:b/>
          <w:color w:val="000000" w:themeColor="text1"/>
        </w:rPr>
        <w:lastRenderedPageBreak/>
        <w:t>Focus on “neighborhood level” community policing partnerships and problem solving.</w:t>
      </w:r>
    </w:p>
    <w:p w14:paraId="457EA9C8" w14:textId="77777777" w:rsidR="00942E05" w:rsidRPr="00942E05" w:rsidRDefault="00942E05" w:rsidP="0001256C">
      <w:pPr>
        <w:pStyle w:val="ListParagraph"/>
        <w:jc w:val="both"/>
        <w:rPr>
          <w:color w:val="000000" w:themeColor="text1"/>
        </w:rPr>
      </w:pPr>
    </w:p>
    <w:p w14:paraId="27443972" w14:textId="77777777" w:rsidR="00942E05" w:rsidRPr="00942E05" w:rsidRDefault="00942E05" w:rsidP="0001256C">
      <w:pPr>
        <w:pStyle w:val="ListParagraph"/>
        <w:jc w:val="both"/>
        <w:rPr>
          <w:color w:val="000000" w:themeColor="text1"/>
        </w:rPr>
      </w:pPr>
      <w:r w:rsidRPr="00942E05">
        <w:rPr>
          <w:color w:val="000000" w:themeColor="text1"/>
        </w:rPr>
        <w:t xml:space="preserve">The criteria scoring on indicators of crime, poverty, gangs, economic crisis, etc. would produce a list of communities who would commit to having their officers work in </w:t>
      </w:r>
      <w:r w:rsidR="0074425B">
        <w:rPr>
          <w:color w:val="000000" w:themeColor="text1"/>
        </w:rPr>
        <w:t>a particular</w:t>
      </w:r>
      <w:r w:rsidRPr="00942E05">
        <w:rPr>
          <w:color w:val="000000" w:themeColor="text1"/>
        </w:rPr>
        <w:t xml:space="preserve"> neighborhood </w:t>
      </w:r>
      <w:r w:rsidR="0074425B">
        <w:rPr>
          <w:color w:val="000000" w:themeColor="text1"/>
        </w:rPr>
        <w:t xml:space="preserve">within their jurisdiction </w:t>
      </w:r>
      <w:r w:rsidRPr="00942E05">
        <w:rPr>
          <w:color w:val="000000" w:themeColor="text1"/>
        </w:rPr>
        <w:t xml:space="preserve">on its interrelated problems.  The </w:t>
      </w:r>
      <w:r w:rsidR="005110A2">
        <w:rPr>
          <w:color w:val="000000" w:themeColor="text1"/>
        </w:rPr>
        <w:t xml:space="preserve">grant </w:t>
      </w:r>
      <w:r w:rsidRPr="00942E05">
        <w:rPr>
          <w:color w:val="000000" w:themeColor="text1"/>
        </w:rPr>
        <w:t>application would center on the neighborhood the law enforcement agency would commit to servicing, tracking specific outcomes and providing services through partnership</w:t>
      </w:r>
      <w:r w:rsidR="005110A2">
        <w:rPr>
          <w:color w:val="000000" w:themeColor="text1"/>
        </w:rPr>
        <w:t>s</w:t>
      </w:r>
      <w:r w:rsidRPr="00942E05">
        <w:rPr>
          <w:color w:val="000000" w:themeColor="text1"/>
        </w:rPr>
        <w:t>.  The targeted area would be geographically defined, allowing large cities, mid-size cities, suburban and rural communities to participate.</w:t>
      </w:r>
    </w:p>
    <w:p w14:paraId="7F5C9171" w14:textId="77777777" w:rsidR="00942E05" w:rsidRPr="00942E05" w:rsidRDefault="00942E05" w:rsidP="0001256C">
      <w:pPr>
        <w:pStyle w:val="ListParagraph"/>
        <w:jc w:val="both"/>
        <w:rPr>
          <w:color w:val="000000" w:themeColor="text1"/>
        </w:rPr>
      </w:pPr>
    </w:p>
    <w:p w14:paraId="1D44A3C0" w14:textId="77777777" w:rsidR="00942E05" w:rsidRPr="00942E05" w:rsidRDefault="00942E05" w:rsidP="0001256C">
      <w:pPr>
        <w:pStyle w:val="ListParagraph"/>
        <w:numPr>
          <w:ilvl w:val="0"/>
          <w:numId w:val="34"/>
        </w:numPr>
        <w:jc w:val="both"/>
        <w:rPr>
          <w:b/>
          <w:color w:val="000000" w:themeColor="text1"/>
        </w:rPr>
      </w:pPr>
      <w:r w:rsidRPr="00942E05">
        <w:rPr>
          <w:b/>
          <w:color w:val="000000" w:themeColor="text1"/>
        </w:rPr>
        <w:t>Promote a specific model of crime reduction and intervention linked to community policing.</w:t>
      </w:r>
    </w:p>
    <w:p w14:paraId="6D4AAE6D" w14:textId="77777777" w:rsidR="00942E05" w:rsidRPr="00942E05" w:rsidRDefault="00942E05" w:rsidP="0001256C">
      <w:pPr>
        <w:ind w:left="720"/>
        <w:jc w:val="both"/>
        <w:rPr>
          <w:color w:val="000000" w:themeColor="text1"/>
        </w:rPr>
      </w:pPr>
    </w:p>
    <w:p w14:paraId="651275D8" w14:textId="77777777" w:rsidR="00942E05" w:rsidRDefault="00942E05" w:rsidP="0001256C">
      <w:pPr>
        <w:ind w:left="720"/>
        <w:jc w:val="both"/>
        <w:rPr>
          <w:color w:val="000000" w:themeColor="text1"/>
        </w:rPr>
      </w:pPr>
      <w:r w:rsidRPr="00942E05">
        <w:rPr>
          <w:color w:val="000000" w:themeColor="text1"/>
        </w:rPr>
        <w:t>This approach would commit the grantee agency to implementing a predetermined model of crime reduction in the specific neighborhood they chose.  The key feature would be an evidence-based tested model with the component of an outcome evaluation.  The implementation plan would include a pre-selection process through a white paper submission by the representatives of the various models, outlining how their model could be implemented within the context of the hiring program and enhancing community policing efforts.  These options could include:</w:t>
      </w:r>
    </w:p>
    <w:p w14:paraId="103FCF31" w14:textId="77777777" w:rsidR="007A00B5" w:rsidRPr="00942E05" w:rsidRDefault="007A00B5" w:rsidP="0001256C">
      <w:pPr>
        <w:ind w:left="720"/>
        <w:jc w:val="both"/>
        <w:rPr>
          <w:color w:val="000000" w:themeColor="text1"/>
        </w:rPr>
      </w:pPr>
    </w:p>
    <w:p w14:paraId="7AFC379B" w14:textId="77777777" w:rsidR="00942E05" w:rsidRPr="00942E05" w:rsidRDefault="00942E05" w:rsidP="0001256C">
      <w:pPr>
        <w:pStyle w:val="ListParagraph"/>
        <w:numPr>
          <w:ilvl w:val="0"/>
          <w:numId w:val="37"/>
        </w:numPr>
        <w:jc w:val="both"/>
        <w:rPr>
          <w:color w:val="000000" w:themeColor="text1"/>
        </w:rPr>
      </w:pPr>
      <w:r w:rsidRPr="00942E05">
        <w:rPr>
          <w:color w:val="000000" w:themeColor="text1"/>
        </w:rPr>
        <w:t>Drug Market Intervention</w:t>
      </w:r>
    </w:p>
    <w:p w14:paraId="38EE26FA" w14:textId="77777777" w:rsidR="00942E05" w:rsidRPr="00942E05" w:rsidRDefault="00942E05" w:rsidP="0001256C">
      <w:pPr>
        <w:pStyle w:val="ListParagraph"/>
        <w:numPr>
          <w:ilvl w:val="0"/>
          <w:numId w:val="37"/>
        </w:numPr>
        <w:jc w:val="both"/>
        <w:rPr>
          <w:color w:val="000000" w:themeColor="text1"/>
        </w:rPr>
      </w:pPr>
      <w:r w:rsidRPr="00942E05">
        <w:rPr>
          <w:color w:val="000000" w:themeColor="text1"/>
        </w:rPr>
        <w:t xml:space="preserve">Hot Spot Policing </w:t>
      </w:r>
    </w:p>
    <w:p w14:paraId="235A0D6E" w14:textId="77777777" w:rsidR="00942E05" w:rsidRPr="00942E05" w:rsidRDefault="00942E05" w:rsidP="0001256C">
      <w:pPr>
        <w:pStyle w:val="ListParagraph"/>
        <w:numPr>
          <w:ilvl w:val="0"/>
          <w:numId w:val="37"/>
        </w:numPr>
        <w:jc w:val="both"/>
        <w:rPr>
          <w:color w:val="000000" w:themeColor="text1"/>
        </w:rPr>
      </w:pPr>
      <w:r w:rsidRPr="00942E05">
        <w:rPr>
          <w:color w:val="000000" w:themeColor="text1"/>
        </w:rPr>
        <w:t>Social Network impact on potential homicide</w:t>
      </w:r>
    </w:p>
    <w:p w14:paraId="50C1E8D0" w14:textId="77777777" w:rsidR="00942E05" w:rsidRPr="00942E05" w:rsidRDefault="00942E05" w:rsidP="0001256C">
      <w:pPr>
        <w:pStyle w:val="ListParagraph"/>
        <w:numPr>
          <w:ilvl w:val="0"/>
          <w:numId w:val="37"/>
        </w:numPr>
        <w:jc w:val="both"/>
        <w:rPr>
          <w:color w:val="000000" w:themeColor="text1"/>
        </w:rPr>
      </w:pPr>
      <w:r w:rsidRPr="00942E05">
        <w:rPr>
          <w:color w:val="000000" w:themeColor="text1"/>
        </w:rPr>
        <w:t>National Network of Safe Communities – John Jay College</w:t>
      </w:r>
    </w:p>
    <w:p w14:paraId="3A0D41B7" w14:textId="77777777" w:rsidR="00942E05" w:rsidRPr="00942E05" w:rsidRDefault="00942E05" w:rsidP="0001256C">
      <w:pPr>
        <w:pStyle w:val="ListParagraph"/>
        <w:numPr>
          <w:ilvl w:val="0"/>
          <w:numId w:val="37"/>
        </w:numPr>
        <w:jc w:val="both"/>
        <w:rPr>
          <w:color w:val="000000" w:themeColor="text1"/>
        </w:rPr>
      </w:pPr>
      <w:r w:rsidRPr="00942E05">
        <w:rPr>
          <w:color w:val="000000" w:themeColor="text1"/>
        </w:rPr>
        <w:t>Diversion strategy – Vermont Probation and Parole</w:t>
      </w:r>
    </w:p>
    <w:p w14:paraId="299ECE44" w14:textId="77777777" w:rsidR="00942E05" w:rsidRDefault="00942E05" w:rsidP="0001256C">
      <w:pPr>
        <w:pStyle w:val="ListParagraph"/>
        <w:numPr>
          <w:ilvl w:val="0"/>
          <w:numId w:val="37"/>
        </w:numPr>
        <w:jc w:val="both"/>
        <w:rPr>
          <w:color w:val="000000" w:themeColor="text1"/>
        </w:rPr>
      </w:pPr>
      <w:r w:rsidRPr="005110A2">
        <w:rPr>
          <w:color w:val="000000" w:themeColor="text1"/>
        </w:rPr>
        <w:t xml:space="preserve">RECAP faith-based partnerships  </w:t>
      </w:r>
    </w:p>
    <w:p w14:paraId="4C5BD6CD" w14:textId="77777777" w:rsidR="0020427E" w:rsidRDefault="00C21EAA" w:rsidP="0001256C">
      <w:pPr>
        <w:pStyle w:val="NormalWeb"/>
        <w:tabs>
          <w:tab w:val="left" w:pos="0"/>
          <w:tab w:val="left" w:pos="2340"/>
        </w:tabs>
        <w:jc w:val="both"/>
      </w:pPr>
      <w:r>
        <w:t xml:space="preserve">Similar to the FY 2012 </w:t>
      </w:r>
      <w:r w:rsidR="007A00B5">
        <w:t xml:space="preserve">and FY 2013 </w:t>
      </w:r>
      <w:r>
        <w:t>enacted budget</w:t>
      </w:r>
      <w:r w:rsidR="007A00B5">
        <w:t>s</w:t>
      </w:r>
      <w:r>
        <w:t xml:space="preserve">, </w:t>
      </w:r>
      <w:r w:rsidR="007D2D8A">
        <w:t>i</w:t>
      </w:r>
      <w:r>
        <w:t>n FY 2014 the COPS Office proposed that</w:t>
      </w:r>
      <w:r w:rsidR="002D3E75">
        <w:t xml:space="preserve"> </w:t>
      </w:r>
      <w:r w:rsidR="00164530">
        <w:t xml:space="preserve">Management and </w:t>
      </w:r>
      <w:r w:rsidR="002D3E75">
        <w:t>A</w:t>
      </w:r>
      <w:r w:rsidR="00164530">
        <w:t xml:space="preserve">dministration </w:t>
      </w:r>
      <w:r w:rsidR="002D3E75">
        <w:t xml:space="preserve">(M&amp;A) </w:t>
      </w:r>
      <w:r w:rsidR="00164530">
        <w:t xml:space="preserve">funds </w:t>
      </w:r>
      <w:r w:rsidR="002D3E75">
        <w:t>be provide</w:t>
      </w:r>
      <w:r w:rsidR="00BE2EC2">
        <w:t>d</w:t>
      </w:r>
      <w:r w:rsidR="002D3E75">
        <w:t xml:space="preserve"> as a carve out of program funds.  M&amp;A funding provides</w:t>
      </w:r>
      <w:r w:rsidR="00164530">
        <w:t xml:space="preserve"> the resources to effectively and efficiently administer new grants and community policing activities; to maintain and monitor active grants awarded in prior fiscal years; and to remain compliant with legislative requirements and Administration directives.  Management and administration resources also support mission-critical, non-grant related activities, such as research and evaluation which produced the FY 2011 COPS Office report </w:t>
      </w:r>
      <w:r w:rsidR="00164530" w:rsidRPr="00020E07">
        <w:rPr>
          <w:i/>
        </w:rPr>
        <w:t>The Impact of the Economic Downturn on American Police Agencies</w:t>
      </w:r>
      <w:r w:rsidR="0020427E">
        <w:t xml:space="preserve">, the 2012 COPS Office book, </w:t>
      </w:r>
      <w:r w:rsidR="0020427E">
        <w:rPr>
          <w:i/>
        </w:rPr>
        <w:t>American Policing in 2022: Essays on the Future of a Profession</w:t>
      </w:r>
      <w:r w:rsidR="0020427E">
        <w:t>,</w:t>
      </w:r>
      <w:r w:rsidR="00164530">
        <w:rPr>
          <w:i/>
        </w:rPr>
        <w:t xml:space="preserve"> </w:t>
      </w:r>
      <w:r w:rsidR="00164530">
        <w:t>and training and technical assistance</w:t>
      </w:r>
      <w:r w:rsidR="002D3E75">
        <w:t xml:space="preserve"> activities</w:t>
      </w:r>
      <w:r w:rsidR="00164530">
        <w:t xml:space="preserve">.  </w:t>
      </w:r>
    </w:p>
    <w:p w14:paraId="7A4C56FA" w14:textId="77777777" w:rsidR="00AC3AA1" w:rsidRPr="00AC3AA1" w:rsidRDefault="00AC3AA1" w:rsidP="0001256C">
      <w:pPr>
        <w:pStyle w:val="Default"/>
        <w:jc w:val="both"/>
        <w:rPr>
          <w:color w:val="auto"/>
          <w:u w:val="single"/>
        </w:rPr>
      </w:pPr>
      <w:r w:rsidRPr="00AC3AA1">
        <w:rPr>
          <w:color w:val="auto"/>
          <w:u w:val="single"/>
        </w:rPr>
        <w:t>Impact of COPS Hiring Awards</w:t>
      </w:r>
    </w:p>
    <w:p w14:paraId="5DB1B339" w14:textId="77777777" w:rsidR="00AC3AA1" w:rsidRPr="00AC3AA1" w:rsidRDefault="00AC3AA1" w:rsidP="0001256C">
      <w:pPr>
        <w:pStyle w:val="NoSpacing"/>
        <w:jc w:val="both"/>
        <w:rPr>
          <w:rFonts w:ascii="Times New Roman" w:hAnsi="Times New Roman" w:cs="Times New Roman"/>
          <w:sz w:val="24"/>
          <w:szCs w:val="24"/>
        </w:rPr>
      </w:pPr>
      <w:r w:rsidRPr="00AC3AA1">
        <w:rPr>
          <w:rFonts w:ascii="Times New Roman" w:hAnsi="Times New Roman" w:cs="Times New Roman"/>
          <w:i/>
          <w:sz w:val="24"/>
          <w:szCs w:val="24"/>
        </w:rPr>
        <w:t>City of Sparks, Nevada:</w:t>
      </w:r>
      <w:r w:rsidRPr="00AC3AA1">
        <w:rPr>
          <w:rFonts w:ascii="Times New Roman" w:hAnsi="Times New Roman" w:cs="Times New Roman"/>
          <w:sz w:val="24"/>
          <w:szCs w:val="24"/>
        </w:rPr>
        <w:t xml:space="preserve">  Over the past two years the City of Sparks, Nevada, has benefitted greatly from federal support for maintaining and hiring officers. With almost $2 million in funding from the Department of Justice, Sparks has been able to increase its force from 108 to 114 police officers or approximately 6 </w:t>
      </w:r>
      <w:r w:rsidR="00D72146" w:rsidRPr="00AC3AA1">
        <w:rPr>
          <w:rFonts w:ascii="Times New Roman" w:hAnsi="Times New Roman" w:cs="Times New Roman"/>
          <w:sz w:val="24"/>
          <w:szCs w:val="24"/>
        </w:rPr>
        <w:t>percent</w:t>
      </w:r>
      <w:r w:rsidR="008604BD">
        <w:rPr>
          <w:rFonts w:ascii="Times New Roman" w:hAnsi="Times New Roman" w:cs="Times New Roman"/>
          <w:sz w:val="24"/>
          <w:szCs w:val="24"/>
        </w:rPr>
        <w:t>.</w:t>
      </w:r>
      <w:r w:rsidR="00D72146" w:rsidRPr="00AC3AA1">
        <w:rPr>
          <w:rFonts w:ascii="Times New Roman" w:hAnsi="Times New Roman" w:cs="Times New Roman"/>
          <w:sz w:val="24"/>
          <w:szCs w:val="24"/>
        </w:rPr>
        <w:t xml:space="preserve"> </w:t>
      </w:r>
    </w:p>
    <w:p w14:paraId="05357C09" w14:textId="77777777" w:rsidR="00AC3AA1" w:rsidRPr="00AC3AA1" w:rsidRDefault="00AC3AA1" w:rsidP="0001256C">
      <w:pPr>
        <w:pStyle w:val="NoSpacing"/>
        <w:jc w:val="both"/>
        <w:rPr>
          <w:rFonts w:ascii="Times New Roman" w:hAnsi="Times New Roman" w:cs="Times New Roman"/>
          <w:sz w:val="24"/>
          <w:szCs w:val="24"/>
        </w:rPr>
      </w:pPr>
    </w:p>
    <w:p w14:paraId="6FE40F14" w14:textId="77777777" w:rsidR="00AC3AA1" w:rsidRPr="00AC3AA1" w:rsidRDefault="00AC3AA1" w:rsidP="0001256C">
      <w:pPr>
        <w:pStyle w:val="NoSpacing"/>
        <w:jc w:val="both"/>
        <w:rPr>
          <w:rFonts w:ascii="Times New Roman" w:hAnsi="Times New Roman" w:cs="Times New Roman"/>
          <w:sz w:val="24"/>
          <w:szCs w:val="24"/>
        </w:rPr>
      </w:pPr>
      <w:r w:rsidRPr="00AC3AA1">
        <w:rPr>
          <w:rFonts w:ascii="Times New Roman" w:hAnsi="Times New Roman" w:cs="Times New Roman"/>
          <w:sz w:val="24"/>
          <w:szCs w:val="24"/>
        </w:rPr>
        <w:t xml:space="preserve">The COPS hiring program has helped the department recover from a 20 percent reduction in the force over the past four years, as crime continues to increase.  Poor economic conditions have led </w:t>
      </w:r>
      <w:r w:rsidRPr="00AC3AA1">
        <w:rPr>
          <w:rFonts w:ascii="Times New Roman" w:hAnsi="Times New Roman" w:cs="Times New Roman"/>
          <w:sz w:val="24"/>
          <w:szCs w:val="24"/>
        </w:rPr>
        <w:lastRenderedPageBreak/>
        <w:t>to the increase in violent crimes which are about 30 percent higher than the national average. Foreclosure rates are the highest in the country, contributing to the higher rates of crime against property.</w:t>
      </w:r>
    </w:p>
    <w:p w14:paraId="1B2359BF" w14:textId="77777777" w:rsidR="00AC3AA1" w:rsidRPr="00AC3AA1" w:rsidRDefault="00AC3AA1" w:rsidP="0001256C">
      <w:pPr>
        <w:pStyle w:val="NoSpacing"/>
        <w:jc w:val="both"/>
        <w:rPr>
          <w:rFonts w:ascii="Times New Roman" w:hAnsi="Times New Roman" w:cs="Times New Roman"/>
          <w:sz w:val="24"/>
          <w:szCs w:val="24"/>
        </w:rPr>
      </w:pPr>
    </w:p>
    <w:p w14:paraId="3636A205" w14:textId="77777777" w:rsidR="00AC3AA1" w:rsidRPr="00AC3AA1" w:rsidRDefault="00AC3AA1" w:rsidP="0001256C">
      <w:pPr>
        <w:jc w:val="both"/>
      </w:pPr>
      <w:r w:rsidRPr="00AC3AA1">
        <w:rPr>
          <w:i/>
        </w:rPr>
        <w:t>City of Fresno, California:</w:t>
      </w:r>
      <w:r w:rsidRPr="00AC3AA1">
        <w:t xml:space="preserve">  The positive impact of the 41 officers paid for with COPS funding has been significant.  During the past three years, the Fresno Police Department (PD) has lost 104 sworn police officer positions and 275 non-sworn civilian support positions.  Maintaining the 41 grant-funded COPS officers has allowed Fresno PD to make an impact in reducing violent crime.  </w:t>
      </w:r>
    </w:p>
    <w:p w14:paraId="68F2650B" w14:textId="77777777" w:rsidR="00AC3AA1" w:rsidRPr="00AC3AA1" w:rsidRDefault="00AC3AA1" w:rsidP="0001256C">
      <w:pPr>
        <w:jc w:val="both"/>
      </w:pPr>
    </w:p>
    <w:p w14:paraId="361B3EEC" w14:textId="77777777" w:rsidR="00AC3AA1" w:rsidRPr="00AC3AA1" w:rsidRDefault="00AC3AA1" w:rsidP="0001256C">
      <w:pPr>
        <w:jc w:val="both"/>
      </w:pPr>
      <w:r w:rsidRPr="00AC3AA1">
        <w:t xml:space="preserve">In calendar year 2011, Fresno PD saw a decrease from the year prior in homicides – down 22.2%, rape – down 31.8%, robbery – down 0.5%, aggravated assault – down 6.9%, domestic violence – down 19.6%, total violent crime – down 5.6%, larceny – down 7%, and vehicle burglary – down 4.5%.  Fresno PD would not have realized these reductions in violent crime in 2011 if it were not for the additional 41 front line law enforcement officers who helped keep dangerous criminals off the streets. </w:t>
      </w:r>
    </w:p>
    <w:p w14:paraId="4E49BB1A" w14:textId="77777777" w:rsidR="00AC3AA1" w:rsidRPr="00AC3AA1" w:rsidRDefault="00AC3AA1" w:rsidP="0001256C">
      <w:pPr>
        <w:jc w:val="both"/>
      </w:pPr>
      <w:r w:rsidRPr="00AC3AA1">
        <w:t>   </w:t>
      </w:r>
    </w:p>
    <w:p w14:paraId="7D9BA657" w14:textId="77777777" w:rsidR="00AC3AA1" w:rsidRPr="00AC3AA1" w:rsidRDefault="00AC3AA1" w:rsidP="0001256C">
      <w:pPr>
        <w:jc w:val="both"/>
        <w:rPr>
          <w:color w:val="000000"/>
        </w:rPr>
      </w:pPr>
      <w:r w:rsidRPr="00AC3AA1">
        <w:rPr>
          <w:color w:val="000000"/>
        </w:rPr>
        <w:t xml:space="preserve">Had Fresno PD not received the funding for the 41 police officers, they would have had to disband the violent crime impact team and redeploy those officers into patrol.  This would have virtually eliminated </w:t>
      </w:r>
      <w:r w:rsidR="007A00B5">
        <w:rPr>
          <w:color w:val="000000"/>
        </w:rPr>
        <w:t xml:space="preserve">Fresono </w:t>
      </w:r>
      <w:r w:rsidRPr="00AC3AA1">
        <w:rPr>
          <w:color w:val="000000"/>
        </w:rPr>
        <w:t xml:space="preserve">PD’s proactive policing efforts.  As a result, officers would have been solely reactive - not having the capacity to track down serious violent felons or eradicate gang members and street level narcotics activity from some of Fresno’s more blighted neighborhoods.  </w:t>
      </w:r>
    </w:p>
    <w:p w14:paraId="574945E6" w14:textId="77777777" w:rsidR="00AC3AA1" w:rsidRPr="00AC3AA1" w:rsidRDefault="00AC3AA1" w:rsidP="0001256C">
      <w:pPr>
        <w:jc w:val="both"/>
        <w:rPr>
          <w:color w:val="000000"/>
        </w:rPr>
      </w:pPr>
    </w:p>
    <w:p w14:paraId="310B70C8" w14:textId="77777777" w:rsidR="00AC3AA1" w:rsidRPr="00AC3AA1" w:rsidRDefault="00AC3AA1" w:rsidP="0001256C">
      <w:pPr>
        <w:jc w:val="both"/>
        <w:rPr>
          <w:color w:val="000000"/>
        </w:rPr>
      </w:pPr>
      <w:r w:rsidRPr="00AC3AA1">
        <w:rPr>
          <w:color w:val="000000"/>
        </w:rPr>
        <w:t xml:space="preserve">Since Fresno PD does have these proactive resources in place, due to funding from the COPS office, citizens continue to have a high level of confidence in the police department.  Citizens who feel protected are more willing to step forward as witnesses and provide information to the police. </w:t>
      </w:r>
    </w:p>
    <w:p w14:paraId="1EF27589" w14:textId="77777777" w:rsidR="00AC3AA1" w:rsidRPr="00AC3AA1" w:rsidRDefault="00AC3AA1" w:rsidP="0001256C">
      <w:pPr>
        <w:pStyle w:val="NoSpacing"/>
        <w:jc w:val="both"/>
        <w:rPr>
          <w:rFonts w:ascii="Times New Roman" w:hAnsi="Times New Roman" w:cs="Times New Roman"/>
          <w:sz w:val="24"/>
          <w:szCs w:val="24"/>
        </w:rPr>
      </w:pPr>
    </w:p>
    <w:p w14:paraId="5693CA2E" w14:textId="77777777" w:rsidR="00AC3AA1" w:rsidRPr="00AC3AA1" w:rsidRDefault="00AC3AA1" w:rsidP="0001256C">
      <w:pPr>
        <w:jc w:val="both"/>
      </w:pPr>
      <w:r w:rsidRPr="00AC3AA1">
        <w:rPr>
          <w:i/>
        </w:rPr>
        <w:t>City of Sacramento, California:</w:t>
      </w:r>
      <w:r w:rsidR="00FE26D3">
        <w:t xml:space="preserve">  With the assistance of COPS h</w:t>
      </w:r>
      <w:r w:rsidRPr="00AC3AA1">
        <w:t xml:space="preserve">iring grants, the Sacramento County Sheriff’s Department launched its Impact Division to combat violent street gangs through a multi-faceted approach. Since the inception of the program in early 2012, the results of the Impact Division have been impressive.  The county saw no gang-related homicides in any jurisdiction that IMPACT covers [2011 had six </w:t>
      </w:r>
      <w:r w:rsidRPr="00AC3AA1">
        <w:rPr>
          <w:rStyle w:val="Emphasis"/>
        </w:rPr>
        <w:t>just</w:t>
      </w:r>
      <w:r w:rsidRPr="00AC3AA1">
        <w:t xml:space="preserve"> in the Sheriff’s jurisdiction]</w:t>
      </w:r>
      <w:r w:rsidR="00353E6D">
        <w:t>;</w:t>
      </w:r>
      <w:r w:rsidRPr="00AC3AA1">
        <w:t xml:space="preserve"> arrested 86 </w:t>
      </w:r>
      <w:r w:rsidRPr="00AC3AA1">
        <w:rPr>
          <w:rStyle w:val="Emphasis"/>
        </w:rPr>
        <w:t>legitimate</w:t>
      </w:r>
      <w:r w:rsidRPr="00AC3AA1">
        <w:t xml:space="preserve"> gang members, seized 6</w:t>
      </w:r>
      <w:r w:rsidR="000367DC">
        <w:t>7</w:t>
      </w:r>
      <w:r w:rsidRPr="00AC3AA1">
        <w:t xml:space="preserve"> </w:t>
      </w:r>
      <w:r w:rsidR="007179A2" w:rsidRPr="00AC3AA1">
        <w:t>firearms</w:t>
      </w:r>
      <w:r w:rsidR="007179A2" w:rsidRPr="00AC3AA1" w:rsidDel="00353E6D">
        <w:t xml:space="preserve"> </w:t>
      </w:r>
      <w:r w:rsidR="007179A2">
        <w:t>(</w:t>
      </w:r>
      <w:r w:rsidRPr="00AC3AA1">
        <w:t>26 of which were shotguns/rifles, 40 handguns, and one fully automatic machine gun</w:t>
      </w:r>
      <w:r w:rsidR="00353E6D">
        <w:t>);</w:t>
      </w:r>
      <w:r w:rsidRPr="00AC3AA1">
        <w:t xml:space="preserve"> and recovered almost seven pounds of cocaine, over 300 pounds of marijuana, over four ounces of </w:t>
      </w:r>
      <w:r w:rsidR="00353E6D">
        <w:t>m</w:t>
      </w:r>
      <w:r w:rsidRPr="00AC3AA1">
        <w:t xml:space="preserve">ethamphetamine, about 400 marijuana plants, and 127 ecstasy pills. </w:t>
      </w:r>
    </w:p>
    <w:p w14:paraId="7EC03680" w14:textId="77777777" w:rsidR="00AC3AA1" w:rsidRDefault="00AC3AA1" w:rsidP="0001256C">
      <w:pPr>
        <w:pStyle w:val="Default"/>
        <w:jc w:val="both"/>
        <w:rPr>
          <w:b/>
          <w:color w:val="auto"/>
          <w:u w:val="single"/>
        </w:rPr>
      </w:pPr>
    </w:p>
    <w:p w14:paraId="2EF7CD01" w14:textId="77777777" w:rsidR="003779FE" w:rsidRDefault="003779FE" w:rsidP="0001256C">
      <w:pPr>
        <w:pStyle w:val="Default"/>
        <w:jc w:val="both"/>
        <w:rPr>
          <w:b/>
          <w:color w:val="auto"/>
          <w:u w:val="single"/>
        </w:rPr>
      </w:pPr>
      <w:r w:rsidRPr="003239E9">
        <w:rPr>
          <w:b/>
          <w:color w:val="auto"/>
          <w:u w:val="single"/>
        </w:rPr>
        <w:t>Indian Country</w:t>
      </w:r>
    </w:p>
    <w:p w14:paraId="7380669E" w14:textId="77777777" w:rsidR="003779FE" w:rsidRPr="009273C7" w:rsidRDefault="003779FE" w:rsidP="0001256C">
      <w:pPr>
        <w:pStyle w:val="xl19"/>
        <w:spacing w:before="0" w:after="0"/>
        <w:jc w:val="both"/>
        <w:rPr>
          <w:szCs w:val="24"/>
        </w:rPr>
      </w:pPr>
      <w:r w:rsidRPr="009273C7">
        <w:rPr>
          <w:szCs w:val="24"/>
        </w:rPr>
        <w:t>In response to the special needs of the nation’s tribal law enforcement community, COPS Indian Country programs were created in FY 1999 to provide funding for law enforcement expenses, including hiring and training new community policing officers</w:t>
      </w:r>
      <w:r>
        <w:rPr>
          <w:szCs w:val="24"/>
        </w:rPr>
        <w:t>;</w:t>
      </w:r>
      <w:r w:rsidRPr="009273C7">
        <w:rPr>
          <w:szCs w:val="24"/>
        </w:rPr>
        <w:t xml:space="preserve"> training </w:t>
      </w:r>
      <w:r>
        <w:rPr>
          <w:szCs w:val="24"/>
        </w:rPr>
        <w:t xml:space="preserve">the </w:t>
      </w:r>
      <w:r w:rsidRPr="009273C7">
        <w:rPr>
          <w:szCs w:val="24"/>
        </w:rPr>
        <w:t>existing force</w:t>
      </w:r>
      <w:r>
        <w:rPr>
          <w:szCs w:val="24"/>
        </w:rPr>
        <w:t>;</w:t>
      </w:r>
      <w:r w:rsidRPr="009273C7">
        <w:rPr>
          <w:szCs w:val="24"/>
        </w:rPr>
        <w:t xml:space="preserve"> and purchasing new equipment, technology and vehicles.  Because state and local funding is not available to many tribes for officers and technology, the COPS Office has become one of the primary resources available to tribal law enforcement agencies seeking to develop and maintain a basic community policing infrastructure, as well as improve and upgrade their antiquated equipment. </w:t>
      </w:r>
    </w:p>
    <w:p w14:paraId="1FEDB1A3" w14:textId="77777777" w:rsidR="003779FE" w:rsidRPr="009273C7" w:rsidRDefault="003779FE" w:rsidP="0001256C">
      <w:pPr>
        <w:pStyle w:val="xl19"/>
        <w:spacing w:before="0" w:after="0"/>
        <w:jc w:val="both"/>
        <w:rPr>
          <w:szCs w:val="24"/>
        </w:rPr>
      </w:pPr>
    </w:p>
    <w:p w14:paraId="7CC485F7" w14:textId="77777777" w:rsidR="003174F7" w:rsidRDefault="003779FE" w:rsidP="0001256C">
      <w:pPr>
        <w:tabs>
          <w:tab w:val="left" w:pos="4860"/>
          <w:tab w:val="left" w:pos="7020"/>
        </w:tabs>
        <w:jc w:val="both"/>
      </w:pPr>
      <w:r w:rsidRPr="009273C7">
        <w:lastRenderedPageBreak/>
        <w:t>Approximately $</w:t>
      </w:r>
      <w:r w:rsidR="003174F7">
        <w:t>30</w:t>
      </w:r>
      <w:r w:rsidRPr="00555C66">
        <w:t>0</w:t>
      </w:r>
      <w:r w:rsidRPr="009273C7">
        <w:t xml:space="preserve"> million has been invested in the COPS Indian Country </w:t>
      </w:r>
      <w:r>
        <w:t>Program</w:t>
      </w:r>
      <w:r w:rsidRPr="009273C7">
        <w:t xml:space="preserve"> since </w:t>
      </w:r>
      <w:r w:rsidR="003174F7">
        <w:t>the program’s inception</w:t>
      </w:r>
      <w:r w:rsidRPr="009273C7">
        <w:t xml:space="preserve">. </w:t>
      </w:r>
      <w:r w:rsidR="003174F7">
        <w:t>This is in addition to funding to tribes provided under COPS’ non-tribal specific program.  Through the COPS Indian Country Program</w:t>
      </w:r>
      <w:r w:rsidRPr="009273C7">
        <w:t>, more than 280 tribal law enforcement agencies nationwide have received COPS grants for equipment</w:t>
      </w:r>
      <w:r w:rsidR="00FB43BC">
        <w:t>,</w:t>
      </w:r>
      <w:r w:rsidRPr="009273C7">
        <w:t xml:space="preserve"> technology</w:t>
      </w:r>
      <w:r w:rsidR="00FB43BC">
        <w:t>,</w:t>
      </w:r>
      <w:r w:rsidR="00FE26D3">
        <w:t xml:space="preserve"> and</w:t>
      </w:r>
      <w:r w:rsidRPr="009273C7">
        <w:t xml:space="preserve"> training</w:t>
      </w:r>
      <w:r w:rsidR="00FB43BC">
        <w:t>,</w:t>
      </w:r>
      <w:r w:rsidRPr="009273C7">
        <w:t xml:space="preserve"> and </w:t>
      </w:r>
      <w:r w:rsidR="003174F7">
        <w:t xml:space="preserve">more than </w:t>
      </w:r>
      <w:r w:rsidR="00FB43BC">
        <w:t>920</w:t>
      </w:r>
      <w:r w:rsidR="003174F7">
        <w:t xml:space="preserve"> officer positions have been funded</w:t>
      </w:r>
      <w:r w:rsidRPr="009273C7">
        <w:t xml:space="preserve">.  </w:t>
      </w:r>
    </w:p>
    <w:p w14:paraId="1A544713" w14:textId="77777777" w:rsidR="003174F7" w:rsidRDefault="003174F7" w:rsidP="0001256C">
      <w:pPr>
        <w:tabs>
          <w:tab w:val="left" w:pos="4860"/>
          <w:tab w:val="left" w:pos="7020"/>
        </w:tabs>
        <w:jc w:val="both"/>
      </w:pPr>
    </w:p>
    <w:p w14:paraId="2E375E93" w14:textId="77777777" w:rsidR="003779FE" w:rsidRDefault="003174F7" w:rsidP="0001256C">
      <w:pPr>
        <w:tabs>
          <w:tab w:val="left" w:pos="4860"/>
          <w:tab w:val="left" w:pos="7020"/>
        </w:tabs>
        <w:jc w:val="both"/>
      </w:pPr>
      <w:r>
        <w:t>The COPS Office continues to support the Administration</w:t>
      </w:r>
      <w:r w:rsidR="00C36DFC">
        <w:t>’</w:t>
      </w:r>
      <w:r>
        <w:t xml:space="preserve">s strong emphasis on meeting the public safety needs of the nation’s tribal law enforcement community.  Beyond direct funding for tribal law enforcement agencies, </w:t>
      </w:r>
      <w:r w:rsidR="00C55E70">
        <w:t xml:space="preserve">the </w:t>
      </w:r>
      <w:r w:rsidR="003779FE" w:rsidRPr="009273C7">
        <w:t xml:space="preserve">COPS </w:t>
      </w:r>
      <w:r w:rsidR="00C55E70">
        <w:t xml:space="preserve">Office </w:t>
      </w:r>
      <w:r w:rsidR="003779FE" w:rsidRPr="009273C7">
        <w:t>has participated in the Department of Justice’s Comprehensive Indian Resources for Community and Law Enforcement (CIRCLE) Project that assists tribal law enforcement agencies in developing a comprehensive strategy to address local problems; the Mental Health and Community Safety Initiative for American Indian/Alaska Native Children, Youth, and Families (a partnership between DOJ, ED, and HHS) that created collaborative partnerships between law enforcement agencies and mental health, substance abuse, and social service agencies in an effort to address the crime problems associated with substance abuse and youth and family violence; the Tribal Law Enforcement Improvement Initiative (a collaboration between DOJ, EPA, AIEO, and BIA); and the Tribal Court Pilot Program that provided funding to tribal judicial systems to assist Tribal courts with the increased caseload associated with arrests.</w:t>
      </w:r>
    </w:p>
    <w:p w14:paraId="1D33E97F" w14:textId="77777777" w:rsidR="0094118C" w:rsidRDefault="0094118C" w:rsidP="0001256C">
      <w:pPr>
        <w:tabs>
          <w:tab w:val="left" w:pos="4860"/>
          <w:tab w:val="left" w:pos="7020"/>
        </w:tabs>
        <w:jc w:val="both"/>
      </w:pPr>
    </w:p>
    <w:p w14:paraId="6B917A89" w14:textId="77777777" w:rsidR="0094118C" w:rsidRDefault="0094118C" w:rsidP="0001256C">
      <w:pPr>
        <w:pStyle w:val="Default"/>
        <w:jc w:val="both"/>
      </w:pPr>
      <w:r>
        <w:t>Since FY 2010, the COPS Office has awarded funding for tribes through the Department’s Coordinated Tribal Assistance Solicitation (CTAS) process, and plans to continue this stra</w:t>
      </w:r>
      <w:r w:rsidR="00FE26D3">
        <w:t>tegy through FY 2014.  CTAS bega</w:t>
      </w:r>
      <w:r>
        <w:t xml:space="preserve">n in FY 2010 in response to a request from tribal leaders to improve the DOJ grant-making process by streamlining it among COPS, OJP and OVW.  Through CTAS, the COPS Office is able to meet multiple public safety resource needs within tribal communities within a single grant and hopes to </w:t>
      </w:r>
      <w:r w:rsidRPr="009273C7">
        <w:t>increase the capacity of tribes to develop and implement a comprehensive approach to addressing their public safety, criminal and juvenile justice, and victimization issues.</w:t>
      </w:r>
      <w:r w:rsidR="00FE26D3">
        <w:t xml:space="preserve"> </w:t>
      </w:r>
      <w:r w:rsidRPr="009273C7">
        <w:t xml:space="preserve"> </w:t>
      </w:r>
      <w:r>
        <w:t xml:space="preserve">For example, the Office was able to </w:t>
      </w:r>
      <w:r w:rsidRPr="00555C66">
        <w:t xml:space="preserve">provide officers, vehicles, equipment and training to </w:t>
      </w:r>
      <w:r>
        <w:t>a tribal law enforcement agency through a single award</w:t>
      </w:r>
      <w:r w:rsidRPr="00555C66">
        <w:t>.  </w:t>
      </w:r>
      <w:r>
        <w:t>This particular grantee</w:t>
      </w:r>
      <w:r w:rsidRPr="00555C66">
        <w:t xml:space="preserve"> plans to use this funding to decrease crim</w:t>
      </w:r>
      <w:r>
        <w:t>e on the reservation; increase law enforcement response t</w:t>
      </w:r>
      <w:r w:rsidRPr="00555C66">
        <w:t>ime</w:t>
      </w:r>
      <w:r>
        <w:t>;</w:t>
      </w:r>
      <w:r w:rsidRPr="00555C66">
        <w:t xml:space="preserve"> provide visibility and safer roadways and increase community policing competency and knowledge within the </w:t>
      </w:r>
      <w:r>
        <w:t>t</w:t>
      </w:r>
      <w:r w:rsidRPr="00555C66">
        <w:t>ribal police force.   </w:t>
      </w:r>
      <w:r>
        <w:t>The grantee’s</w:t>
      </w:r>
      <w:r w:rsidRPr="00555C66">
        <w:t xml:space="preserve"> objective is to use the funding to strengthen partnerships in the community and initiate new community policing techniques </w:t>
      </w:r>
      <w:r>
        <w:t>for the overall benefit of the t</w:t>
      </w:r>
      <w:r w:rsidRPr="00555C66">
        <w:t xml:space="preserve">ribe. </w:t>
      </w:r>
    </w:p>
    <w:p w14:paraId="4716CBF6" w14:textId="77777777" w:rsidR="0094118C" w:rsidRDefault="0094118C" w:rsidP="0001256C">
      <w:pPr>
        <w:tabs>
          <w:tab w:val="left" w:pos="4860"/>
          <w:tab w:val="left" w:pos="7020"/>
        </w:tabs>
        <w:jc w:val="both"/>
      </w:pPr>
    </w:p>
    <w:p w14:paraId="509B6F50" w14:textId="77777777" w:rsidR="00E572B3" w:rsidRDefault="00555C66" w:rsidP="0001256C">
      <w:pPr>
        <w:pStyle w:val="Default"/>
        <w:jc w:val="both"/>
        <w:rPr>
          <w:color w:val="000000" w:themeColor="text1"/>
        </w:rPr>
      </w:pPr>
      <w:r>
        <w:t xml:space="preserve">In FY 2011, </w:t>
      </w:r>
      <w:r w:rsidR="00C55E70">
        <w:t xml:space="preserve">the </w:t>
      </w:r>
      <w:r>
        <w:t xml:space="preserve">COPS </w:t>
      </w:r>
      <w:r w:rsidR="00C55E70">
        <w:t xml:space="preserve">Office </w:t>
      </w:r>
      <w:r>
        <w:t>made 106 awards totaling approximately $33 million to tribal communities</w:t>
      </w:r>
      <w:r w:rsidR="00FE26D3">
        <w:t xml:space="preserve">.  </w:t>
      </w:r>
      <w:r w:rsidR="00540B7A" w:rsidRPr="00540B7A">
        <w:rPr>
          <w:color w:val="000000" w:themeColor="text1"/>
        </w:rPr>
        <w:t>The demand for grant funding under the FY 2012 COPS Indian Country Program far exceeded the $28 million available for awards</w:t>
      </w:r>
      <w:r w:rsidR="008737FD">
        <w:rPr>
          <w:color w:val="000000" w:themeColor="text1"/>
        </w:rPr>
        <w:t>, after a proportional amount was carved out for management and administration</w:t>
      </w:r>
      <w:r w:rsidR="00540B7A" w:rsidRPr="00540B7A">
        <w:rPr>
          <w:color w:val="000000" w:themeColor="text1"/>
        </w:rPr>
        <w:t xml:space="preserve">.  The COPS Office received </w:t>
      </w:r>
      <w:r w:rsidR="00540B7A" w:rsidRPr="00540B7A">
        <w:t>168 applications requesting a</w:t>
      </w:r>
      <w:r w:rsidR="006D0387">
        <w:t>pproximately</w:t>
      </w:r>
      <w:r w:rsidR="00540B7A" w:rsidRPr="00540B7A">
        <w:t xml:space="preserve"> $</w:t>
      </w:r>
      <w:r w:rsidR="006D0387">
        <w:t>113 million</w:t>
      </w:r>
      <w:r w:rsidR="00540B7A" w:rsidRPr="00540B7A">
        <w:t xml:space="preserve"> in funding and</w:t>
      </w:r>
      <w:r w:rsidR="00AC3AA1" w:rsidRPr="00540B7A">
        <w:rPr>
          <w:color w:val="000000" w:themeColor="text1"/>
        </w:rPr>
        <w:t xml:space="preserve"> was the number one requested CTAS Purpose Area</w:t>
      </w:r>
      <w:r w:rsidR="00E572B3" w:rsidRPr="00540B7A">
        <w:rPr>
          <w:color w:val="000000" w:themeColor="text1"/>
        </w:rPr>
        <w:t>.</w:t>
      </w:r>
      <w:r w:rsidR="000F5090">
        <w:rPr>
          <w:color w:val="000000" w:themeColor="text1"/>
        </w:rPr>
        <w:t xml:space="preserve">  </w:t>
      </w:r>
      <w:r w:rsidR="00E572B3" w:rsidRPr="00E572B3">
        <w:rPr>
          <w:color w:val="000000" w:themeColor="text1"/>
        </w:rPr>
        <w:t>Th</w:t>
      </w:r>
      <w:r w:rsidR="000F5090">
        <w:rPr>
          <w:color w:val="000000" w:themeColor="text1"/>
        </w:rPr>
        <w:t>e</w:t>
      </w:r>
      <w:r w:rsidR="00E572B3" w:rsidRPr="00E572B3">
        <w:rPr>
          <w:color w:val="000000" w:themeColor="text1"/>
        </w:rPr>
        <w:t xml:space="preserve"> Purpose Area is designed to expand the implementation of community policing and meet the most serious needs of law enforcement in </w:t>
      </w:r>
      <w:r w:rsidR="00EB02FA">
        <w:rPr>
          <w:color w:val="000000" w:themeColor="text1"/>
        </w:rPr>
        <w:t>t</w:t>
      </w:r>
      <w:r w:rsidR="00E572B3" w:rsidRPr="00E572B3">
        <w:rPr>
          <w:color w:val="000000" w:themeColor="text1"/>
        </w:rPr>
        <w:t xml:space="preserve">ribal communities through a broadened </w:t>
      </w:r>
      <w:r w:rsidR="00EB02FA">
        <w:rPr>
          <w:color w:val="000000" w:themeColor="text1"/>
        </w:rPr>
        <w:t xml:space="preserve">and </w:t>
      </w:r>
      <w:r w:rsidR="00E572B3" w:rsidRPr="00E572B3">
        <w:rPr>
          <w:color w:val="000000" w:themeColor="text1"/>
        </w:rPr>
        <w:t xml:space="preserve">comprehensive program. The funding can be used to hire or re-hire sworn career law enforcement officers and Village Public Safety Officers as well as basic equipment and training to assist in the initiation or enhancement of Tribal community policing efforts. The FY 2012 goals for this purpose area </w:t>
      </w:r>
      <w:r w:rsidR="002326DA">
        <w:rPr>
          <w:color w:val="000000" w:themeColor="text1"/>
        </w:rPr>
        <w:t>were</w:t>
      </w:r>
      <w:r w:rsidR="00E572B3" w:rsidRPr="00E572B3">
        <w:rPr>
          <w:color w:val="000000" w:themeColor="text1"/>
        </w:rPr>
        <w:t>:</w:t>
      </w:r>
    </w:p>
    <w:p w14:paraId="760A2CD2" w14:textId="77777777" w:rsidR="005F22A0" w:rsidRPr="00E572B3" w:rsidRDefault="005F22A0" w:rsidP="0001256C">
      <w:pPr>
        <w:pStyle w:val="Default"/>
        <w:jc w:val="both"/>
        <w:rPr>
          <w:color w:val="000000" w:themeColor="text1"/>
        </w:rPr>
      </w:pPr>
    </w:p>
    <w:p w14:paraId="7F666F8B" w14:textId="77777777" w:rsidR="00E572B3" w:rsidRPr="00E572B3" w:rsidRDefault="00E572B3" w:rsidP="0001256C">
      <w:pPr>
        <w:pStyle w:val="Default"/>
        <w:numPr>
          <w:ilvl w:val="0"/>
          <w:numId w:val="38"/>
        </w:numPr>
        <w:jc w:val="both"/>
        <w:rPr>
          <w:color w:val="000000" w:themeColor="text1"/>
        </w:rPr>
      </w:pPr>
      <w:r w:rsidRPr="00E572B3">
        <w:rPr>
          <w:color w:val="000000" w:themeColor="text1"/>
        </w:rPr>
        <w:t xml:space="preserve">To proactively address the most serious Tribal law enforcement needs. </w:t>
      </w:r>
    </w:p>
    <w:p w14:paraId="17D2200F" w14:textId="77777777" w:rsidR="00E572B3" w:rsidRPr="00E572B3" w:rsidRDefault="00E572B3" w:rsidP="0001256C">
      <w:pPr>
        <w:pStyle w:val="Default"/>
        <w:numPr>
          <w:ilvl w:val="0"/>
          <w:numId w:val="38"/>
        </w:numPr>
        <w:jc w:val="both"/>
        <w:rPr>
          <w:color w:val="000000" w:themeColor="text1"/>
        </w:rPr>
      </w:pPr>
      <w:r w:rsidRPr="00E572B3">
        <w:rPr>
          <w:color w:val="000000" w:themeColor="text1"/>
        </w:rPr>
        <w:lastRenderedPageBreak/>
        <w:t xml:space="preserve">To increase the capacity of Tribal law enforcement agencies for safer communities and to enhance Tribal law enforcement’s capacity to prevent, solve and control crime. </w:t>
      </w:r>
    </w:p>
    <w:p w14:paraId="73249CF6" w14:textId="77777777" w:rsidR="00E572B3" w:rsidRPr="00E572B3" w:rsidRDefault="00E572B3" w:rsidP="0001256C">
      <w:pPr>
        <w:pStyle w:val="Default"/>
        <w:numPr>
          <w:ilvl w:val="0"/>
          <w:numId w:val="38"/>
        </w:numPr>
        <w:jc w:val="both"/>
        <w:rPr>
          <w:color w:val="000000" w:themeColor="text1"/>
        </w:rPr>
      </w:pPr>
      <w:r w:rsidRPr="00E572B3">
        <w:rPr>
          <w:color w:val="000000" w:themeColor="text1"/>
        </w:rPr>
        <w:t xml:space="preserve">To implement or enhance community policing strategies. </w:t>
      </w:r>
    </w:p>
    <w:p w14:paraId="5EA68E70" w14:textId="77777777" w:rsidR="00E572B3" w:rsidRDefault="00E572B3" w:rsidP="0001256C">
      <w:pPr>
        <w:pStyle w:val="ListParagraph"/>
        <w:numPr>
          <w:ilvl w:val="0"/>
          <w:numId w:val="38"/>
        </w:numPr>
        <w:jc w:val="both"/>
        <w:rPr>
          <w:color w:val="000000" w:themeColor="text1"/>
        </w:rPr>
      </w:pPr>
      <w:r w:rsidRPr="00E572B3">
        <w:rPr>
          <w:color w:val="000000" w:themeColor="text1"/>
        </w:rPr>
        <w:t xml:space="preserve">To engage in strategic planning for law enforcement. </w:t>
      </w:r>
    </w:p>
    <w:p w14:paraId="36B34F4E" w14:textId="77777777" w:rsidR="00306D33" w:rsidRPr="00306D33" w:rsidRDefault="00306D33" w:rsidP="0001256C">
      <w:pPr>
        <w:ind w:left="360"/>
        <w:jc w:val="both"/>
        <w:rPr>
          <w:color w:val="000000" w:themeColor="text1"/>
        </w:rPr>
      </w:pPr>
    </w:p>
    <w:p w14:paraId="17F63D67" w14:textId="77777777" w:rsidR="00306D33" w:rsidRPr="00306D33" w:rsidRDefault="00306D33" w:rsidP="0001256C">
      <w:pPr>
        <w:jc w:val="both"/>
        <w:rPr>
          <w:color w:val="000000" w:themeColor="text1"/>
        </w:rPr>
      </w:pPr>
      <w:r>
        <w:t xml:space="preserve">In FY 2012, the COPS Office made awards to 41 tribes to fund 62 officer positions through 23 awards and 41 equipment and training awards.  </w:t>
      </w:r>
    </w:p>
    <w:p w14:paraId="5C9E58A1" w14:textId="77777777" w:rsidR="00E572B3" w:rsidRPr="00E572B3" w:rsidRDefault="00E572B3" w:rsidP="0001256C">
      <w:pPr>
        <w:jc w:val="both"/>
        <w:rPr>
          <w:color w:val="1F497D"/>
          <w:sz w:val="22"/>
          <w:szCs w:val="22"/>
        </w:rPr>
      </w:pPr>
    </w:p>
    <w:p w14:paraId="41BB0BE1" w14:textId="77777777" w:rsidR="00EB02FA" w:rsidRDefault="00E572B3" w:rsidP="0001256C">
      <w:pPr>
        <w:pStyle w:val="Default"/>
        <w:jc w:val="both"/>
      </w:pPr>
      <w:r>
        <w:t xml:space="preserve">Of the total amount </w:t>
      </w:r>
      <w:r w:rsidR="00A60913">
        <w:t>available</w:t>
      </w:r>
      <w:r>
        <w:t xml:space="preserve"> in FY 2013 for Indian Country ($20 million directly appropriated under this program plus the $15 million transfer from CHP</w:t>
      </w:r>
      <w:r w:rsidR="00EB02FA">
        <w:t xml:space="preserve"> specifically for hiring and rehiring</w:t>
      </w:r>
      <w:r>
        <w:t xml:space="preserve">), COPS anticipates that $5 million will support COPS management and administration needs. </w:t>
      </w:r>
      <w:r w:rsidR="00A60913">
        <w:t xml:space="preserve"> </w:t>
      </w:r>
      <w:r w:rsidR="00A60913" w:rsidRPr="00A60913">
        <w:t xml:space="preserve">Funding will be proportionately taken from </w:t>
      </w:r>
      <w:r w:rsidR="00A60913">
        <w:t>the Indian Country program</w:t>
      </w:r>
      <w:r w:rsidR="00A60913" w:rsidRPr="00A60913">
        <w:t xml:space="preserve"> for COPS managemen</w:t>
      </w:r>
      <w:r w:rsidR="00A60913">
        <w:t>t and administration activities.</w:t>
      </w:r>
    </w:p>
    <w:p w14:paraId="3FC38616" w14:textId="77777777" w:rsidR="00EB02FA" w:rsidRDefault="00EB02FA" w:rsidP="0001256C">
      <w:pPr>
        <w:pStyle w:val="Default"/>
        <w:jc w:val="both"/>
      </w:pPr>
    </w:p>
    <w:p w14:paraId="4AFBE18B" w14:textId="77777777" w:rsidR="00F04E0F" w:rsidRPr="00F04E0F" w:rsidRDefault="00D915B2" w:rsidP="0001256C">
      <w:pPr>
        <w:jc w:val="both"/>
      </w:pPr>
      <w:r>
        <w:t>In FY 2014, the COPS Office requests to maintain funding at the FY 201</w:t>
      </w:r>
      <w:r w:rsidR="00AD23A7">
        <w:t>2 enacted</w:t>
      </w:r>
      <w:r>
        <w:t xml:space="preserve"> level for </w:t>
      </w:r>
      <w:r w:rsidR="00AD23A7">
        <w:t>the</w:t>
      </w:r>
      <w:r w:rsidR="00A209A5">
        <w:t xml:space="preserve"> </w:t>
      </w:r>
      <w:r>
        <w:t>Indian Country Program to support a myriad of needs including hiring, training</w:t>
      </w:r>
      <w:r w:rsidR="009B0CF9">
        <w:t xml:space="preserve"> and</w:t>
      </w:r>
      <w:r>
        <w:t xml:space="preserve"> technical assistance and anti-methamphetamine activities.  This includes $20 million in funds appropriated directly to the program, and a $15 million transfer from CHP</w:t>
      </w:r>
      <w:r w:rsidR="00EB02FA">
        <w:t xml:space="preserve"> for the hiring and rehiring of officers in tribal communities</w:t>
      </w:r>
      <w:r>
        <w:t>.</w:t>
      </w:r>
      <w:r w:rsidR="00A209A5">
        <w:t xml:space="preserve">  </w:t>
      </w:r>
      <w:r w:rsidR="00F04E0F" w:rsidRPr="00F04E0F">
        <w:t xml:space="preserve">Funding will be proportionately taken from </w:t>
      </w:r>
      <w:r w:rsidR="00F04E0F">
        <w:t>the Indian Country Program</w:t>
      </w:r>
      <w:r w:rsidR="00F04E0F" w:rsidRPr="00F04E0F">
        <w:t xml:space="preserve"> for COPS management and administration activities; the allowance for up to five percent of total discretionary budget to be used for technical assistance to grantees; and the allowance for up to two percent of the total FY 2014 discretionary budget to be used for research, evaluation or statistical purposes.</w:t>
      </w:r>
    </w:p>
    <w:p w14:paraId="3C086C62" w14:textId="77777777" w:rsidR="004C3A7B" w:rsidRDefault="004C3A7B" w:rsidP="0001256C">
      <w:pPr>
        <w:pStyle w:val="Default"/>
        <w:jc w:val="both"/>
      </w:pPr>
    </w:p>
    <w:p w14:paraId="2A32D21B" w14:textId="77777777" w:rsidR="00E129B5" w:rsidRPr="00C524E3" w:rsidRDefault="00E129B5" w:rsidP="0001256C">
      <w:pPr>
        <w:tabs>
          <w:tab w:val="left" w:pos="4860"/>
          <w:tab w:val="left" w:pos="7020"/>
        </w:tabs>
        <w:jc w:val="both"/>
        <w:rPr>
          <w:u w:val="single"/>
        </w:rPr>
      </w:pPr>
      <w:r w:rsidRPr="00C524E3">
        <w:rPr>
          <w:b/>
          <w:u w:val="single"/>
        </w:rPr>
        <w:t>Comprehensive School Safety Program (CSSP)</w:t>
      </w:r>
    </w:p>
    <w:p w14:paraId="7AB31BDD" w14:textId="77777777" w:rsidR="00E129B5" w:rsidRDefault="00E129B5" w:rsidP="0001256C">
      <w:pPr>
        <w:jc w:val="both"/>
      </w:pPr>
      <w:r w:rsidRPr="004359B7">
        <w:t xml:space="preserve">Since its creation in 1994, the COPS Office </w:t>
      </w:r>
      <w:r w:rsidRPr="00803B74">
        <w:t xml:space="preserve">has </w:t>
      </w:r>
      <w:r w:rsidR="0011083F">
        <w:t xml:space="preserve">had </w:t>
      </w:r>
      <w:r w:rsidRPr="007744F4">
        <w:rPr>
          <w:rFonts w:eastAsiaTheme="minorHAnsi"/>
        </w:rPr>
        <w:t>a history of developing innovative programs and resources designed to increase the ability of law enforcement agencies nationwide to better understand and respond to children and youth safety issues.</w:t>
      </w:r>
      <w:r>
        <w:rPr>
          <w:rFonts w:eastAsiaTheme="minorHAnsi"/>
        </w:rPr>
        <w:t xml:space="preserve">  The Office has </w:t>
      </w:r>
      <w:r w:rsidRPr="00803B74">
        <w:t>dedicat</w:t>
      </w:r>
      <w:r>
        <w:t>ed</w:t>
      </w:r>
      <w:r w:rsidRPr="004359B7">
        <w:t xml:space="preserve"> significant grant funding to school safety programs</w:t>
      </w:r>
      <w:r>
        <w:t xml:space="preserve">, including the COPS in Schools (CIS) program that provided funding for salary and training for nearly 6,400 school resource officers (SROs) across the country, and the Secure Our Schools Program, which provided over $110 million in resources for school safety planning activities and equipment. </w:t>
      </w:r>
    </w:p>
    <w:p w14:paraId="4440E71E" w14:textId="77777777" w:rsidR="00E129B5" w:rsidRDefault="00E129B5" w:rsidP="0001256C">
      <w:pPr>
        <w:jc w:val="both"/>
      </w:pPr>
    </w:p>
    <w:p w14:paraId="08EF513A" w14:textId="77777777" w:rsidR="00E129B5" w:rsidRDefault="00AF3B97" w:rsidP="0001256C">
      <w:pPr>
        <w:jc w:val="both"/>
      </w:pPr>
      <w:r w:rsidRPr="00A9426D">
        <w:t xml:space="preserve">In January of 2013, the President released his plan to reduce gun violence, make schools safer and increase access to mental health services.  The </w:t>
      </w:r>
      <w:r w:rsidR="00A209A5">
        <w:t>COPS Office FY 2014 b</w:t>
      </w:r>
      <w:r w:rsidRPr="00A9426D">
        <w:t>udget</w:t>
      </w:r>
      <w:r w:rsidR="00A209A5">
        <w:t xml:space="preserve"> request</w:t>
      </w:r>
      <w:r w:rsidRPr="00A9426D">
        <w:t xml:space="preserve"> supports that plan’s common-sense proposals designed to make our schools safer with new resource officers and counselors, better emergency response plans, and more nurturing school climates. </w:t>
      </w:r>
      <w:r>
        <w:t xml:space="preserve"> </w:t>
      </w:r>
      <w:r w:rsidR="00E129B5">
        <w:t xml:space="preserve">In Fiscal Year 2014, the COPS Office is requesting $150 million for a </w:t>
      </w:r>
      <w:r w:rsidR="00E129B5" w:rsidRPr="004359B7">
        <w:t xml:space="preserve">new Comprehensive School Safety </w:t>
      </w:r>
      <w:r w:rsidR="00E129B5">
        <w:t xml:space="preserve">Program.  This Comprehensive School Safety Program would provide funding for holistic, integrated, and individually tailored school safety and security resources for primary and secondary schools.  The program aims to bring the law enforcement, mental health, and education disciplines together to provide a comprehensive approach to school safety.  </w:t>
      </w:r>
      <w:r w:rsidR="00EC274C">
        <w:t>Law enforcement and school districts</w:t>
      </w:r>
      <w:r w:rsidR="00727782">
        <w:t>, in consultation with school mental health professionals, should come together to apply for funding that fills the gaps in their own school safety and security efforts.</w:t>
      </w:r>
    </w:p>
    <w:p w14:paraId="600BE40D" w14:textId="77777777" w:rsidR="00FA48D4" w:rsidRPr="004359B7" w:rsidRDefault="00FA48D4" w:rsidP="0001256C">
      <w:pPr>
        <w:jc w:val="both"/>
      </w:pPr>
    </w:p>
    <w:p w14:paraId="4338B996" w14:textId="77777777" w:rsidR="00E129B5" w:rsidRPr="00696FEC" w:rsidRDefault="00AF3B97" w:rsidP="0001256C">
      <w:pPr>
        <w:jc w:val="both"/>
      </w:pPr>
      <w:r>
        <w:rPr>
          <w:color w:val="000000"/>
          <w:sz w:val="23"/>
          <w:szCs w:val="23"/>
        </w:rPr>
        <w:t>Under</w:t>
      </w:r>
      <w:r w:rsidR="00E129B5">
        <w:rPr>
          <w:color w:val="000000"/>
          <w:sz w:val="23"/>
          <w:szCs w:val="23"/>
        </w:rPr>
        <w:t xml:space="preserve"> this program, </w:t>
      </w:r>
      <w:r>
        <w:t>funding would be available for the hiring of school safety personnel, as well as school safety</w:t>
      </w:r>
      <w:r w:rsidR="00A9673A">
        <w:t xml:space="preserve"> assessments, technical assistance, and/</w:t>
      </w:r>
      <w:r w:rsidR="002F36C5">
        <w:t>or</w:t>
      </w:r>
      <w:r w:rsidR="00A9673A">
        <w:t xml:space="preserve"> training.  </w:t>
      </w:r>
      <w:r w:rsidR="0011083F">
        <w:rPr>
          <w:color w:val="000000"/>
          <w:sz w:val="23"/>
          <w:szCs w:val="23"/>
        </w:rPr>
        <w:t>S</w:t>
      </w:r>
      <w:r w:rsidR="009A2376">
        <w:rPr>
          <w:color w:val="000000"/>
          <w:sz w:val="23"/>
          <w:szCs w:val="23"/>
        </w:rPr>
        <w:t>chool safety personnel includes</w:t>
      </w:r>
      <w:r w:rsidR="0011083F">
        <w:rPr>
          <w:color w:val="000000"/>
          <w:sz w:val="23"/>
          <w:szCs w:val="23"/>
        </w:rPr>
        <w:t xml:space="preserve"> sworn </w:t>
      </w:r>
      <w:r w:rsidR="009A2376">
        <w:rPr>
          <w:color w:val="000000"/>
          <w:sz w:val="23"/>
          <w:szCs w:val="23"/>
        </w:rPr>
        <w:t>SROs</w:t>
      </w:r>
      <w:r w:rsidR="0011083F">
        <w:rPr>
          <w:color w:val="000000"/>
          <w:sz w:val="23"/>
          <w:szCs w:val="23"/>
        </w:rPr>
        <w:t xml:space="preserve"> an</w:t>
      </w:r>
      <w:r w:rsidR="0011083F" w:rsidRPr="004F03F8">
        <w:rPr>
          <w:color w:val="000000"/>
          <w:sz w:val="23"/>
          <w:szCs w:val="23"/>
        </w:rPr>
        <w:t>d</w:t>
      </w:r>
      <w:r w:rsidR="004F03F8" w:rsidRPr="004F03F8">
        <w:t xml:space="preserve"> </w:t>
      </w:r>
      <w:r w:rsidR="0011083F" w:rsidRPr="00B240EF">
        <w:t>non-sworn school safety</w:t>
      </w:r>
      <w:r w:rsidR="0011083F" w:rsidRPr="00B240EF">
        <w:rPr>
          <w:i/>
        </w:rPr>
        <w:t xml:space="preserve"> </w:t>
      </w:r>
      <w:r w:rsidR="0011083F" w:rsidRPr="00B240EF">
        <w:t>personnel, such as</w:t>
      </w:r>
      <w:r w:rsidR="0011083F" w:rsidRPr="00B240EF">
        <w:rPr>
          <w:color w:val="1F497D"/>
        </w:rPr>
        <w:t xml:space="preserve"> </w:t>
      </w:r>
      <w:r w:rsidR="0011083F" w:rsidRPr="00B240EF">
        <w:t xml:space="preserve">civilian public safety </w:t>
      </w:r>
      <w:r w:rsidR="0011083F" w:rsidRPr="00B240EF">
        <w:lastRenderedPageBreak/>
        <w:t>personnel; school counselors; school psychologists; other qualified psychologists; school social workers; and child and adolescent psychiatrists</w:t>
      </w:r>
      <w:r w:rsidR="00E129B5" w:rsidRPr="00B240EF">
        <w:rPr>
          <w:color w:val="000000"/>
          <w:sz w:val="23"/>
          <w:szCs w:val="23"/>
        </w:rPr>
        <w:t xml:space="preserve">.  </w:t>
      </w:r>
      <w:r w:rsidR="00E129B5" w:rsidRPr="004359B7">
        <w:t xml:space="preserve">Funding </w:t>
      </w:r>
      <w:r w:rsidR="00E129B5">
        <w:t>may</w:t>
      </w:r>
      <w:r w:rsidR="00E129B5" w:rsidRPr="004359B7">
        <w:t xml:space="preserve"> also be used to purchase school safety equipment; develop and update public safety plans; conduct threat assessments; and train “crisis intervention teams” </w:t>
      </w:r>
      <w:r w:rsidR="004F03F8">
        <w:t>that span the</w:t>
      </w:r>
      <w:r w:rsidR="00E129B5" w:rsidRPr="004359B7">
        <w:t xml:space="preserve"> law enforcement</w:t>
      </w:r>
      <w:r w:rsidR="004F03F8">
        <w:t xml:space="preserve">, education, and </w:t>
      </w:r>
      <w:r w:rsidR="00E129B5" w:rsidRPr="004359B7">
        <w:t>mental health communit</w:t>
      </w:r>
      <w:r w:rsidR="004F03F8">
        <w:t>ies</w:t>
      </w:r>
      <w:r w:rsidR="00E129B5" w:rsidRPr="004359B7">
        <w:t xml:space="preserve"> to respond to and assist students in crisis.</w:t>
      </w:r>
      <w:r w:rsidR="00E129B5">
        <w:t xml:space="preserve">  </w:t>
      </w:r>
    </w:p>
    <w:p w14:paraId="72349AC9" w14:textId="77777777" w:rsidR="00E129B5" w:rsidRDefault="00E129B5" w:rsidP="0001256C">
      <w:pPr>
        <w:autoSpaceDE w:val="0"/>
        <w:autoSpaceDN w:val="0"/>
        <w:adjustRightInd w:val="0"/>
        <w:jc w:val="both"/>
        <w:rPr>
          <w:color w:val="000000"/>
        </w:rPr>
      </w:pPr>
    </w:p>
    <w:p w14:paraId="6723156A" w14:textId="77777777" w:rsidR="00AF3B97" w:rsidRPr="00197434" w:rsidRDefault="00AF3B97" w:rsidP="0001256C">
      <w:pPr>
        <w:autoSpaceDE w:val="0"/>
        <w:autoSpaceDN w:val="0"/>
        <w:adjustRightInd w:val="0"/>
        <w:jc w:val="both"/>
        <w:rPr>
          <w:color w:val="000000"/>
        </w:rPr>
      </w:pPr>
      <w:r w:rsidRPr="00197434">
        <w:rPr>
          <w:color w:val="000000"/>
        </w:rPr>
        <w:t>With assistance from the Department of Education (and flexible transfer authority)</w:t>
      </w:r>
      <w:r>
        <w:rPr>
          <w:color w:val="000000"/>
        </w:rPr>
        <w:t>,</w:t>
      </w:r>
      <w:r w:rsidRPr="00197434">
        <w:rPr>
          <w:color w:val="000000"/>
        </w:rPr>
        <w:t xml:space="preserve"> the program will support demand-driven grants, </w:t>
      </w:r>
      <w:r>
        <w:rPr>
          <w:color w:val="000000"/>
        </w:rPr>
        <w:t xml:space="preserve">permitting </w:t>
      </w:r>
      <w:r w:rsidR="006D16A6">
        <w:rPr>
          <w:color w:val="000000"/>
        </w:rPr>
        <w:t xml:space="preserve">the flexible </w:t>
      </w:r>
      <w:r w:rsidR="00446140">
        <w:rPr>
          <w:color w:val="000000"/>
        </w:rPr>
        <w:t xml:space="preserve">use of funds for </w:t>
      </w:r>
      <w:r>
        <w:rPr>
          <w:color w:val="000000"/>
        </w:rPr>
        <w:t>safety assessments,</w:t>
      </w:r>
      <w:r w:rsidRPr="00197434">
        <w:rPr>
          <w:color w:val="000000"/>
        </w:rPr>
        <w:t xml:space="preserve"> personnel</w:t>
      </w:r>
      <w:r>
        <w:rPr>
          <w:color w:val="000000"/>
        </w:rPr>
        <w:t>,</w:t>
      </w:r>
      <w:r w:rsidRPr="00197434">
        <w:rPr>
          <w:color w:val="000000"/>
        </w:rPr>
        <w:t xml:space="preserve"> </w:t>
      </w:r>
      <w:r>
        <w:rPr>
          <w:color w:val="000000"/>
        </w:rPr>
        <w:t xml:space="preserve">and equipment.  Applications will be </w:t>
      </w:r>
      <w:r w:rsidRPr="00197434">
        <w:rPr>
          <w:color w:val="000000"/>
        </w:rPr>
        <w:t xml:space="preserve">driven by local needs and the quality </w:t>
      </w:r>
      <w:r>
        <w:rPr>
          <w:color w:val="000000"/>
        </w:rPr>
        <w:t xml:space="preserve">of the comprehensive safety plans submitted with the applications that show how all of the funding requests and proposed activities are linked together.  </w:t>
      </w:r>
      <w:r w:rsidRPr="00197434">
        <w:rPr>
          <w:color w:val="000000"/>
        </w:rPr>
        <w:t xml:space="preserve">Funding may also be used to support training for </w:t>
      </w:r>
      <w:r>
        <w:rPr>
          <w:color w:val="000000"/>
        </w:rPr>
        <w:t xml:space="preserve">any </w:t>
      </w:r>
      <w:r w:rsidRPr="00197434">
        <w:rPr>
          <w:color w:val="000000"/>
        </w:rPr>
        <w:t xml:space="preserve">personnel hired to ensure that their presence in the schools does not lead to unnecessarily harsh discipline and arrests for youth misbehaving, and that they will support other school personnel in implementing evidence-based positive behavior strategies. </w:t>
      </w:r>
    </w:p>
    <w:p w14:paraId="47F98236" w14:textId="77777777" w:rsidR="00AF3B97" w:rsidRDefault="00AF3B97" w:rsidP="0001256C">
      <w:pPr>
        <w:autoSpaceDE w:val="0"/>
        <w:autoSpaceDN w:val="0"/>
        <w:adjustRightInd w:val="0"/>
        <w:jc w:val="both"/>
        <w:rPr>
          <w:color w:val="000000"/>
        </w:rPr>
      </w:pPr>
    </w:p>
    <w:p w14:paraId="4A053160" w14:textId="77777777" w:rsidR="00E129B5" w:rsidRPr="007744F4" w:rsidRDefault="00E129B5" w:rsidP="0001256C">
      <w:pPr>
        <w:jc w:val="both"/>
        <w:rPr>
          <w:rFonts w:eastAsiaTheme="minorHAnsi"/>
        </w:rPr>
      </w:pPr>
      <w:r w:rsidRPr="007744F4">
        <w:rPr>
          <w:rFonts w:eastAsiaTheme="minorHAnsi"/>
        </w:rPr>
        <w:t>If</w:t>
      </w:r>
      <w:r w:rsidR="00446140">
        <w:rPr>
          <w:rFonts w:eastAsiaTheme="minorHAnsi"/>
        </w:rPr>
        <w:t xml:space="preserve"> a grantee under the program chooses to hire</w:t>
      </w:r>
      <w:r w:rsidRPr="007744F4">
        <w:rPr>
          <w:rFonts w:eastAsiaTheme="minorHAnsi"/>
        </w:rPr>
        <w:t xml:space="preserve"> the placement of a properly trained school resource officer</w:t>
      </w:r>
      <w:r>
        <w:t xml:space="preserve">, </w:t>
      </w:r>
      <w:r w:rsidRPr="004359B7">
        <w:t xml:space="preserve">COPS Office </w:t>
      </w:r>
      <w:r>
        <w:t xml:space="preserve">training emphasizes that there are </w:t>
      </w:r>
      <w:r w:rsidRPr="007744F4">
        <w:rPr>
          <w:rFonts w:eastAsiaTheme="minorHAnsi"/>
        </w:rPr>
        <w:t xml:space="preserve">several roles that an SRO should play </w:t>
      </w:r>
      <w:r>
        <w:rPr>
          <w:rFonts w:eastAsiaTheme="minorHAnsi"/>
        </w:rPr>
        <w:t xml:space="preserve">in order </w:t>
      </w:r>
      <w:r w:rsidRPr="007744F4">
        <w:rPr>
          <w:rFonts w:eastAsiaTheme="minorHAnsi"/>
        </w:rPr>
        <w:t xml:space="preserve">to be </w:t>
      </w:r>
      <w:r>
        <w:rPr>
          <w:rFonts w:eastAsiaTheme="minorHAnsi"/>
        </w:rPr>
        <w:t xml:space="preserve">most </w:t>
      </w:r>
      <w:r w:rsidRPr="007744F4">
        <w:rPr>
          <w:rFonts w:eastAsiaTheme="minorHAnsi"/>
        </w:rPr>
        <w:t>effective</w:t>
      </w:r>
      <w:r>
        <w:rPr>
          <w:rFonts w:eastAsiaTheme="minorHAnsi"/>
        </w:rPr>
        <w:t xml:space="preserve"> within a community policing context, including law enforcer, </w:t>
      </w:r>
      <w:r w:rsidRPr="007744F4">
        <w:rPr>
          <w:rFonts w:eastAsiaTheme="minorHAnsi"/>
        </w:rPr>
        <w:t xml:space="preserve">informal counselor, and educator.  </w:t>
      </w:r>
      <w:r>
        <w:rPr>
          <w:rFonts w:eastAsiaTheme="minorHAnsi"/>
        </w:rPr>
        <w:t xml:space="preserve">As a law enforcer, </w:t>
      </w:r>
      <w:r w:rsidRPr="007744F4">
        <w:rPr>
          <w:rFonts w:eastAsiaTheme="minorHAnsi"/>
        </w:rPr>
        <w:t>SRO</w:t>
      </w:r>
      <w:r>
        <w:rPr>
          <w:rFonts w:eastAsiaTheme="minorHAnsi"/>
        </w:rPr>
        <w:t>s</w:t>
      </w:r>
      <w:r w:rsidRPr="007744F4">
        <w:rPr>
          <w:rFonts w:eastAsiaTheme="minorHAnsi"/>
        </w:rPr>
        <w:t xml:space="preserve"> preserve order and promote safety by </w:t>
      </w:r>
      <w:r>
        <w:rPr>
          <w:rFonts w:eastAsiaTheme="minorHAnsi"/>
        </w:rPr>
        <w:t xml:space="preserve">working with school administrators to </w:t>
      </w:r>
      <w:r w:rsidRPr="007744F4">
        <w:rPr>
          <w:rFonts w:eastAsiaTheme="minorHAnsi"/>
        </w:rPr>
        <w:t>address</w:t>
      </w:r>
      <w:r>
        <w:rPr>
          <w:rFonts w:eastAsiaTheme="minorHAnsi"/>
        </w:rPr>
        <w:t xml:space="preserve"> crime and safety</w:t>
      </w:r>
      <w:r w:rsidRPr="007744F4">
        <w:rPr>
          <w:rFonts w:eastAsiaTheme="minorHAnsi"/>
        </w:rPr>
        <w:t xml:space="preserve"> problems occurring in or around the school</w:t>
      </w:r>
      <w:r>
        <w:rPr>
          <w:rFonts w:eastAsiaTheme="minorHAnsi"/>
        </w:rPr>
        <w:t>, while respecting the civil rights of students and only using arrest powers when truly warranted.  In this role, SROs also</w:t>
      </w:r>
      <w:r w:rsidRPr="007842E1">
        <w:rPr>
          <w:rFonts w:eastAsiaTheme="minorHAnsi"/>
        </w:rPr>
        <w:t xml:space="preserve"> conduct</w:t>
      </w:r>
      <w:r w:rsidRPr="007744F4">
        <w:rPr>
          <w:rFonts w:eastAsiaTheme="minorHAnsi"/>
        </w:rPr>
        <w:t xml:space="preserve"> comprehensive safety and security</w:t>
      </w:r>
      <w:r w:rsidRPr="007842E1">
        <w:rPr>
          <w:rFonts w:eastAsiaTheme="minorHAnsi"/>
        </w:rPr>
        <w:t xml:space="preserve"> assessments</w:t>
      </w:r>
      <w:r>
        <w:rPr>
          <w:rFonts w:eastAsiaTheme="minorHAnsi"/>
        </w:rPr>
        <w:t>, identify environmental changes that can reduce crime in and around schools, and serve as a liaison between the school and police.  A</w:t>
      </w:r>
      <w:r w:rsidRPr="007842E1">
        <w:rPr>
          <w:rFonts w:eastAsiaTheme="minorHAnsi"/>
        </w:rPr>
        <w:t xml:space="preserve">s a mentor, </w:t>
      </w:r>
      <w:r w:rsidR="008E4D2B">
        <w:t>SROs</w:t>
      </w:r>
      <w:r w:rsidRPr="004359B7">
        <w:t xml:space="preserve"> </w:t>
      </w:r>
      <w:r>
        <w:t>develop</w:t>
      </w:r>
      <w:r w:rsidRPr="004359B7">
        <w:t xml:space="preserve"> relationships </w:t>
      </w:r>
      <w:r>
        <w:t>with at-risk youth and help connect</w:t>
      </w:r>
      <w:r w:rsidRPr="004359B7">
        <w:t xml:space="preserve"> students to professional services within both the school (guida</w:t>
      </w:r>
      <w:r w:rsidR="009A2376">
        <w:t>nce counselors and</w:t>
      </w:r>
      <w:r w:rsidRPr="004359B7">
        <w:t xml:space="preserve"> social workers) and the community (youth and family service organizations).</w:t>
      </w:r>
      <w:r>
        <w:t xml:space="preserve">  </w:t>
      </w:r>
      <w:r w:rsidRPr="007744F4">
        <w:rPr>
          <w:rFonts w:eastAsiaTheme="minorHAnsi"/>
        </w:rPr>
        <w:t xml:space="preserve">As an educator, </w:t>
      </w:r>
      <w:r>
        <w:rPr>
          <w:rFonts w:eastAsiaTheme="minorHAnsi"/>
        </w:rPr>
        <w:t>S</w:t>
      </w:r>
      <w:r w:rsidRPr="007744F4">
        <w:rPr>
          <w:rFonts w:eastAsiaTheme="minorHAnsi"/>
        </w:rPr>
        <w:t>RO</w:t>
      </w:r>
      <w:r>
        <w:rPr>
          <w:rFonts w:eastAsiaTheme="minorHAnsi"/>
        </w:rPr>
        <w:t>s</w:t>
      </w:r>
      <w:r w:rsidRPr="007842E1">
        <w:rPr>
          <w:rFonts w:eastAsiaTheme="minorHAnsi"/>
        </w:rPr>
        <w:t xml:space="preserve"> </w:t>
      </w:r>
      <w:r>
        <w:rPr>
          <w:rFonts w:eastAsiaTheme="minorHAnsi"/>
        </w:rPr>
        <w:t xml:space="preserve">can </w:t>
      </w:r>
      <w:r w:rsidRPr="007842E1">
        <w:rPr>
          <w:rFonts w:eastAsiaTheme="minorHAnsi"/>
        </w:rPr>
        <w:t>teach</w:t>
      </w:r>
      <w:r w:rsidRPr="007744F4">
        <w:rPr>
          <w:rFonts w:eastAsiaTheme="minorHAnsi"/>
        </w:rPr>
        <w:t xml:space="preserve"> </w:t>
      </w:r>
      <w:r>
        <w:rPr>
          <w:rFonts w:eastAsiaTheme="minorHAnsi"/>
        </w:rPr>
        <w:t xml:space="preserve">on a range of </w:t>
      </w:r>
      <w:r w:rsidRPr="007744F4">
        <w:rPr>
          <w:rFonts w:eastAsiaTheme="minorHAnsi"/>
        </w:rPr>
        <w:t>topics for students, faculty and parent</w:t>
      </w:r>
      <w:r>
        <w:rPr>
          <w:rFonts w:eastAsiaTheme="minorHAnsi"/>
        </w:rPr>
        <w:t>s</w:t>
      </w:r>
      <w:r w:rsidRPr="007744F4">
        <w:rPr>
          <w:rFonts w:eastAsiaTheme="minorHAnsi"/>
        </w:rPr>
        <w:t xml:space="preserve">, </w:t>
      </w:r>
      <w:r>
        <w:rPr>
          <w:rFonts w:eastAsiaTheme="minorHAnsi"/>
        </w:rPr>
        <w:t>and encourage</w:t>
      </w:r>
      <w:r w:rsidRPr="007744F4">
        <w:rPr>
          <w:rFonts w:eastAsiaTheme="minorHAnsi"/>
        </w:rPr>
        <w:t xml:space="preserve"> students to become involved in programs geared towa</w:t>
      </w:r>
      <w:r>
        <w:rPr>
          <w:rFonts w:eastAsiaTheme="minorHAnsi"/>
        </w:rPr>
        <w:t xml:space="preserve">rd positive student behavior.  </w:t>
      </w:r>
      <w:r w:rsidRPr="004359B7">
        <w:t xml:space="preserve">When equipped with proper training and supported by </w:t>
      </w:r>
      <w:r>
        <w:t xml:space="preserve">educators and others using </w:t>
      </w:r>
      <w:r w:rsidRPr="004359B7">
        <w:t>evidence-based</w:t>
      </w:r>
      <w:r>
        <w:t xml:space="preserve"> practices, SRO’s </w:t>
      </w:r>
      <w:r w:rsidRPr="004359B7">
        <w:t xml:space="preserve">can </w:t>
      </w:r>
      <w:r>
        <w:t xml:space="preserve">play a central role in comprehensive safety and security efforts.  </w:t>
      </w:r>
      <w:r>
        <w:rPr>
          <w:rFonts w:eastAsiaTheme="minorHAnsi"/>
        </w:rPr>
        <w:t xml:space="preserve">  </w:t>
      </w:r>
    </w:p>
    <w:p w14:paraId="44440EF6" w14:textId="77777777" w:rsidR="00E129B5" w:rsidRDefault="00E129B5" w:rsidP="0001256C">
      <w:pPr>
        <w:autoSpaceDE w:val="0"/>
        <w:autoSpaceDN w:val="0"/>
        <w:adjustRightInd w:val="0"/>
        <w:jc w:val="both"/>
        <w:rPr>
          <w:color w:val="000000"/>
        </w:rPr>
      </w:pPr>
    </w:p>
    <w:p w14:paraId="01FEBA1B" w14:textId="77777777" w:rsidR="00446140" w:rsidRPr="00124A9C" w:rsidRDefault="00446140" w:rsidP="0001256C">
      <w:pPr>
        <w:tabs>
          <w:tab w:val="left" w:pos="4860"/>
          <w:tab w:val="left" w:pos="7020"/>
        </w:tabs>
        <w:jc w:val="both"/>
      </w:pPr>
      <w:r w:rsidRPr="00124A9C">
        <w:t>Grantees may also choose to improve school and community safety by expanding school-based mental health programs through the hiring of qualified mental health professionals.  Such qualified mental health professionals can improve safety by providing a broad spectrum of assessment, prevention, crisis response, counseling, consultation, and referral activities and services to students and the school community.  In addition, expanded school-based mental health programs can promote collaboration with and provide training to school staff and SROs on best practices for providing students the supports they need to address social and emotional issues, preventing and responding to crises, and identifying and intervening early to address serious mental health issues and potential high-risk behavior.</w:t>
      </w:r>
    </w:p>
    <w:p w14:paraId="24363CE8" w14:textId="77777777" w:rsidR="00DF3008" w:rsidRDefault="00DF3008" w:rsidP="0001256C">
      <w:pPr>
        <w:tabs>
          <w:tab w:val="left" w:pos="4860"/>
          <w:tab w:val="left" w:pos="7020"/>
        </w:tabs>
        <w:jc w:val="both"/>
        <w:rPr>
          <w:b/>
          <w:u w:val="single"/>
        </w:rPr>
      </w:pPr>
    </w:p>
    <w:p w14:paraId="4FCB525F" w14:textId="77777777" w:rsidR="004C3A7B" w:rsidRPr="003239E9" w:rsidRDefault="004C3A7B" w:rsidP="0001256C">
      <w:pPr>
        <w:tabs>
          <w:tab w:val="left" w:pos="4860"/>
          <w:tab w:val="left" w:pos="7020"/>
        </w:tabs>
        <w:jc w:val="both"/>
        <w:rPr>
          <w:b/>
          <w:u w:val="single"/>
        </w:rPr>
      </w:pPr>
      <w:r w:rsidRPr="003239E9">
        <w:rPr>
          <w:b/>
          <w:u w:val="single"/>
        </w:rPr>
        <w:t>COPS Methamphetamine</w:t>
      </w:r>
    </w:p>
    <w:p w14:paraId="4623D8EF" w14:textId="77777777" w:rsidR="004C3A7B" w:rsidRPr="00C57E3E" w:rsidRDefault="004C3A7B" w:rsidP="0001256C">
      <w:pPr>
        <w:jc w:val="both"/>
        <w:rPr>
          <w:sz w:val="20"/>
        </w:rPr>
      </w:pPr>
      <w:r>
        <w:t xml:space="preserve">COPS Methamphetamine </w:t>
      </w:r>
      <w:r w:rsidR="00FA48D4">
        <w:t>funding</w:t>
      </w:r>
      <w:r>
        <w:t xml:space="preserve"> assist</w:t>
      </w:r>
      <w:r w:rsidR="00FA48D4">
        <w:t>s</w:t>
      </w:r>
      <w:r>
        <w:t xml:space="preserve"> state, local, and tribal law enforcement agencies in combating methamphetamine production and distribution, to target drug ‘hot spots’, and to remove and dispose of hazardous materials at clandestine methamphetamine labs. Since 1998, COPS has received more than </w:t>
      </w:r>
      <w:r w:rsidRPr="006049FF">
        <w:t>$</w:t>
      </w:r>
      <w:r>
        <w:t>500 million in Methamphetamine funding to make grant awards to combat the spread of methamphetamine nationwide as well as to provide funding to the Drug Enforcement Administration (DEA) for meth lab clean-up activities.</w:t>
      </w:r>
    </w:p>
    <w:p w14:paraId="68461B2B" w14:textId="77777777" w:rsidR="004C3A7B" w:rsidRPr="007B2CC5" w:rsidRDefault="004C3A7B" w:rsidP="0001256C">
      <w:pPr>
        <w:tabs>
          <w:tab w:val="left" w:pos="1080"/>
          <w:tab w:val="left" w:pos="3600"/>
          <w:tab w:val="left" w:pos="5580"/>
        </w:tabs>
        <w:ind w:left="720" w:hanging="720"/>
        <w:jc w:val="both"/>
        <w:rPr>
          <w:iCs/>
        </w:rPr>
      </w:pPr>
    </w:p>
    <w:p w14:paraId="648D325C" w14:textId="77777777" w:rsidR="004C3A7B" w:rsidRDefault="004C3A7B" w:rsidP="0001256C">
      <w:pPr>
        <w:tabs>
          <w:tab w:val="left" w:pos="1080"/>
          <w:tab w:val="left" w:pos="3600"/>
          <w:tab w:val="left" w:pos="5580"/>
        </w:tabs>
        <w:jc w:val="both"/>
        <w:rPr>
          <w:iCs/>
        </w:rPr>
      </w:pPr>
      <w:r w:rsidRPr="007B2CC5">
        <w:rPr>
          <w:iCs/>
        </w:rPr>
        <w:lastRenderedPageBreak/>
        <w:t>In FY 201</w:t>
      </w:r>
      <w:r>
        <w:rPr>
          <w:iCs/>
        </w:rPr>
        <w:t>4</w:t>
      </w:r>
      <w:r w:rsidRPr="007B2CC5">
        <w:rPr>
          <w:iCs/>
        </w:rPr>
        <w:t xml:space="preserve">, the COPS Office requests </w:t>
      </w:r>
      <w:r>
        <w:rPr>
          <w:iCs/>
        </w:rPr>
        <w:t xml:space="preserve">$12.5 million to </w:t>
      </w:r>
      <w:r w:rsidRPr="00A30A3C">
        <w:rPr>
          <w:iCs/>
        </w:rPr>
        <w:t>provide assistance</w:t>
      </w:r>
      <w:r w:rsidR="00F369F5">
        <w:rPr>
          <w:iCs/>
        </w:rPr>
        <w:t xml:space="preserve"> through the DEA</w:t>
      </w:r>
      <w:r w:rsidRPr="00A30A3C">
        <w:rPr>
          <w:iCs/>
        </w:rPr>
        <w:t xml:space="preserve"> to help stem clandestine methamphetamine manufacture and its consequences</w:t>
      </w:r>
      <w:r>
        <w:rPr>
          <w:iCs/>
        </w:rPr>
        <w:t>.</w:t>
      </w:r>
    </w:p>
    <w:p w14:paraId="17D1E949" w14:textId="77777777" w:rsidR="00794643" w:rsidRDefault="00794643" w:rsidP="0001256C">
      <w:pPr>
        <w:jc w:val="both"/>
        <w:rPr>
          <w:b/>
        </w:rPr>
      </w:pPr>
    </w:p>
    <w:p w14:paraId="6AEF64A4" w14:textId="77777777" w:rsidR="00CE1F45" w:rsidRDefault="00794643" w:rsidP="0001256C">
      <w:pPr>
        <w:jc w:val="both"/>
        <w:rPr>
          <w:b/>
        </w:rPr>
      </w:pPr>
      <w:r w:rsidRPr="009273C7">
        <w:rPr>
          <w:b/>
        </w:rPr>
        <w:t xml:space="preserve">Activity: Supporting Law Enforcement by Advancing Community Policing through </w:t>
      </w:r>
      <w:r>
        <w:rPr>
          <w:b/>
        </w:rPr>
        <w:t xml:space="preserve">Knowledge </w:t>
      </w:r>
      <w:r w:rsidRPr="009273C7">
        <w:rPr>
          <w:b/>
        </w:rPr>
        <w:t>Resources</w:t>
      </w:r>
    </w:p>
    <w:p w14:paraId="7CF4E095" w14:textId="77777777" w:rsidR="00407D91" w:rsidRPr="000F5BB6" w:rsidRDefault="00407D91" w:rsidP="0001256C">
      <w:pPr>
        <w:pStyle w:val="NormalWeb"/>
        <w:tabs>
          <w:tab w:val="left" w:pos="0"/>
          <w:tab w:val="left" w:pos="2340"/>
        </w:tabs>
        <w:jc w:val="both"/>
        <w:rPr>
          <w:b/>
        </w:rPr>
      </w:pPr>
      <w:r w:rsidRPr="000F5BB6">
        <w:rPr>
          <w:b/>
        </w:rPr>
        <w:t>COPS Office Technical Assistance Support Continuum</w:t>
      </w:r>
      <w:r w:rsidR="000F5BB6">
        <w:rPr>
          <w:b/>
        </w:rPr>
        <w:t>:</w:t>
      </w:r>
    </w:p>
    <w:p w14:paraId="5958C1D1" w14:textId="77777777" w:rsidR="00407D91" w:rsidRDefault="00407D91" w:rsidP="009A2376">
      <w:pPr>
        <w:rPr>
          <w:rFonts w:ascii="Calibri" w:eastAsia="Calibri" w:hAnsi="Calibri"/>
          <w:b/>
          <w:sz w:val="28"/>
          <w:szCs w:val="28"/>
        </w:rPr>
        <w:sectPr w:rsidR="00407D91" w:rsidSect="00C5780B">
          <w:footerReference w:type="default" r:id="rId14"/>
          <w:footerReference w:type="first" r:id="rId15"/>
          <w:pgSz w:w="12240" w:h="15840" w:code="1"/>
          <w:pgMar w:top="1152" w:right="1440" w:bottom="1152" w:left="1440" w:header="432" w:footer="432" w:gutter="0"/>
          <w:pgNumType w:start="0"/>
          <w:cols w:space="720"/>
          <w:titlePg/>
          <w:docGrid w:linePitch="326"/>
        </w:sectPr>
      </w:pPr>
      <w:r w:rsidRPr="00407D91">
        <w:rPr>
          <w:iCs/>
        </w:rPr>
        <w:t xml:space="preserve">The COPS Office, </w:t>
      </w:r>
      <w:r w:rsidR="00FA48D4">
        <w:rPr>
          <w:iCs/>
        </w:rPr>
        <w:t>since</w:t>
      </w:r>
      <w:r w:rsidRPr="00407D91">
        <w:rPr>
          <w:iCs/>
        </w:rPr>
        <w:t xml:space="preserve"> the beginning of its mission to advance community policing, has always emphasized the importance of training and technical assistance to the field. While training provides foundational knowledge of the tenets of problem solving, community engagement, and organizational change technical assistance allows agencies and the community to apply these concepts to their own unique crime and relationship issues. </w:t>
      </w:r>
      <w:r w:rsidR="006A69F8" w:rsidRPr="00407D91">
        <w:rPr>
          <w:iCs/>
        </w:rPr>
        <w:t>Th</w:t>
      </w:r>
      <w:r w:rsidR="006A69F8">
        <w:rPr>
          <w:iCs/>
        </w:rPr>
        <w:t>e following</w:t>
      </w:r>
      <w:r w:rsidR="006A69F8" w:rsidRPr="00407D91">
        <w:rPr>
          <w:iCs/>
        </w:rPr>
        <w:t xml:space="preserve"> </w:t>
      </w:r>
      <w:r w:rsidRPr="00407D91">
        <w:rPr>
          <w:iCs/>
        </w:rPr>
        <w:t xml:space="preserve">chart shows the evolution of how the COPS Office provides technical assistance support. At its most basic level, the COPS knowledge products provided in print and electronic format allow interested parties to self-select topics and solutions, often upon recommendations from COPS </w:t>
      </w:r>
      <w:r w:rsidR="006A69F8">
        <w:rPr>
          <w:iCs/>
        </w:rPr>
        <w:t xml:space="preserve">Office </w:t>
      </w:r>
      <w:r w:rsidRPr="00407D91">
        <w:rPr>
          <w:iCs/>
        </w:rPr>
        <w:t>staff. A more targeted and in-depth approach to technical assistance is provided by specific grantees</w:t>
      </w:r>
      <w:r w:rsidR="00FA48D4">
        <w:rPr>
          <w:iCs/>
        </w:rPr>
        <w:t>,</w:t>
      </w:r>
      <w:r w:rsidRPr="00407D91">
        <w:rPr>
          <w:iCs/>
        </w:rPr>
        <w:t xml:space="preserve"> charged by </w:t>
      </w:r>
      <w:r w:rsidR="006A69F8">
        <w:rPr>
          <w:iCs/>
        </w:rPr>
        <w:t xml:space="preserve">the </w:t>
      </w:r>
      <w:r w:rsidRPr="00407D91">
        <w:rPr>
          <w:iCs/>
        </w:rPr>
        <w:t xml:space="preserve">COPS </w:t>
      </w:r>
      <w:r w:rsidR="006A69F8">
        <w:rPr>
          <w:iCs/>
        </w:rPr>
        <w:t xml:space="preserve">Office </w:t>
      </w:r>
      <w:r w:rsidRPr="00407D91">
        <w:rPr>
          <w:iCs/>
        </w:rPr>
        <w:t>through cooperative agreements</w:t>
      </w:r>
      <w:r w:rsidR="006A69F8">
        <w:rPr>
          <w:iCs/>
        </w:rPr>
        <w:t>,</w:t>
      </w:r>
      <w:r w:rsidRPr="00407D91">
        <w:rPr>
          <w:iCs/>
        </w:rPr>
        <w:t xml:space="preserve"> to various agencies through on-site or targeted outreach. The most in-depth technical assistance is provided once an assessment is done and reports with recommendations are generated </w:t>
      </w:r>
      <w:r w:rsidR="006A69F8">
        <w:rPr>
          <w:iCs/>
        </w:rPr>
        <w:t xml:space="preserve">that are </w:t>
      </w:r>
      <w:r w:rsidRPr="00407D91">
        <w:rPr>
          <w:iCs/>
        </w:rPr>
        <w:t xml:space="preserve">unique to that law enforcement agency. Usually containing promising practices information and advice, this level of technical assistance is designed to promote the organizational change necessary to achieve a high level of </w:t>
      </w:r>
      <w:r w:rsidR="00FA48D4">
        <w:rPr>
          <w:iCs/>
        </w:rPr>
        <w:t xml:space="preserve">community policing </w:t>
      </w:r>
      <w:r w:rsidRPr="00407D91">
        <w:rPr>
          <w:iCs/>
        </w:rPr>
        <w:t>implementation</w:t>
      </w:r>
      <w:r w:rsidRPr="00273975">
        <w:t>.</w:t>
      </w:r>
    </w:p>
    <w:p w14:paraId="3D105B59" w14:textId="77777777" w:rsidR="00E06A15" w:rsidRPr="00CE1F45" w:rsidRDefault="00E06A15" w:rsidP="008E4D2B">
      <w:pPr>
        <w:contextualSpacing/>
        <w:jc w:val="center"/>
        <w:rPr>
          <w:rFonts w:ascii="Calibri" w:eastAsia="Calibri" w:hAnsi="Calibri"/>
          <w:b/>
          <w:sz w:val="28"/>
          <w:szCs w:val="28"/>
        </w:rPr>
      </w:pPr>
      <w:r w:rsidRPr="00CE1F45">
        <w:rPr>
          <w:rFonts w:ascii="Calibri" w:eastAsia="Calibri" w:hAnsi="Calibri"/>
          <w:b/>
          <w:sz w:val="28"/>
          <w:szCs w:val="28"/>
        </w:rPr>
        <w:lastRenderedPageBreak/>
        <w:t xml:space="preserve">COPS OFFICE TECHNICAL ASSISTANCE </w:t>
      </w:r>
      <w:r>
        <w:rPr>
          <w:rFonts w:ascii="Calibri" w:eastAsia="Calibri" w:hAnsi="Calibri"/>
          <w:b/>
          <w:sz w:val="28"/>
          <w:szCs w:val="28"/>
        </w:rPr>
        <w:t xml:space="preserve">(TA) </w:t>
      </w:r>
      <w:r w:rsidRPr="00CE1F45">
        <w:rPr>
          <w:rFonts w:ascii="Calibri" w:eastAsia="Calibri" w:hAnsi="Calibri"/>
          <w:b/>
          <w:sz w:val="28"/>
          <w:szCs w:val="28"/>
        </w:rPr>
        <w:t>SUPPORT CONTINUUM</w:t>
      </w:r>
    </w:p>
    <w:p w14:paraId="378D38CE" w14:textId="697B5CEA" w:rsidR="00E06A15" w:rsidRPr="00CE1F45" w:rsidRDefault="00605688" w:rsidP="008E4D2B">
      <w:pPr>
        <w:contextualSpacing/>
        <w:rPr>
          <w:rFonts w:ascii="Calibri" w:eastAsia="Calibri" w:hAnsi="Calibri"/>
          <w:sz w:val="22"/>
          <w:szCs w:val="22"/>
        </w:rPr>
      </w:pPr>
      <w:r>
        <w:rPr>
          <w:noProof/>
        </w:rPr>
        <mc:AlternateContent>
          <mc:Choice Requires="wps">
            <w:drawing>
              <wp:anchor distT="0" distB="0" distL="114300" distR="114300" simplePos="0" relativeHeight="251664384" behindDoc="0" locked="0" layoutInCell="1" allowOverlap="1" wp14:anchorId="6F326F38" wp14:editId="343ED4ED">
                <wp:simplePos x="0" y="0"/>
                <wp:positionH relativeFrom="column">
                  <wp:posOffset>5955030</wp:posOffset>
                </wp:positionH>
                <wp:positionV relativeFrom="paragraph">
                  <wp:posOffset>134620</wp:posOffset>
                </wp:positionV>
                <wp:extent cx="3227070" cy="295275"/>
                <wp:effectExtent l="0" t="0" r="0"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7070" cy="295275"/>
                        </a:xfrm>
                        <a:prstGeom prst="rect">
                          <a:avLst/>
                        </a:prstGeom>
                        <a:solidFill>
                          <a:sysClr val="windowText" lastClr="000000">
                            <a:lumMod val="75000"/>
                            <a:lumOff val="25000"/>
                          </a:sysClr>
                        </a:solidFill>
                        <a:ln w="25400" cap="flat" cmpd="sng" algn="ctr">
                          <a:solidFill>
                            <a:srgbClr val="9BBB59"/>
                          </a:solidFill>
                          <a:prstDash val="solid"/>
                          <a:headEnd/>
                          <a:tailEnd/>
                        </a:ln>
                        <a:effectLst/>
                      </wps:spPr>
                      <wps:txbx>
                        <w:txbxContent>
                          <w:p w14:paraId="11320D59" w14:textId="77777777" w:rsidR="00657CA3" w:rsidRPr="009D6C91" w:rsidRDefault="00657CA3" w:rsidP="00E06A15">
                            <w:pPr>
                              <w:jc w:val="center"/>
                              <w:rPr>
                                <w:b/>
                                <w:color w:val="FFFFFF" w:themeColor="background1"/>
                              </w:rPr>
                            </w:pPr>
                            <w:r>
                              <w:rPr>
                                <w:b/>
                                <w:color w:val="FFFFFF" w:themeColor="background1"/>
                              </w:rPr>
                              <w:t>CIVIL RIGHTS DIVISION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326F38" id="_x0000_t202" coordsize="21600,21600" o:spt="202" path="m,l,21600r21600,l21600,xe">
                <v:stroke joinstyle="miter"/>
                <v:path gradientshapeok="t" o:connecttype="rect"/>
              </v:shapetype>
              <v:shape id="Text Box 4" o:spid="_x0000_s1026" type="#_x0000_t202" style="position:absolute;margin-left:468.9pt;margin-top:10.6pt;width:254.1pt;height:23.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" fillcolor="#404040" strokecolor="#9bbb59" strokeweight="2pt">
                <v:textbox>
                  <w:txbxContent>
                    <w:p w14:paraId="11320D59" w14:textId="77777777" w:rsidR="00657CA3" w:rsidRPr="009D6C91" w:rsidRDefault="00657CA3" w:rsidP="00E06A15">
                      <w:pPr>
                        <w:jc w:val="center"/>
                        <w:rPr>
                          <w:b/>
                          <w:color w:val="FFFFFF" w:themeColor="background1"/>
                        </w:rPr>
                      </w:pPr>
                      <w:r>
                        <w:rPr>
                          <w:b/>
                          <w:color w:val="FFFFFF" w:themeColor="background1"/>
                        </w:rPr>
                        <w:t>CIVIL RIGHTS DIVISION</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7CE1A6FC" wp14:editId="13699355">
                <wp:simplePos x="0" y="0"/>
                <wp:positionH relativeFrom="column">
                  <wp:posOffset>962025</wp:posOffset>
                </wp:positionH>
                <wp:positionV relativeFrom="paragraph">
                  <wp:posOffset>133985</wp:posOffset>
                </wp:positionV>
                <wp:extent cx="5895975" cy="295275"/>
                <wp:effectExtent l="0" t="0" r="9525"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295275"/>
                        </a:xfrm>
                        <a:prstGeom prst="rect">
                          <a:avLst/>
                        </a:prstGeom>
                        <a:solidFill>
                          <a:sysClr val="windowText" lastClr="000000">
                            <a:lumMod val="75000"/>
                            <a:lumOff val="25000"/>
                          </a:sysClr>
                        </a:solidFill>
                        <a:ln w="25400" cap="flat" cmpd="sng" algn="ctr">
                          <a:solidFill>
                            <a:srgbClr val="9BBB59"/>
                          </a:solidFill>
                          <a:prstDash val="solid"/>
                          <a:headEnd/>
                          <a:tailEnd/>
                        </a:ln>
                        <a:effectLst/>
                      </wps:spPr>
                      <wps:txbx>
                        <w:txbxContent>
                          <w:p w14:paraId="787A69C1" w14:textId="77777777" w:rsidR="00657CA3" w:rsidRPr="009D6C91" w:rsidRDefault="00657CA3" w:rsidP="00E06A15">
                            <w:pPr>
                              <w:jc w:val="center"/>
                              <w:rPr>
                                <w:b/>
                                <w:color w:val="FFFFFF" w:themeColor="background1"/>
                              </w:rPr>
                            </w:pPr>
                            <w:r w:rsidRPr="009D6C91">
                              <w:rPr>
                                <w:b/>
                                <w:color w:val="FFFFFF" w:themeColor="background1"/>
                              </w:rPr>
                              <w:t>COPS OFFICE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E1A6FC" id="Text Box 2" o:spid="_x0000_s1027" type="#_x0000_t202" style="position:absolute;margin-left:75.75pt;margin-top:10.55pt;width:464.25pt;height:2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" fillcolor="#404040" strokecolor="#9bbb59" strokeweight="2pt">
                <v:textbox>
                  <w:txbxContent>
                    <w:p w14:paraId="787A69C1" w14:textId="77777777" w:rsidR="00657CA3" w:rsidRPr="009D6C91" w:rsidRDefault="00657CA3" w:rsidP="00E06A15">
                      <w:pPr>
                        <w:jc w:val="center"/>
                        <w:rPr>
                          <w:b/>
                          <w:color w:val="FFFFFF" w:themeColor="background1"/>
                        </w:rPr>
                      </w:pPr>
                      <w:r w:rsidRPr="009D6C91">
                        <w:rPr>
                          <w:b/>
                          <w:color w:val="FFFFFF" w:themeColor="background1"/>
                        </w:rPr>
                        <w:t>COPS OFFICE</w:t>
                      </w:r>
                    </w:p>
                  </w:txbxContent>
                </v:textbox>
              </v:shape>
            </w:pict>
          </mc:Fallback>
        </mc:AlternateContent>
      </w:r>
    </w:p>
    <w:p w14:paraId="3FC8F7A6" w14:textId="77777777" w:rsidR="00E06A15" w:rsidRPr="00CE1F45" w:rsidRDefault="00E06A15" w:rsidP="008E4D2B">
      <w:pPr>
        <w:contextualSpacing/>
        <w:rPr>
          <w:rFonts w:ascii="Calibri" w:eastAsia="Calibri" w:hAnsi="Calibri"/>
          <w:sz w:val="22"/>
          <w:szCs w:val="22"/>
        </w:rPr>
      </w:pPr>
    </w:p>
    <w:p w14:paraId="1BD179B8" w14:textId="77777777" w:rsidR="00E06A15" w:rsidRPr="00CE1F45" w:rsidRDefault="00E06A15" w:rsidP="008E4D2B">
      <w:pPr>
        <w:contextualSpacing/>
        <w:rPr>
          <w:rFonts w:ascii="Calibri" w:eastAsia="Calibri" w:hAnsi="Calibri"/>
          <w:sz w:val="22"/>
          <w:szCs w:val="22"/>
        </w:rPr>
      </w:pPr>
    </w:p>
    <w:tbl>
      <w:tblPr>
        <w:tblStyle w:val="TableGrid1"/>
        <w:tblW w:w="14940" w:type="dxa"/>
        <w:tblInd w:w="288" w:type="dxa"/>
        <w:tblLayout w:type="fixed"/>
        <w:tblLook w:val="04A0" w:firstRow="1" w:lastRow="0" w:firstColumn="1" w:lastColumn="0" w:noHBand="0" w:noVBand="1"/>
      </w:tblPr>
      <w:tblGrid>
        <w:gridCol w:w="1260"/>
        <w:gridCol w:w="1980"/>
        <w:gridCol w:w="1620"/>
        <w:gridCol w:w="2250"/>
        <w:gridCol w:w="2070"/>
        <w:gridCol w:w="1980"/>
        <w:gridCol w:w="2070"/>
        <w:gridCol w:w="1710"/>
      </w:tblGrid>
      <w:tr w:rsidR="0032298A" w:rsidRPr="00CE1F45" w14:paraId="2A9C6A5D" w14:textId="77777777" w:rsidTr="00536A32">
        <w:trPr>
          <w:trHeight w:val="225"/>
        </w:trPr>
        <w:tc>
          <w:tcPr>
            <w:tcW w:w="1260" w:type="dxa"/>
            <w:tcBorders>
              <w:top w:val="nil"/>
              <w:left w:val="nil"/>
              <w:bottom w:val="single" w:sz="4" w:space="0" w:color="auto"/>
              <w:right w:val="nil"/>
            </w:tcBorders>
          </w:tcPr>
          <w:p w14:paraId="4E373639" w14:textId="77777777" w:rsidR="00E06A15" w:rsidRPr="00CE1F45" w:rsidRDefault="00E06A15" w:rsidP="008E4D2B">
            <w:pPr>
              <w:rPr>
                <w:b/>
              </w:rPr>
            </w:pPr>
          </w:p>
        </w:tc>
        <w:tc>
          <w:tcPr>
            <w:tcW w:w="1980" w:type="dxa"/>
            <w:tcBorders>
              <w:top w:val="nil"/>
              <w:left w:val="nil"/>
              <w:bottom w:val="single" w:sz="4" w:space="0" w:color="auto"/>
              <w:right w:val="nil"/>
            </w:tcBorders>
          </w:tcPr>
          <w:p w14:paraId="37281342" w14:textId="77777777" w:rsidR="00E06A15" w:rsidRPr="00CE1F45" w:rsidRDefault="00E06A15" w:rsidP="008E4D2B">
            <w:pPr>
              <w:rPr>
                <w:b/>
              </w:rPr>
            </w:pPr>
          </w:p>
        </w:tc>
        <w:tc>
          <w:tcPr>
            <w:tcW w:w="1620" w:type="dxa"/>
            <w:tcBorders>
              <w:top w:val="nil"/>
              <w:left w:val="nil"/>
              <w:bottom w:val="single" w:sz="4" w:space="0" w:color="auto"/>
              <w:right w:val="single" w:sz="18" w:space="0" w:color="auto"/>
            </w:tcBorders>
          </w:tcPr>
          <w:p w14:paraId="177789B2" w14:textId="77777777" w:rsidR="00E06A15" w:rsidRPr="00CE1F45" w:rsidRDefault="00E06A15" w:rsidP="008E4D2B">
            <w:pPr>
              <w:rPr>
                <w:b/>
              </w:rPr>
            </w:pPr>
          </w:p>
        </w:tc>
        <w:tc>
          <w:tcPr>
            <w:tcW w:w="4320" w:type="dxa"/>
            <w:gridSpan w:val="2"/>
            <w:tcBorders>
              <w:top w:val="single" w:sz="18" w:space="0" w:color="auto"/>
              <w:left w:val="single" w:sz="18" w:space="0" w:color="auto"/>
              <w:bottom w:val="single" w:sz="4" w:space="0" w:color="auto"/>
              <w:right w:val="single" w:sz="18" w:space="0" w:color="auto"/>
            </w:tcBorders>
            <w:shd w:val="clear" w:color="auto" w:fill="A6A6A6" w:themeFill="background1" w:themeFillShade="A6"/>
          </w:tcPr>
          <w:p w14:paraId="5FEA2669" w14:textId="77777777" w:rsidR="00E06A15" w:rsidRPr="00CE1F45" w:rsidRDefault="00E06A15" w:rsidP="008E4D2B">
            <w:pPr>
              <w:rPr>
                <w:b/>
              </w:rPr>
            </w:pPr>
            <w:r w:rsidRPr="00CE1F45">
              <w:rPr>
                <w:b/>
              </w:rPr>
              <w:t>Assessment Models</w:t>
            </w:r>
          </w:p>
        </w:tc>
        <w:tc>
          <w:tcPr>
            <w:tcW w:w="1980" w:type="dxa"/>
            <w:tcBorders>
              <w:top w:val="nil"/>
              <w:left w:val="single" w:sz="18" w:space="0" w:color="auto"/>
              <w:bottom w:val="single" w:sz="4" w:space="0" w:color="auto"/>
              <w:right w:val="nil"/>
            </w:tcBorders>
          </w:tcPr>
          <w:p w14:paraId="34D0858D" w14:textId="77777777" w:rsidR="00E06A15" w:rsidRPr="00CE1F45" w:rsidRDefault="00E06A15" w:rsidP="008E4D2B">
            <w:pPr>
              <w:rPr>
                <w:b/>
              </w:rPr>
            </w:pPr>
          </w:p>
        </w:tc>
        <w:tc>
          <w:tcPr>
            <w:tcW w:w="2070" w:type="dxa"/>
            <w:tcBorders>
              <w:top w:val="nil"/>
              <w:left w:val="nil"/>
              <w:bottom w:val="single" w:sz="4" w:space="0" w:color="auto"/>
              <w:right w:val="nil"/>
            </w:tcBorders>
          </w:tcPr>
          <w:p w14:paraId="3EA05248" w14:textId="77777777" w:rsidR="00E06A15" w:rsidRPr="00CE1F45" w:rsidRDefault="00E06A15" w:rsidP="008E4D2B">
            <w:pPr>
              <w:rPr>
                <w:b/>
              </w:rPr>
            </w:pPr>
          </w:p>
        </w:tc>
        <w:tc>
          <w:tcPr>
            <w:tcW w:w="1710" w:type="dxa"/>
            <w:tcBorders>
              <w:top w:val="nil"/>
              <w:left w:val="nil"/>
              <w:bottom w:val="single" w:sz="4" w:space="0" w:color="auto"/>
              <w:right w:val="nil"/>
            </w:tcBorders>
          </w:tcPr>
          <w:p w14:paraId="278168C1" w14:textId="77777777" w:rsidR="00E06A15" w:rsidRPr="00CE1F45" w:rsidRDefault="00E06A15" w:rsidP="008E4D2B">
            <w:pPr>
              <w:rPr>
                <w:b/>
              </w:rPr>
            </w:pPr>
          </w:p>
        </w:tc>
      </w:tr>
      <w:tr w:rsidR="0032298A" w:rsidRPr="00CE1F45" w14:paraId="14E661FB" w14:textId="77777777" w:rsidTr="00536A32">
        <w:tc>
          <w:tcPr>
            <w:tcW w:w="1260" w:type="dxa"/>
            <w:vMerge w:val="restart"/>
            <w:tcBorders>
              <w:top w:val="single" w:sz="4" w:space="0" w:color="auto"/>
              <w:left w:val="single" w:sz="4" w:space="0" w:color="auto"/>
              <w:right w:val="single" w:sz="4" w:space="0" w:color="auto"/>
            </w:tcBorders>
            <w:shd w:val="clear" w:color="auto" w:fill="A6A6A6" w:themeFill="background1" w:themeFillShade="A6"/>
            <w:textDirection w:val="btLr"/>
            <w:vAlign w:val="center"/>
          </w:tcPr>
          <w:p w14:paraId="4DA938BE" w14:textId="77777777" w:rsidR="00E06A15" w:rsidRPr="007C7593" w:rsidRDefault="00E06A15" w:rsidP="008E4D2B">
            <w:pPr>
              <w:ind w:left="113" w:right="113"/>
              <w:rPr>
                <w:b/>
              </w:rPr>
            </w:pPr>
            <w:r w:rsidRPr="007C7593">
              <w:rPr>
                <w:b/>
              </w:rPr>
              <w:t>Description of Technical Assistance</w:t>
            </w:r>
          </w:p>
        </w:tc>
        <w:tc>
          <w:tcPr>
            <w:tcW w:w="1980" w:type="dxa"/>
            <w:tcBorders>
              <w:top w:val="single" w:sz="4" w:space="0" w:color="auto"/>
              <w:left w:val="single" w:sz="4" w:space="0" w:color="auto"/>
              <w:bottom w:val="single" w:sz="4" w:space="0" w:color="auto"/>
            </w:tcBorders>
            <w:shd w:val="clear" w:color="auto" w:fill="BFBFBF" w:themeFill="background1" w:themeFillShade="BF"/>
          </w:tcPr>
          <w:p w14:paraId="6FF2AB62" w14:textId="77777777" w:rsidR="00E06A15" w:rsidRPr="00CE1F45" w:rsidRDefault="00E06A15" w:rsidP="008E4D2B">
            <w:pPr>
              <w:rPr>
                <w:b/>
              </w:rPr>
            </w:pPr>
            <w:r w:rsidRPr="00CE1F45">
              <w:rPr>
                <w:b/>
              </w:rPr>
              <w:t>Basic</w:t>
            </w:r>
          </w:p>
        </w:tc>
        <w:tc>
          <w:tcPr>
            <w:tcW w:w="1620" w:type="dxa"/>
            <w:tcBorders>
              <w:top w:val="single" w:sz="4" w:space="0" w:color="auto"/>
              <w:bottom w:val="single" w:sz="4" w:space="0" w:color="auto"/>
              <w:right w:val="single" w:sz="18" w:space="0" w:color="auto"/>
            </w:tcBorders>
            <w:shd w:val="clear" w:color="auto" w:fill="BFBFBF" w:themeFill="background1" w:themeFillShade="BF"/>
          </w:tcPr>
          <w:p w14:paraId="4BA5D10D" w14:textId="77777777" w:rsidR="00E06A15" w:rsidRPr="00CE1F45" w:rsidRDefault="00E06A15" w:rsidP="008E4D2B">
            <w:pPr>
              <w:rPr>
                <w:b/>
              </w:rPr>
            </w:pPr>
            <w:r w:rsidRPr="00CE1F45">
              <w:rPr>
                <w:b/>
              </w:rPr>
              <w:t>Grantee Resources</w:t>
            </w:r>
          </w:p>
        </w:tc>
        <w:tc>
          <w:tcPr>
            <w:tcW w:w="2250" w:type="dxa"/>
            <w:tcBorders>
              <w:top w:val="single" w:sz="4" w:space="0" w:color="auto"/>
              <w:left w:val="single" w:sz="18" w:space="0" w:color="auto"/>
              <w:bottom w:val="single" w:sz="4" w:space="0" w:color="auto"/>
              <w:right w:val="dashed" w:sz="4" w:space="0" w:color="auto"/>
            </w:tcBorders>
            <w:shd w:val="clear" w:color="auto" w:fill="BFBFBF" w:themeFill="background1" w:themeFillShade="BF"/>
          </w:tcPr>
          <w:p w14:paraId="3351C2B4" w14:textId="77777777" w:rsidR="00E06A15" w:rsidRPr="00CE1F45" w:rsidRDefault="00E06A15" w:rsidP="008E4D2B">
            <w:pPr>
              <w:rPr>
                <w:b/>
              </w:rPr>
            </w:pPr>
            <w:r w:rsidRPr="00CE1F45">
              <w:rPr>
                <w:b/>
              </w:rPr>
              <w:t>Critical Incident Review</w:t>
            </w:r>
          </w:p>
        </w:tc>
        <w:tc>
          <w:tcPr>
            <w:tcW w:w="2070" w:type="dxa"/>
            <w:tcBorders>
              <w:top w:val="single" w:sz="4" w:space="0" w:color="auto"/>
              <w:left w:val="dashed" w:sz="4" w:space="0" w:color="auto"/>
              <w:bottom w:val="single" w:sz="4" w:space="0" w:color="auto"/>
              <w:right w:val="single" w:sz="18" w:space="0" w:color="auto"/>
            </w:tcBorders>
            <w:shd w:val="clear" w:color="auto" w:fill="BFBFBF" w:themeFill="background1" w:themeFillShade="BF"/>
          </w:tcPr>
          <w:p w14:paraId="62A74B34" w14:textId="77777777" w:rsidR="00E06A15" w:rsidRPr="00CE1F45" w:rsidRDefault="00E06A15" w:rsidP="008E4D2B">
            <w:pPr>
              <w:rPr>
                <w:b/>
              </w:rPr>
            </w:pPr>
            <w:r w:rsidRPr="00CE1F45">
              <w:rPr>
                <w:b/>
              </w:rPr>
              <w:t>Collaborative Reform Model</w:t>
            </w:r>
          </w:p>
        </w:tc>
        <w:tc>
          <w:tcPr>
            <w:tcW w:w="1980" w:type="dxa"/>
            <w:tcBorders>
              <w:top w:val="single" w:sz="4" w:space="0" w:color="auto"/>
              <w:left w:val="single" w:sz="18" w:space="0" w:color="auto"/>
              <w:bottom w:val="single" w:sz="4" w:space="0" w:color="auto"/>
            </w:tcBorders>
            <w:shd w:val="clear" w:color="auto" w:fill="BFBFBF" w:themeFill="background1" w:themeFillShade="BF"/>
          </w:tcPr>
          <w:p w14:paraId="46FD0599" w14:textId="77777777" w:rsidR="00E06A15" w:rsidRPr="00CE1F45" w:rsidRDefault="00E06A15" w:rsidP="008E4D2B">
            <w:pPr>
              <w:rPr>
                <w:b/>
              </w:rPr>
            </w:pPr>
            <w:r>
              <w:rPr>
                <w:b/>
              </w:rPr>
              <w:t>Investigation with Technical Assistance</w:t>
            </w:r>
          </w:p>
        </w:tc>
        <w:tc>
          <w:tcPr>
            <w:tcW w:w="2070" w:type="dxa"/>
            <w:tcBorders>
              <w:top w:val="single" w:sz="4" w:space="0" w:color="auto"/>
              <w:bottom w:val="single" w:sz="4" w:space="0" w:color="auto"/>
            </w:tcBorders>
            <w:shd w:val="clear" w:color="auto" w:fill="BFBFBF" w:themeFill="background1" w:themeFillShade="BF"/>
          </w:tcPr>
          <w:p w14:paraId="73CC9426" w14:textId="77777777" w:rsidR="00E06A15" w:rsidRPr="00CE1F45" w:rsidRDefault="00E06A15" w:rsidP="008E4D2B">
            <w:pPr>
              <w:rPr>
                <w:b/>
              </w:rPr>
            </w:pPr>
            <w:r>
              <w:rPr>
                <w:b/>
              </w:rPr>
              <w:t>Investigation with Collaborative Agreement</w:t>
            </w:r>
          </w:p>
        </w:tc>
        <w:tc>
          <w:tcPr>
            <w:tcW w:w="1710" w:type="dxa"/>
            <w:tcBorders>
              <w:top w:val="single" w:sz="4" w:space="0" w:color="auto"/>
              <w:bottom w:val="single" w:sz="4" w:space="0" w:color="auto"/>
            </w:tcBorders>
            <w:shd w:val="clear" w:color="auto" w:fill="BFBFBF" w:themeFill="background1" w:themeFillShade="BF"/>
          </w:tcPr>
          <w:p w14:paraId="0A5C6048" w14:textId="77777777" w:rsidR="00E06A15" w:rsidRPr="00CE1F45" w:rsidRDefault="00E06A15" w:rsidP="008E4D2B">
            <w:pPr>
              <w:rPr>
                <w:b/>
              </w:rPr>
            </w:pPr>
            <w:r>
              <w:rPr>
                <w:b/>
              </w:rPr>
              <w:t>Litigation</w:t>
            </w:r>
          </w:p>
        </w:tc>
      </w:tr>
      <w:tr w:rsidR="0032298A" w:rsidRPr="00CE1F45" w14:paraId="6BD52188" w14:textId="77777777" w:rsidTr="00536A32">
        <w:trPr>
          <w:trHeight w:val="5524"/>
        </w:trPr>
        <w:tc>
          <w:tcPr>
            <w:tcW w:w="1260" w:type="dxa"/>
            <w:vMerge/>
            <w:tcBorders>
              <w:left w:val="single" w:sz="4" w:space="0" w:color="auto"/>
              <w:right w:val="single" w:sz="4" w:space="0" w:color="auto"/>
            </w:tcBorders>
            <w:shd w:val="clear" w:color="auto" w:fill="A6A6A6" w:themeFill="background1" w:themeFillShade="A6"/>
            <w:vAlign w:val="center"/>
          </w:tcPr>
          <w:p w14:paraId="65499A05" w14:textId="77777777" w:rsidR="00E06A15" w:rsidRPr="00DB2A99" w:rsidRDefault="00E06A15" w:rsidP="008E4D2B">
            <w:pPr>
              <w:rPr>
                <w:b/>
                <w:sz w:val="20"/>
                <w:szCs w:val="20"/>
              </w:rPr>
            </w:pPr>
          </w:p>
        </w:tc>
        <w:tc>
          <w:tcPr>
            <w:tcW w:w="1980" w:type="dxa"/>
            <w:tcBorders>
              <w:left w:val="single" w:sz="4" w:space="0" w:color="auto"/>
            </w:tcBorders>
            <w:shd w:val="clear" w:color="auto" w:fill="EAF1DD" w:themeFill="accent3" w:themeFillTint="33"/>
          </w:tcPr>
          <w:p w14:paraId="53A6A8BA" w14:textId="77777777" w:rsidR="00E06A15" w:rsidRPr="0032298A" w:rsidRDefault="00E06A15" w:rsidP="008E4D2B">
            <w:pPr>
              <w:pStyle w:val="ListParagraph"/>
              <w:numPr>
                <w:ilvl w:val="0"/>
                <w:numId w:val="40"/>
              </w:numPr>
              <w:ind w:left="162" w:hanging="162"/>
              <w:rPr>
                <w:sz w:val="23"/>
                <w:szCs w:val="23"/>
              </w:rPr>
            </w:pPr>
            <w:r w:rsidRPr="0032298A">
              <w:rPr>
                <w:sz w:val="23"/>
                <w:szCs w:val="23"/>
              </w:rPr>
              <w:t>Printed TA materials available</w:t>
            </w:r>
          </w:p>
          <w:p w14:paraId="3BA3CB86" w14:textId="77777777" w:rsidR="00E06A15" w:rsidRPr="0032298A" w:rsidRDefault="00E06A15" w:rsidP="008E4D2B">
            <w:pPr>
              <w:pStyle w:val="ListParagraph"/>
              <w:numPr>
                <w:ilvl w:val="0"/>
                <w:numId w:val="40"/>
              </w:numPr>
              <w:ind w:left="162" w:hanging="162"/>
              <w:rPr>
                <w:sz w:val="23"/>
                <w:szCs w:val="23"/>
              </w:rPr>
            </w:pPr>
            <w:r w:rsidRPr="0032298A">
              <w:rPr>
                <w:sz w:val="23"/>
                <w:szCs w:val="23"/>
              </w:rPr>
              <w:t>Podcasts</w:t>
            </w:r>
          </w:p>
          <w:p w14:paraId="15C3B95C" w14:textId="77777777" w:rsidR="00E06A15" w:rsidRPr="0032298A" w:rsidRDefault="00E06A15" w:rsidP="008E4D2B">
            <w:pPr>
              <w:pStyle w:val="ListParagraph"/>
              <w:numPr>
                <w:ilvl w:val="0"/>
                <w:numId w:val="40"/>
              </w:numPr>
              <w:ind w:left="162" w:hanging="162"/>
              <w:rPr>
                <w:sz w:val="23"/>
                <w:szCs w:val="23"/>
              </w:rPr>
            </w:pPr>
            <w:r w:rsidRPr="0032298A">
              <w:rPr>
                <w:sz w:val="23"/>
                <w:szCs w:val="23"/>
              </w:rPr>
              <w:t>Conference calls:</w:t>
            </w:r>
          </w:p>
          <w:p w14:paraId="10AAC48F" w14:textId="77777777" w:rsidR="00E06A15" w:rsidRPr="0032298A" w:rsidRDefault="00E06A15" w:rsidP="008E4D2B">
            <w:pPr>
              <w:pStyle w:val="ListParagraph"/>
              <w:numPr>
                <w:ilvl w:val="0"/>
                <w:numId w:val="40"/>
              </w:numPr>
              <w:ind w:left="342" w:hanging="180"/>
              <w:contextualSpacing/>
              <w:rPr>
                <w:sz w:val="23"/>
                <w:szCs w:val="23"/>
              </w:rPr>
            </w:pPr>
            <w:r w:rsidRPr="0032298A">
              <w:rPr>
                <w:sz w:val="23"/>
                <w:szCs w:val="23"/>
              </w:rPr>
              <w:t>As grantee cohorts</w:t>
            </w:r>
          </w:p>
          <w:p w14:paraId="02435607" w14:textId="77777777" w:rsidR="00E06A15" w:rsidRPr="0032298A" w:rsidRDefault="00E06A15" w:rsidP="008E4D2B">
            <w:pPr>
              <w:pStyle w:val="ListParagraph"/>
              <w:numPr>
                <w:ilvl w:val="0"/>
                <w:numId w:val="40"/>
              </w:numPr>
              <w:ind w:left="342" w:hanging="180"/>
              <w:contextualSpacing/>
              <w:rPr>
                <w:sz w:val="23"/>
                <w:szCs w:val="23"/>
              </w:rPr>
            </w:pPr>
            <w:r w:rsidRPr="0032298A">
              <w:rPr>
                <w:sz w:val="23"/>
                <w:szCs w:val="23"/>
              </w:rPr>
              <w:t>With subject matter experts (SMEs)</w:t>
            </w:r>
          </w:p>
          <w:p w14:paraId="6C48073C" w14:textId="77777777" w:rsidR="00E06A15" w:rsidRPr="0032298A" w:rsidRDefault="00E06A15" w:rsidP="008E4D2B">
            <w:pPr>
              <w:pStyle w:val="ListParagraph"/>
              <w:numPr>
                <w:ilvl w:val="0"/>
                <w:numId w:val="40"/>
              </w:numPr>
              <w:ind w:left="162" w:hanging="162"/>
              <w:rPr>
                <w:sz w:val="23"/>
                <w:szCs w:val="23"/>
              </w:rPr>
            </w:pPr>
            <w:r w:rsidRPr="0032298A">
              <w:rPr>
                <w:sz w:val="23"/>
                <w:szCs w:val="23"/>
              </w:rPr>
              <w:t>COPS Staff outreach through:</w:t>
            </w:r>
          </w:p>
          <w:p w14:paraId="224A6796" w14:textId="77777777" w:rsidR="00E06A15" w:rsidRPr="0032298A" w:rsidRDefault="00E06A15" w:rsidP="008E4D2B">
            <w:pPr>
              <w:pStyle w:val="ListParagraph"/>
              <w:numPr>
                <w:ilvl w:val="0"/>
                <w:numId w:val="40"/>
              </w:numPr>
              <w:ind w:left="342" w:hanging="180"/>
              <w:contextualSpacing/>
              <w:rPr>
                <w:sz w:val="23"/>
                <w:szCs w:val="23"/>
              </w:rPr>
            </w:pPr>
            <w:r w:rsidRPr="0032298A">
              <w:rPr>
                <w:sz w:val="23"/>
                <w:szCs w:val="23"/>
              </w:rPr>
              <w:t>Phone calls</w:t>
            </w:r>
          </w:p>
          <w:p w14:paraId="1B74A75B" w14:textId="77777777" w:rsidR="00E06A15" w:rsidRPr="0032298A" w:rsidRDefault="00E06A15" w:rsidP="008E4D2B">
            <w:pPr>
              <w:pStyle w:val="ListParagraph"/>
              <w:numPr>
                <w:ilvl w:val="0"/>
                <w:numId w:val="40"/>
              </w:numPr>
              <w:ind w:left="342" w:hanging="180"/>
              <w:contextualSpacing/>
              <w:rPr>
                <w:sz w:val="23"/>
                <w:szCs w:val="23"/>
              </w:rPr>
            </w:pPr>
            <w:r w:rsidRPr="0032298A">
              <w:rPr>
                <w:sz w:val="23"/>
                <w:szCs w:val="23"/>
              </w:rPr>
              <w:t>Visits</w:t>
            </w:r>
          </w:p>
          <w:p w14:paraId="65451AEF" w14:textId="77777777" w:rsidR="00E06A15" w:rsidRPr="0032298A" w:rsidRDefault="00E06A15" w:rsidP="008E4D2B">
            <w:pPr>
              <w:pStyle w:val="ListParagraph"/>
              <w:numPr>
                <w:ilvl w:val="0"/>
                <w:numId w:val="40"/>
              </w:numPr>
              <w:ind w:left="162" w:hanging="162"/>
              <w:rPr>
                <w:sz w:val="23"/>
                <w:szCs w:val="23"/>
              </w:rPr>
            </w:pPr>
            <w:r w:rsidRPr="0032298A">
              <w:rPr>
                <w:sz w:val="23"/>
                <w:szCs w:val="23"/>
              </w:rPr>
              <w:t>COPS Response Center/ Resource Information Center</w:t>
            </w:r>
          </w:p>
        </w:tc>
        <w:tc>
          <w:tcPr>
            <w:tcW w:w="1620" w:type="dxa"/>
            <w:tcBorders>
              <w:right w:val="single" w:sz="18" w:space="0" w:color="auto"/>
            </w:tcBorders>
            <w:shd w:val="clear" w:color="auto" w:fill="D6E3BC" w:themeFill="accent3" w:themeFillTint="66"/>
          </w:tcPr>
          <w:p w14:paraId="27272A9A" w14:textId="77777777" w:rsidR="00E06A15" w:rsidRPr="0032298A" w:rsidRDefault="00E06A15" w:rsidP="008E4D2B">
            <w:pPr>
              <w:pStyle w:val="ListParagraph"/>
              <w:numPr>
                <w:ilvl w:val="0"/>
                <w:numId w:val="41"/>
              </w:numPr>
              <w:ind w:left="185" w:hanging="181"/>
              <w:rPr>
                <w:sz w:val="23"/>
                <w:szCs w:val="23"/>
              </w:rPr>
            </w:pPr>
            <w:r w:rsidRPr="0032298A">
              <w:rPr>
                <w:sz w:val="23"/>
                <w:szCs w:val="23"/>
              </w:rPr>
              <w:t>On-site technical assistance</w:t>
            </w:r>
          </w:p>
          <w:p w14:paraId="249A1F61" w14:textId="77777777" w:rsidR="00E06A15" w:rsidRPr="0032298A" w:rsidRDefault="00E06A15" w:rsidP="008E4D2B">
            <w:pPr>
              <w:pStyle w:val="ListParagraph"/>
              <w:numPr>
                <w:ilvl w:val="0"/>
                <w:numId w:val="41"/>
              </w:numPr>
              <w:ind w:left="186" w:hanging="181"/>
              <w:rPr>
                <w:sz w:val="23"/>
                <w:szCs w:val="23"/>
              </w:rPr>
            </w:pPr>
            <w:r w:rsidRPr="0032298A">
              <w:rPr>
                <w:sz w:val="23"/>
                <w:szCs w:val="23"/>
              </w:rPr>
              <w:t>Customized technical assistance</w:t>
            </w:r>
          </w:p>
          <w:p w14:paraId="47B28003" w14:textId="77777777" w:rsidR="00E06A15" w:rsidRPr="0032298A" w:rsidRDefault="00E06A15" w:rsidP="008E4D2B">
            <w:pPr>
              <w:pStyle w:val="ListParagraph"/>
              <w:numPr>
                <w:ilvl w:val="0"/>
                <w:numId w:val="41"/>
              </w:numPr>
              <w:ind w:left="186" w:hanging="181"/>
              <w:rPr>
                <w:sz w:val="23"/>
                <w:szCs w:val="23"/>
              </w:rPr>
            </w:pPr>
            <w:r w:rsidRPr="0032298A">
              <w:rPr>
                <w:sz w:val="23"/>
                <w:szCs w:val="23"/>
              </w:rPr>
              <w:t>Limited in scope</w:t>
            </w:r>
          </w:p>
          <w:p w14:paraId="25E5E0A3" w14:textId="77777777" w:rsidR="00E06A15" w:rsidRPr="0032298A" w:rsidRDefault="00E06A15" w:rsidP="008E4D2B">
            <w:pPr>
              <w:pStyle w:val="ListParagraph"/>
              <w:numPr>
                <w:ilvl w:val="0"/>
                <w:numId w:val="41"/>
              </w:numPr>
              <w:ind w:left="186" w:hanging="181"/>
              <w:rPr>
                <w:sz w:val="23"/>
                <w:szCs w:val="23"/>
              </w:rPr>
            </w:pPr>
            <w:r w:rsidRPr="0032298A">
              <w:rPr>
                <w:sz w:val="23"/>
                <w:szCs w:val="23"/>
              </w:rPr>
              <w:t>Coordinated with other DOJ components</w:t>
            </w:r>
          </w:p>
        </w:tc>
        <w:tc>
          <w:tcPr>
            <w:tcW w:w="2250" w:type="dxa"/>
            <w:tcBorders>
              <w:left w:val="single" w:sz="18" w:space="0" w:color="auto"/>
              <w:right w:val="dashed" w:sz="4" w:space="0" w:color="auto"/>
            </w:tcBorders>
            <w:shd w:val="clear" w:color="auto" w:fill="C2D69B" w:themeFill="accent3" w:themeFillTint="99"/>
          </w:tcPr>
          <w:p w14:paraId="7EE7961E" w14:textId="77777777" w:rsidR="00E06A15" w:rsidRPr="0032298A" w:rsidRDefault="00E06A15" w:rsidP="008E4D2B">
            <w:pPr>
              <w:pStyle w:val="ListParagraph"/>
              <w:numPr>
                <w:ilvl w:val="0"/>
                <w:numId w:val="42"/>
              </w:numPr>
              <w:ind w:left="116" w:hanging="182"/>
              <w:rPr>
                <w:b/>
                <w:sz w:val="23"/>
                <w:szCs w:val="23"/>
              </w:rPr>
            </w:pPr>
            <w:r w:rsidRPr="0032298A">
              <w:rPr>
                <w:b/>
                <w:sz w:val="23"/>
                <w:szCs w:val="23"/>
              </w:rPr>
              <w:t>Collect and review real data for context on a specific incident or problem</w:t>
            </w:r>
          </w:p>
          <w:p w14:paraId="1576F2FD" w14:textId="77777777" w:rsidR="00E06A15" w:rsidRPr="0032298A" w:rsidRDefault="00E06A15" w:rsidP="008E4D2B">
            <w:pPr>
              <w:pStyle w:val="ListParagraph"/>
              <w:numPr>
                <w:ilvl w:val="0"/>
                <w:numId w:val="42"/>
              </w:numPr>
              <w:ind w:left="116" w:hanging="182"/>
              <w:rPr>
                <w:b/>
                <w:sz w:val="23"/>
                <w:szCs w:val="23"/>
              </w:rPr>
            </w:pPr>
            <w:r w:rsidRPr="0032298A">
              <w:rPr>
                <w:b/>
                <w:sz w:val="23"/>
                <w:szCs w:val="23"/>
              </w:rPr>
              <w:t>Report on lessons learned or promising practices</w:t>
            </w:r>
          </w:p>
          <w:p w14:paraId="0F549194" w14:textId="77777777" w:rsidR="00E06A15" w:rsidRPr="0032298A" w:rsidRDefault="00E06A15" w:rsidP="008E4D2B">
            <w:pPr>
              <w:pStyle w:val="ListParagraph"/>
              <w:numPr>
                <w:ilvl w:val="0"/>
                <w:numId w:val="42"/>
              </w:numPr>
              <w:ind w:left="116" w:hanging="182"/>
              <w:rPr>
                <w:b/>
                <w:sz w:val="23"/>
                <w:szCs w:val="23"/>
              </w:rPr>
            </w:pPr>
            <w:r w:rsidRPr="0032298A">
              <w:rPr>
                <w:b/>
                <w:sz w:val="23"/>
                <w:szCs w:val="23"/>
              </w:rPr>
              <w:t>Collect/review data on specific incident to collect lessons learned</w:t>
            </w:r>
          </w:p>
          <w:p w14:paraId="3A61A10D" w14:textId="77777777" w:rsidR="00E06A15" w:rsidRPr="0032298A" w:rsidRDefault="00E06A15" w:rsidP="008E4D2B">
            <w:pPr>
              <w:pStyle w:val="ListParagraph"/>
              <w:numPr>
                <w:ilvl w:val="0"/>
                <w:numId w:val="42"/>
              </w:numPr>
              <w:ind w:left="116" w:hanging="182"/>
              <w:rPr>
                <w:b/>
                <w:sz w:val="23"/>
                <w:szCs w:val="23"/>
              </w:rPr>
            </w:pPr>
            <w:r w:rsidRPr="0032298A">
              <w:rPr>
                <w:b/>
                <w:sz w:val="23"/>
                <w:szCs w:val="23"/>
              </w:rPr>
              <w:t>Organizational change strategies in law enforcement in conjunction with communities</w:t>
            </w:r>
          </w:p>
        </w:tc>
        <w:tc>
          <w:tcPr>
            <w:tcW w:w="2070" w:type="dxa"/>
            <w:tcBorders>
              <w:left w:val="dashed" w:sz="4" w:space="0" w:color="auto"/>
              <w:right w:val="single" w:sz="18" w:space="0" w:color="auto"/>
            </w:tcBorders>
            <w:shd w:val="clear" w:color="auto" w:fill="C2D69B" w:themeFill="accent3" w:themeFillTint="99"/>
          </w:tcPr>
          <w:p w14:paraId="4E6C31BC" w14:textId="77777777" w:rsidR="00E06A15" w:rsidRPr="0032298A" w:rsidRDefault="00E06A15" w:rsidP="008E4D2B">
            <w:pPr>
              <w:pStyle w:val="ListParagraph"/>
              <w:numPr>
                <w:ilvl w:val="0"/>
                <w:numId w:val="43"/>
              </w:numPr>
              <w:ind w:left="182" w:hanging="180"/>
              <w:rPr>
                <w:b/>
                <w:sz w:val="23"/>
                <w:szCs w:val="23"/>
              </w:rPr>
            </w:pPr>
            <w:r w:rsidRPr="0032298A">
              <w:rPr>
                <w:b/>
                <w:sz w:val="23"/>
                <w:szCs w:val="23"/>
              </w:rPr>
              <w:t>Collect and review real data to recommend organizational change strategies within a law enforcement agency</w:t>
            </w:r>
          </w:p>
          <w:p w14:paraId="27BCD41D" w14:textId="77777777" w:rsidR="00E06A15" w:rsidRPr="0032298A" w:rsidRDefault="00E06A15" w:rsidP="008E4D2B">
            <w:pPr>
              <w:pStyle w:val="ListParagraph"/>
              <w:numPr>
                <w:ilvl w:val="0"/>
                <w:numId w:val="43"/>
              </w:numPr>
              <w:ind w:left="183" w:hanging="180"/>
              <w:rPr>
                <w:b/>
                <w:sz w:val="23"/>
                <w:szCs w:val="23"/>
              </w:rPr>
            </w:pPr>
            <w:r w:rsidRPr="0032298A">
              <w:rPr>
                <w:b/>
                <w:sz w:val="23"/>
                <w:szCs w:val="23"/>
              </w:rPr>
              <w:t>Use SMEs to inform practice and break patterns of individual or organizational behavior</w:t>
            </w:r>
          </w:p>
          <w:p w14:paraId="122215B5" w14:textId="77777777" w:rsidR="00E06A15" w:rsidRPr="0032298A" w:rsidRDefault="00E06A15" w:rsidP="008E4D2B">
            <w:pPr>
              <w:pStyle w:val="ListParagraph"/>
              <w:numPr>
                <w:ilvl w:val="0"/>
                <w:numId w:val="43"/>
              </w:numPr>
              <w:ind w:left="183" w:hanging="180"/>
              <w:rPr>
                <w:b/>
                <w:sz w:val="23"/>
                <w:szCs w:val="23"/>
              </w:rPr>
            </w:pPr>
            <w:r w:rsidRPr="0032298A">
              <w:rPr>
                <w:b/>
                <w:sz w:val="23"/>
                <w:szCs w:val="23"/>
              </w:rPr>
              <w:t>Six or twelve month follow-up</w:t>
            </w:r>
          </w:p>
        </w:tc>
        <w:tc>
          <w:tcPr>
            <w:tcW w:w="1980" w:type="dxa"/>
            <w:tcBorders>
              <w:left w:val="single" w:sz="18" w:space="0" w:color="auto"/>
            </w:tcBorders>
            <w:shd w:val="clear" w:color="auto" w:fill="76923C" w:themeFill="accent3" w:themeFillShade="BF"/>
          </w:tcPr>
          <w:p w14:paraId="40A78AEF" w14:textId="77777777" w:rsidR="00E06A15" w:rsidRPr="0032298A" w:rsidRDefault="00E06A15" w:rsidP="008E4D2B">
            <w:pPr>
              <w:pStyle w:val="ListParagraph"/>
              <w:numPr>
                <w:ilvl w:val="0"/>
                <w:numId w:val="44"/>
              </w:numPr>
              <w:ind w:left="199" w:hanging="199"/>
              <w:rPr>
                <w:sz w:val="23"/>
                <w:szCs w:val="23"/>
              </w:rPr>
            </w:pPr>
            <w:r w:rsidRPr="0032298A">
              <w:rPr>
                <w:sz w:val="23"/>
                <w:szCs w:val="23"/>
              </w:rPr>
              <w:t>Investigation with document and onsite review by SME experts and DOJ a</w:t>
            </w:r>
            <w:r w:rsidR="00536A32">
              <w:rPr>
                <w:sz w:val="23"/>
                <w:szCs w:val="23"/>
              </w:rPr>
              <w:t>ttorneys</w:t>
            </w:r>
            <w:r w:rsidRPr="0032298A">
              <w:rPr>
                <w:sz w:val="23"/>
                <w:szCs w:val="23"/>
              </w:rPr>
              <w:t xml:space="preserve"> to determine nature and extent of problem</w:t>
            </w:r>
          </w:p>
          <w:p w14:paraId="7689C5EB" w14:textId="77777777" w:rsidR="00E06A15" w:rsidRPr="0032298A" w:rsidRDefault="00E06A15" w:rsidP="008E4D2B">
            <w:pPr>
              <w:pStyle w:val="ListParagraph"/>
              <w:numPr>
                <w:ilvl w:val="0"/>
                <w:numId w:val="44"/>
              </w:numPr>
              <w:ind w:left="199" w:hanging="199"/>
              <w:rPr>
                <w:sz w:val="23"/>
                <w:szCs w:val="23"/>
              </w:rPr>
            </w:pPr>
            <w:r w:rsidRPr="0032298A">
              <w:rPr>
                <w:sz w:val="23"/>
                <w:szCs w:val="23"/>
              </w:rPr>
              <w:t xml:space="preserve">Solicit input from officers, community, and other stakeholders to inform findings </w:t>
            </w:r>
          </w:p>
          <w:p w14:paraId="1E7AB312" w14:textId="77777777" w:rsidR="00E06A15" w:rsidRPr="0032298A" w:rsidRDefault="00E06A15" w:rsidP="008E4D2B">
            <w:pPr>
              <w:pStyle w:val="ListParagraph"/>
              <w:numPr>
                <w:ilvl w:val="0"/>
                <w:numId w:val="44"/>
              </w:numPr>
              <w:ind w:left="199" w:hanging="199"/>
              <w:rPr>
                <w:sz w:val="23"/>
                <w:szCs w:val="23"/>
              </w:rPr>
            </w:pPr>
            <w:r w:rsidRPr="0032298A">
              <w:rPr>
                <w:sz w:val="23"/>
                <w:szCs w:val="23"/>
              </w:rPr>
              <w:t>If no pattern or practice found, offer technical assistance</w:t>
            </w:r>
          </w:p>
        </w:tc>
        <w:tc>
          <w:tcPr>
            <w:tcW w:w="2070" w:type="dxa"/>
            <w:shd w:val="clear" w:color="auto" w:fill="4F6228" w:themeFill="accent3" w:themeFillShade="80"/>
          </w:tcPr>
          <w:p w14:paraId="64348630" w14:textId="77777777" w:rsidR="00E06A15" w:rsidRPr="0032298A" w:rsidRDefault="00E06A15" w:rsidP="008E4D2B">
            <w:pPr>
              <w:pStyle w:val="ListParagraph"/>
              <w:numPr>
                <w:ilvl w:val="0"/>
                <w:numId w:val="45"/>
              </w:numPr>
              <w:ind w:left="162" w:hanging="180"/>
              <w:rPr>
                <w:color w:val="FFFFFF"/>
                <w:sz w:val="23"/>
                <w:szCs w:val="23"/>
              </w:rPr>
            </w:pPr>
            <w:r w:rsidRPr="0032298A">
              <w:rPr>
                <w:color w:val="FFFFFF"/>
                <w:sz w:val="23"/>
                <w:szCs w:val="23"/>
              </w:rPr>
              <w:t xml:space="preserve">If investigation shows pattern or practice violation, work with agency to reach an agreement  on remedial measures </w:t>
            </w:r>
          </w:p>
          <w:p w14:paraId="4E0CD8AC" w14:textId="77777777" w:rsidR="00E06A15" w:rsidRPr="0032298A" w:rsidRDefault="00E06A15" w:rsidP="008E4D2B">
            <w:pPr>
              <w:pStyle w:val="ListParagraph"/>
              <w:numPr>
                <w:ilvl w:val="0"/>
                <w:numId w:val="45"/>
              </w:numPr>
              <w:ind w:left="162" w:hanging="180"/>
              <w:rPr>
                <w:color w:val="FFFFFF"/>
                <w:sz w:val="23"/>
                <w:szCs w:val="23"/>
              </w:rPr>
            </w:pPr>
            <w:r w:rsidRPr="0032298A">
              <w:rPr>
                <w:color w:val="FFFFFF"/>
                <w:sz w:val="23"/>
                <w:szCs w:val="23"/>
              </w:rPr>
              <w:t>Solicit input from officers, community, and other stakeholders to inform remedy</w:t>
            </w:r>
          </w:p>
          <w:p w14:paraId="5DE11447" w14:textId="77777777" w:rsidR="00E06A15" w:rsidRPr="0032298A" w:rsidRDefault="00E06A15" w:rsidP="008E4D2B">
            <w:pPr>
              <w:pStyle w:val="ListParagraph"/>
              <w:numPr>
                <w:ilvl w:val="0"/>
                <w:numId w:val="45"/>
              </w:numPr>
              <w:ind w:left="162" w:hanging="180"/>
              <w:rPr>
                <w:color w:val="FFFFFF"/>
                <w:sz w:val="23"/>
                <w:szCs w:val="23"/>
              </w:rPr>
            </w:pPr>
            <w:r w:rsidRPr="0032298A">
              <w:rPr>
                <w:color w:val="FFFFFF"/>
                <w:sz w:val="23"/>
                <w:szCs w:val="23"/>
              </w:rPr>
              <w:t xml:space="preserve">Agreement </w:t>
            </w:r>
            <w:r w:rsidR="00536A32">
              <w:rPr>
                <w:color w:val="FFFFFF"/>
                <w:sz w:val="23"/>
                <w:szCs w:val="23"/>
              </w:rPr>
              <w:t>(</w:t>
            </w:r>
            <w:r w:rsidRPr="0032298A">
              <w:rPr>
                <w:color w:val="FFFFFF"/>
                <w:sz w:val="23"/>
                <w:szCs w:val="23"/>
              </w:rPr>
              <w:t>usually Court-ordered</w:t>
            </w:r>
            <w:r w:rsidR="00536A32">
              <w:rPr>
                <w:color w:val="FFFFFF"/>
                <w:sz w:val="23"/>
                <w:szCs w:val="23"/>
              </w:rPr>
              <w:t>)</w:t>
            </w:r>
          </w:p>
        </w:tc>
        <w:tc>
          <w:tcPr>
            <w:tcW w:w="1710" w:type="dxa"/>
            <w:shd w:val="clear" w:color="auto" w:fill="4F6228" w:themeFill="accent3" w:themeFillShade="80"/>
          </w:tcPr>
          <w:p w14:paraId="1ED3C0CF" w14:textId="77777777" w:rsidR="00E06A15" w:rsidRPr="0032298A" w:rsidRDefault="00E06A15" w:rsidP="008E4D2B">
            <w:pPr>
              <w:pStyle w:val="ListParagraph"/>
              <w:numPr>
                <w:ilvl w:val="0"/>
                <w:numId w:val="45"/>
              </w:numPr>
              <w:ind w:left="162" w:hanging="180"/>
              <w:rPr>
                <w:color w:val="FFFFFF"/>
                <w:sz w:val="23"/>
                <w:szCs w:val="23"/>
              </w:rPr>
            </w:pPr>
            <w:r w:rsidRPr="0032298A">
              <w:rPr>
                <w:color w:val="FFFFFF"/>
                <w:sz w:val="23"/>
                <w:szCs w:val="23"/>
              </w:rPr>
              <w:t xml:space="preserve">Initiate legal action if necessary to obtain relief for violations </w:t>
            </w:r>
          </w:p>
          <w:p w14:paraId="3C9896F2" w14:textId="77777777" w:rsidR="00E06A15" w:rsidRPr="0032298A" w:rsidRDefault="00E06A15" w:rsidP="008E4D2B">
            <w:pPr>
              <w:pStyle w:val="ListParagraph"/>
              <w:numPr>
                <w:ilvl w:val="0"/>
                <w:numId w:val="45"/>
              </w:numPr>
              <w:ind w:left="162" w:hanging="180"/>
              <w:rPr>
                <w:color w:val="FFFFFF"/>
                <w:sz w:val="23"/>
                <w:szCs w:val="23"/>
              </w:rPr>
            </w:pPr>
            <w:r w:rsidRPr="0032298A">
              <w:rPr>
                <w:color w:val="FFFFFF"/>
                <w:sz w:val="23"/>
                <w:szCs w:val="23"/>
              </w:rPr>
              <w:t>Seek Court enforcement of agreement when necessary</w:t>
            </w:r>
          </w:p>
          <w:p w14:paraId="44E3A246" w14:textId="77777777" w:rsidR="00E06A15" w:rsidRPr="0032298A" w:rsidRDefault="00E06A15" w:rsidP="008E4D2B">
            <w:pPr>
              <w:pStyle w:val="ListParagraph"/>
              <w:ind w:left="247"/>
              <w:rPr>
                <w:color w:val="FFFFFF"/>
                <w:sz w:val="23"/>
                <w:szCs w:val="23"/>
              </w:rPr>
            </w:pPr>
          </w:p>
        </w:tc>
      </w:tr>
      <w:tr w:rsidR="0032298A" w:rsidRPr="00CE1F45" w14:paraId="059E9C31" w14:textId="77777777" w:rsidTr="00536A32">
        <w:trPr>
          <w:trHeight w:val="1115"/>
        </w:trPr>
        <w:tc>
          <w:tcPr>
            <w:tcW w:w="1260" w:type="dxa"/>
            <w:tcBorders>
              <w:top w:val="single" w:sz="4" w:space="0" w:color="auto"/>
              <w:left w:val="single" w:sz="4" w:space="0" w:color="auto"/>
              <w:bottom w:val="dashSmallGap" w:sz="4" w:space="0" w:color="auto"/>
            </w:tcBorders>
            <w:shd w:val="clear" w:color="auto" w:fill="A6A6A6" w:themeFill="background1" w:themeFillShade="A6"/>
            <w:vAlign w:val="center"/>
          </w:tcPr>
          <w:p w14:paraId="6A7450E5" w14:textId="77777777" w:rsidR="00E06A15" w:rsidRPr="00CE1F45" w:rsidRDefault="00E06A15" w:rsidP="008E4D2B">
            <w:pPr>
              <w:rPr>
                <w:b/>
              </w:rPr>
            </w:pPr>
            <w:r w:rsidRPr="00CE1F45">
              <w:rPr>
                <w:b/>
              </w:rPr>
              <w:t>Sample Audiences</w:t>
            </w:r>
          </w:p>
        </w:tc>
        <w:tc>
          <w:tcPr>
            <w:tcW w:w="1980" w:type="dxa"/>
            <w:tcBorders>
              <w:top w:val="dashSmallGap" w:sz="4" w:space="0" w:color="auto"/>
              <w:left w:val="single" w:sz="4" w:space="0" w:color="auto"/>
              <w:bottom w:val="dashSmallGap" w:sz="4" w:space="0" w:color="auto"/>
            </w:tcBorders>
            <w:shd w:val="clear" w:color="auto" w:fill="EAF1DD" w:themeFill="accent3" w:themeFillTint="33"/>
          </w:tcPr>
          <w:p w14:paraId="0B505004" w14:textId="77777777" w:rsidR="00E06A15" w:rsidRPr="0032298A" w:rsidRDefault="00E06A15" w:rsidP="008E4D2B">
            <w:pPr>
              <w:rPr>
                <w:sz w:val="23"/>
                <w:szCs w:val="23"/>
              </w:rPr>
            </w:pPr>
            <w:r w:rsidRPr="0032298A">
              <w:rPr>
                <w:sz w:val="23"/>
                <w:szCs w:val="23"/>
              </w:rPr>
              <w:t>Grantees</w:t>
            </w:r>
          </w:p>
          <w:p w14:paraId="231A4F5E" w14:textId="77777777" w:rsidR="00E06A15" w:rsidRPr="0032298A" w:rsidRDefault="00E06A15" w:rsidP="008E4D2B">
            <w:pPr>
              <w:rPr>
                <w:sz w:val="23"/>
                <w:szCs w:val="23"/>
              </w:rPr>
            </w:pPr>
            <w:r w:rsidRPr="0032298A">
              <w:rPr>
                <w:sz w:val="23"/>
                <w:szCs w:val="23"/>
              </w:rPr>
              <w:t xml:space="preserve">Conference Attendees </w:t>
            </w:r>
          </w:p>
        </w:tc>
        <w:tc>
          <w:tcPr>
            <w:tcW w:w="1620" w:type="dxa"/>
            <w:tcBorders>
              <w:top w:val="dashSmallGap" w:sz="4" w:space="0" w:color="auto"/>
              <w:bottom w:val="dashSmallGap" w:sz="4" w:space="0" w:color="auto"/>
              <w:right w:val="single" w:sz="18" w:space="0" w:color="auto"/>
            </w:tcBorders>
            <w:shd w:val="clear" w:color="auto" w:fill="D6E3BC" w:themeFill="accent3" w:themeFillTint="66"/>
          </w:tcPr>
          <w:p w14:paraId="43639F8A" w14:textId="77777777" w:rsidR="00E06A15" w:rsidRPr="0032298A" w:rsidRDefault="00E06A15" w:rsidP="008E4D2B">
            <w:pPr>
              <w:rPr>
                <w:sz w:val="23"/>
                <w:szCs w:val="23"/>
              </w:rPr>
            </w:pPr>
            <w:r w:rsidRPr="0032298A">
              <w:rPr>
                <w:sz w:val="23"/>
                <w:szCs w:val="23"/>
              </w:rPr>
              <w:t>New Orleans, LA</w:t>
            </w:r>
          </w:p>
          <w:p w14:paraId="5FEC5B88" w14:textId="77777777" w:rsidR="00E06A15" w:rsidRPr="0032298A" w:rsidRDefault="00E06A15" w:rsidP="008E4D2B">
            <w:pPr>
              <w:rPr>
                <w:sz w:val="23"/>
                <w:szCs w:val="23"/>
              </w:rPr>
            </w:pPr>
            <w:r w:rsidRPr="0032298A">
              <w:rPr>
                <w:sz w:val="23"/>
                <w:szCs w:val="23"/>
              </w:rPr>
              <w:t>CHP Grantees</w:t>
            </w:r>
          </w:p>
        </w:tc>
        <w:tc>
          <w:tcPr>
            <w:tcW w:w="2250" w:type="dxa"/>
            <w:tcBorders>
              <w:top w:val="dashSmallGap" w:sz="4" w:space="0" w:color="auto"/>
              <w:left w:val="single" w:sz="18" w:space="0" w:color="auto"/>
              <w:bottom w:val="dashSmallGap" w:sz="4" w:space="0" w:color="auto"/>
              <w:right w:val="dashed" w:sz="4" w:space="0" w:color="auto"/>
            </w:tcBorders>
            <w:shd w:val="clear" w:color="auto" w:fill="C2D69B" w:themeFill="accent3" w:themeFillTint="99"/>
          </w:tcPr>
          <w:p w14:paraId="0980478D" w14:textId="77777777" w:rsidR="00E06A15" w:rsidRPr="0032298A" w:rsidRDefault="00E06A15" w:rsidP="008E4D2B">
            <w:pPr>
              <w:rPr>
                <w:b/>
                <w:sz w:val="23"/>
                <w:szCs w:val="23"/>
              </w:rPr>
            </w:pPr>
            <w:r w:rsidRPr="0032298A">
              <w:rPr>
                <w:b/>
                <w:sz w:val="23"/>
                <w:szCs w:val="23"/>
              </w:rPr>
              <w:t>Tampa, FL</w:t>
            </w:r>
          </w:p>
          <w:p w14:paraId="1945A938" w14:textId="77777777" w:rsidR="00E06A15" w:rsidRPr="0032298A" w:rsidRDefault="00E06A15" w:rsidP="008E4D2B">
            <w:pPr>
              <w:rPr>
                <w:b/>
                <w:i/>
                <w:sz w:val="23"/>
                <w:szCs w:val="23"/>
              </w:rPr>
            </w:pPr>
            <w:r w:rsidRPr="0032298A">
              <w:rPr>
                <w:b/>
                <w:i/>
                <w:sz w:val="23"/>
                <w:szCs w:val="23"/>
              </w:rPr>
              <w:t>(completed October 2011)</w:t>
            </w:r>
          </w:p>
          <w:p w14:paraId="20797747" w14:textId="77777777" w:rsidR="00E06A15" w:rsidRPr="0032298A" w:rsidRDefault="00E06A15" w:rsidP="008E4D2B">
            <w:pPr>
              <w:rPr>
                <w:b/>
                <w:sz w:val="23"/>
                <w:szCs w:val="23"/>
              </w:rPr>
            </w:pPr>
          </w:p>
        </w:tc>
        <w:tc>
          <w:tcPr>
            <w:tcW w:w="2070" w:type="dxa"/>
            <w:tcBorders>
              <w:top w:val="dashSmallGap" w:sz="4" w:space="0" w:color="auto"/>
              <w:left w:val="dashed" w:sz="4" w:space="0" w:color="auto"/>
              <w:bottom w:val="dashSmallGap" w:sz="4" w:space="0" w:color="auto"/>
              <w:right w:val="single" w:sz="18" w:space="0" w:color="auto"/>
            </w:tcBorders>
            <w:shd w:val="clear" w:color="auto" w:fill="C2D69B" w:themeFill="accent3" w:themeFillTint="99"/>
          </w:tcPr>
          <w:p w14:paraId="6EE19F87" w14:textId="77777777" w:rsidR="00E06A15" w:rsidRPr="0032298A" w:rsidRDefault="00E06A15" w:rsidP="008E4D2B">
            <w:pPr>
              <w:rPr>
                <w:b/>
                <w:sz w:val="23"/>
                <w:szCs w:val="23"/>
              </w:rPr>
            </w:pPr>
            <w:r w:rsidRPr="0032298A">
              <w:rPr>
                <w:b/>
                <w:sz w:val="23"/>
                <w:szCs w:val="23"/>
              </w:rPr>
              <w:t xml:space="preserve">Las Vegas, NV </w:t>
            </w:r>
            <w:r w:rsidRPr="0032298A">
              <w:rPr>
                <w:b/>
                <w:i/>
                <w:sz w:val="23"/>
                <w:szCs w:val="23"/>
              </w:rPr>
              <w:t>(completed October 2012)</w:t>
            </w:r>
          </w:p>
          <w:p w14:paraId="60B1FBD9" w14:textId="77777777" w:rsidR="00E06A15" w:rsidRPr="0032298A" w:rsidRDefault="00E06A15" w:rsidP="008E4D2B">
            <w:pPr>
              <w:rPr>
                <w:b/>
                <w:sz w:val="23"/>
                <w:szCs w:val="23"/>
              </w:rPr>
            </w:pPr>
            <w:r w:rsidRPr="0032298A">
              <w:rPr>
                <w:b/>
                <w:sz w:val="23"/>
                <w:szCs w:val="23"/>
              </w:rPr>
              <w:t xml:space="preserve">Spokane, WA </w:t>
            </w:r>
          </w:p>
        </w:tc>
        <w:tc>
          <w:tcPr>
            <w:tcW w:w="1980" w:type="dxa"/>
            <w:tcBorders>
              <w:top w:val="dashSmallGap" w:sz="4" w:space="0" w:color="auto"/>
              <w:left w:val="single" w:sz="18" w:space="0" w:color="auto"/>
              <w:bottom w:val="dashSmallGap" w:sz="4" w:space="0" w:color="auto"/>
            </w:tcBorders>
            <w:shd w:val="clear" w:color="auto" w:fill="76923C" w:themeFill="accent3" w:themeFillShade="BF"/>
          </w:tcPr>
          <w:p w14:paraId="27178CC6" w14:textId="77777777" w:rsidR="00E06A15" w:rsidRPr="0032298A" w:rsidRDefault="00E06A15" w:rsidP="008E4D2B">
            <w:pPr>
              <w:rPr>
                <w:sz w:val="23"/>
                <w:szCs w:val="23"/>
              </w:rPr>
            </w:pPr>
            <w:r w:rsidRPr="0032298A">
              <w:rPr>
                <w:sz w:val="23"/>
                <w:szCs w:val="23"/>
              </w:rPr>
              <w:t>Lorain, Ohio</w:t>
            </w:r>
          </w:p>
        </w:tc>
        <w:tc>
          <w:tcPr>
            <w:tcW w:w="2070" w:type="dxa"/>
            <w:tcBorders>
              <w:top w:val="dashSmallGap" w:sz="4" w:space="0" w:color="auto"/>
              <w:bottom w:val="dashSmallGap" w:sz="4" w:space="0" w:color="auto"/>
            </w:tcBorders>
            <w:shd w:val="clear" w:color="auto" w:fill="4F6228" w:themeFill="accent3" w:themeFillShade="80"/>
          </w:tcPr>
          <w:p w14:paraId="4D8052B5" w14:textId="77777777" w:rsidR="00E06A15" w:rsidRPr="0032298A" w:rsidRDefault="00E06A15" w:rsidP="008E4D2B">
            <w:pPr>
              <w:rPr>
                <w:color w:val="FFFFFF"/>
                <w:sz w:val="23"/>
                <w:szCs w:val="23"/>
              </w:rPr>
            </w:pPr>
            <w:r w:rsidRPr="0032298A">
              <w:rPr>
                <w:color w:val="FFFFFF"/>
                <w:sz w:val="23"/>
                <w:szCs w:val="23"/>
              </w:rPr>
              <w:t>New Orleans, LA</w:t>
            </w:r>
          </w:p>
          <w:p w14:paraId="4EF1CE3B" w14:textId="77777777" w:rsidR="00E06A15" w:rsidRPr="0032298A" w:rsidRDefault="00E06A15" w:rsidP="008E4D2B">
            <w:pPr>
              <w:rPr>
                <w:color w:val="FFFFFF"/>
                <w:sz w:val="23"/>
                <w:szCs w:val="23"/>
              </w:rPr>
            </w:pPr>
            <w:r w:rsidRPr="0032298A">
              <w:rPr>
                <w:color w:val="FFFFFF"/>
                <w:sz w:val="23"/>
                <w:szCs w:val="23"/>
              </w:rPr>
              <w:t>Seattle, WA</w:t>
            </w:r>
          </w:p>
          <w:p w14:paraId="2D819D87" w14:textId="77777777" w:rsidR="00E06A15" w:rsidRPr="0032298A" w:rsidRDefault="00E06A15" w:rsidP="008E4D2B">
            <w:pPr>
              <w:rPr>
                <w:color w:val="FFFFFF"/>
                <w:sz w:val="23"/>
                <w:szCs w:val="23"/>
              </w:rPr>
            </w:pPr>
            <w:r w:rsidRPr="0032298A">
              <w:rPr>
                <w:color w:val="FFFFFF"/>
                <w:sz w:val="23"/>
                <w:szCs w:val="23"/>
              </w:rPr>
              <w:t>East Haven, CT</w:t>
            </w:r>
          </w:p>
        </w:tc>
        <w:tc>
          <w:tcPr>
            <w:tcW w:w="1710" w:type="dxa"/>
            <w:tcBorders>
              <w:top w:val="dashSmallGap" w:sz="4" w:space="0" w:color="auto"/>
              <w:bottom w:val="dashSmallGap" w:sz="4" w:space="0" w:color="auto"/>
            </w:tcBorders>
            <w:shd w:val="clear" w:color="auto" w:fill="4F6228" w:themeFill="accent3" w:themeFillShade="80"/>
          </w:tcPr>
          <w:p w14:paraId="608513B1" w14:textId="77777777" w:rsidR="00E06A15" w:rsidRPr="0032298A" w:rsidRDefault="00E06A15" w:rsidP="008E4D2B">
            <w:pPr>
              <w:rPr>
                <w:color w:val="FFFFFF"/>
                <w:sz w:val="23"/>
                <w:szCs w:val="23"/>
              </w:rPr>
            </w:pPr>
            <w:r w:rsidRPr="0032298A">
              <w:rPr>
                <w:color w:val="FFFFFF"/>
                <w:sz w:val="23"/>
                <w:szCs w:val="23"/>
              </w:rPr>
              <w:t>Maricopa County, AZ</w:t>
            </w:r>
          </w:p>
          <w:p w14:paraId="6C514A5C" w14:textId="77777777" w:rsidR="00E06A15" w:rsidRPr="0032298A" w:rsidRDefault="00E06A15" w:rsidP="008E4D2B">
            <w:pPr>
              <w:rPr>
                <w:color w:val="FFFFFF"/>
                <w:sz w:val="23"/>
                <w:szCs w:val="23"/>
              </w:rPr>
            </w:pPr>
            <w:r w:rsidRPr="0032298A">
              <w:rPr>
                <w:color w:val="FFFFFF"/>
                <w:sz w:val="23"/>
                <w:szCs w:val="23"/>
              </w:rPr>
              <w:t>Alamance Co., NC</w:t>
            </w:r>
          </w:p>
        </w:tc>
      </w:tr>
      <w:tr w:rsidR="0032298A" w:rsidRPr="00CE1F45" w14:paraId="2DCB940B" w14:textId="77777777" w:rsidTr="00536A32">
        <w:tc>
          <w:tcPr>
            <w:tcW w:w="1260" w:type="dxa"/>
            <w:tcBorders>
              <w:top w:val="dashSmallGap" w:sz="4" w:space="0" w:color="auto"/>
            </w:tcBorders>
            <w:shd w:val="clear" w:color="auto" w:fill="A6A6A6" w:themeFill="background1" w:themeFillShade="A6"/>
            <w:vAlign w:val="center"/>
          </w:tcPr>
          <w:p w14:paraId="30DAC584" w14:textId="77777777" w:rsidR="00E06A15" w:rsidRPr="00CE1F45" w:rsidRDefault="00E06A15" w:rsidP="008E4D2B">
            <w:pPr>
              <w:rPr>
                <w:b/>
              </w:rPr>
            </w:pPr>
            <w:r w:rsidRPr="00CE1F45">
              <w:rPr>
                <w:b/>
              </w:rPr>
              <w:t>Funding</w:t>
            </w:r>
          </w:p>
        </w:tc>
        <w:tc>
          <w:tcPr>
            <w:tcW w:w="1980" w:type="dxa"/>
            <w:tcBorders>
              <w:top w:val="dashSmallGap" w:sz="4" w:space="0" w:color="auto"/>
            </w:tcBorders>
            <w:shd w:val="clear" w:color="auto" w:fill="EAF1DD" w:themeFill="accent3" w:themeFillTint="33"/>
          </w:tcPr>
          <w:p w14:paraId="53D817E4" w14:textId="77777777" w:rsidR="00E06A15" w:rsidRPr="0032298A" w:rsidRDefault="00E06A15" w:rsidP="008E4D2B">
            <w:pPr>
              <w:rPr>
                <w:sz w:val="23"/>
                <w:szCs w:val="23"/>
              </w:rPr>
            </w:pPr>
            <w:r w:rsidRPr="0032298A">
              <w:rPr>
                <w:sz w:val="23"/>
                <w:szCs w:val="23"/>
              </w:rPr>
              <w:t>CPD Solicitation Projects</w:t>
            </w:r>
          </w:p>
        </w:tc>
        <w:tc>
          <w:tcPr>
            <w:tcW w:w="1620" w:type="dxa"/>
            <w:tcBorders>
              <w:top w:val="dashSmallGap" w:sz="4" w:space="0" w:color="auto"/>
              <w:right w:val="single" w:sz="18" w:space="0" w:color="auto"/>
            </w:tcBorders>
            <w:shd w:val="clear" w:color="auto" w:fill="D6E3BC" w:themeFill="accent3" w:themeFillTint="66"/>
          </w:tcPr>
          <w:p w14:paraId="241975D9" w14:textId="77777777" w:rsidR="00E06A15" w:rsidRPr="0032298A" w:rsidRDefault="00E06A15" w:rsidP="008E4D2B">
            <w:pPr>
              <w:rPr>
                <w:sz w:val="23"/>
                <w:szCs w:val="23"/>
              </w:rPr>
            </w:pPr>
            <w:r w:rsidRPr="0032298A">
              <w:rPr>
                <w:sz w:val="23"/>
                <w:szCs w:val="23"/>
              </w:rPr>
              <w:t>CPD Solicitation Projects</w:t>
            </w:r>
          </w:p>
          <w:p w14:paraId="7FCACE82" w14:textId="77777777" w:rsidR="00E06A15" w:rsidRPr="0032298A" w:rsidRDefault="00E06A15" w:rsidP="008E4D2B">
            <w:pPr>
              <w:rPr>
                <w:sz w:val="23"/>
                <w:szCs w:val="23"/>
              </w:rPr>
            </w:pPr>
            <w:r w:rsidRPr="0032298A">
              <w:rPr>
                <w:sz w:val="23"/>
                <w:szCs w:val="23"/>
              </w:rPr>
              <w:t>Targeted Awards</w:t>
            </w:r>
          </w:p>
        </w:tc>
        <w:tc>
          <w:tcPr>
            <w:tcW w:w="2250" w:type="dxa"/>
            <w:tcBorders>
              <w:top w:val="dashSmallGap" w:sz="4" w:space="0" w:color="auto"/>
              <w:left w:val="single" w:sz="18" w:space="0" w:color="auto"/>
              <w:bottom w:val="single" w:sz="18" w:space="0" w:color="auto"/>
              <w:right w:val="dashed" w:sz="4" w:space="0" w:color="auto"/>
            </w:tcBorders>
            <w:shd w:val="clear" w:color="auto" w:fill="C2D69B" w:themeFill="accent3" w:themeFillTint="99"/>
          </w:tcPr>
          <w:p w14:paraId="226158C6" w14:textId="77777777" w:rsidR="00E06A15" w:rsidRPr="0032298A" w:rsidRDefault="00E06A15" w:rsidP="008E4D2B">
            <w:pPr>
              <w:rPr>
                <w:b/>
                <w:sz w:val="23"/>
                <w:szCs w:val="23"/>
              </w:rPr>
            </w:pPr>
            <w:r w:rsidRPr="0032298A">
              <w:rPr>
                <w:b/>
                <w:sz w:val="23"/>
                <w:szCs w:val="23"/>
              </w:rPr>
              <w:t>Targeted CPD award</w:t>
            </w:r>
          </w:p>
        </w:tc>
        <w:tc>
          <w:tcPr>
            <w:tcW w:w="2070" w:type="dxa"/>
            <w:tcBorders>
              <w:top w:val="dashSmallGap" w:sz="4" w:space="0" w:color="auto"/>
              <w:left w:val="dashed" w:sz="4" w:space="0" w:color="auto"/>
              <w:bottom w:val="single" w:sz="18" w:space="0" w:color="auto"/>
              <w:right w:val="single" w:sz="18" w:space="0" w:color="auto"/>
            </w:tcBorders>
            <w:shd w:val="clear" w:color="auto" w:fill="C2D69B" w:themeFill="accent3" w:themeFillTint="99"/>
          </w:tcPr>
          <w:p w14:paraId="0B976E0A" w14:textId="77777777" w:rsidR="00E06A15" w:rsidRPr="0032298A" w:rsidRDefault="00E06A15" w:rsidP="008E4D2B">
            <w:pPr>
              <w:rPr>
                <w:b/>
                <w:sz w:val="23"/>
                <w:szCs w:val="23"/>
              </w:rPr>
            </w:pPr>
            <w:r w:rsidRPr="0032298A">
              <w:rPr>
                <w:b/>
                <w:sz w:val="23"/>
                <w:szCs w:val="23"/>
              </w:rPr>
              <w:t>Targeted CPD award</w:t>
            </w:r>
          </w:p>
        </w:tc>
        <w:tc>
          <w:tcPr>
            <w:tcW w:w="1980" w:type="dxa"/>
            <w:tcBorders>
              <w:top w:val="dashSmallGap" w:sz="4" w:space="0" w:color="auto"/>
              <w:left w:val="single" w:sz="18" w:space="0" w:color="auto"/>
            </w:tcBorders>
            <w:shd w:val="clear" w:color="auto" w:fill="76923C" w:themeFill="accent3" w:themeFillShade="BF"/>
          </w:tcPr>
          <w:p w14:paraId="4B651B65" w14:textId="77777777" w:rsidR="00E06A15" w:rsidRPr="00CE1F45" w:rsidRDefault="00E06A15" w:rsidP="008E4D2B"/>
        </w:tc>
        <w:tc>
          <w:tcPr>
            <w:tcW w:w="2070" w:type="dxa"/>
            <w:tcBorders>
              <w:top w:val="dashSmallGap" w:sz="4" w:space="0" w:color="auto"/>
            </w:tcBorders>
            <w:shd w:val="clear" w:color="auto" w:fill="4F6228" w:themeFill="accent3" w:themeFillShade="80"/>
          </w:tcPr>
          <w:p w14:paraId="00D8E084" w14:textId="77777777" w:rsidR="00E06A15" w:rsidRPr="00CE1F45" w:rsidRDefault="00E06A15" w:rsidP="008E4D2B"/>
        </w:tc>
        <w:tc>
          <w:tcPr>
            <w:tcW w:w="1710" w:type="dxa"/>
            <w:tcBorders>
              <w:top w:val="dashSmallGap" w:sz="4" w:space="0" w:color="auto"/>
            </w:tcBorders>
            <w:shd w:val="clear" w:color="auto" w:fill="4F6228" w:themeFill="accent3" w:themeFillShade="80"/>
          </w:tcPr>
          <w:p w14:paraId="1B29CDDF" w14:textId="77777777" w:rsidR="00E06A15" w:rsidRPr="00CE1F45" w:rsidRDefault="00E06A15" w:rsidP="008E4D2B"/>
        </w:tc>
      </w:tr>
    </w:tbl>
    <w:p w14:paraId="75FB3988" w14:textId="77777777" w:rsidR="00E06A15" w:rsidRDefault="00E06A15" w:rsidP="008E4D2B">
      <w:pPr>
        <w:spacing w:after="200" w:line="276" w:lineRule="auto"/>
        <w:rPr>
          <w:rFonts w:ascii="Calibri" w:eastAsia="Calibri" w:hAnsi="Calibri"/>
          <w:sz w:val="22"/>
          <w:szCs w:val="22"/>
        </w:rPr>
        <w:sectPr w:rsidR="00E06A15" w:rsidSect="00E06A15">
          <w:pgSz w:w="15840" w:h="12240" w:orient="landscape" w:code="1"/>
          <w:pgMar w:top="432" w:right="432" w:bottom="432" w:left="432" w:header="432" w:footer="432" w:gutter="0"/>
          <w:cols w:space="720"/>
          <w:titlePg/>
          <w:docGrid w:linePitch="326"/>
        </w:sectPr>
      </w:pPr>
    </w:p>
    <w:p w14:paraId="41DAFC32" w14:textId="77777777" w:rsidR="009A4A8B" w:rsidRPr="009A4A8B" w:rsidRDefault="00AD24E1" w:rsidP="0001256C">
      <w:pPr>
        <w:pStyle w:val="NormalWeb"/>
        <w:tabs>
          <w:tab w:val="left" w:pos="0"/>
          <w:tab w:val="left" w:pos="2340"/>
        </w:tabs>
        <w:jc w:val="both"/>
      </w:pPr>
      <w:r>
        <w:lastRenderedPageBreak/>
        <w:t xml:space="preserve">The COPS Office recognizes the value and importance of technical assistance </w:t>
      </w:r>
      <w:r w:rsidR="00F5402A">
        <w:t>to</w:t>
      </w:r>
      <w:r>
        <w:t xml:space="preserve"> the law enforcement field.  COPS </w:t>
      </w:r>
      <w:r w:rsidRPr="008E4E7D">
        <w:rPr>
          <w:rStyle w:val="a6"/>
          <w:rFonts w:ascii="Times New Roman" w:hAnsi="Times New Roman"/>
        </w:rPr>
        <w:t xml:space="preserve">funds are used to advance the practice of community policing in law enforcement agencies through training and technical assistance that enhance the problem-solving skills of law enforcement professionals and the development of innovative community policing strategies; applied research; guidebooks; and best practices that emphasize crime prevention.  To date, </w:t>
      </w:r>
      <w:r w:rsidRPr="008E4E7D">
        <w:t xml:space="preserve">COPS has disseminated over </w:t>
      </w:r>
      <w:r w:rsidR="008A57F3">
        <w:t>6</w:t>
      </w:r>
      <w:r>
        <w:t>,600</w:t>
      </w:r>
      <w:r w:rsidRPr="008E4E7D">
        <w:t xml:space="preserve">,000 knowledge products and trained more than </w:t>
      </w:r>
      <w:r w:rsidR="008A57F3">
        <w:t>600</w:t>
      </w:r>
      <w:r w:rsidRPr="008E4E7D">
        <w:t xml:space="preserve">,000 policing professionals and community leaders in topics such as violent crime reduction strategies; ethics and integrity; terrorism prevention and preparedness; school safety; partnership building; problem-solving; and crime analysis. </w:t>
      </w:r>
    </w:p>
    <w:p w14:paraId="0909EE0C" w14:textId="77777777" w:rsidR="009A4A8B" w:rsidRPr="000F5BB6" w:rsidRDefault="009A4A8B" w:rsidP="0001256C">
      <w:pPr>
        <w:autoSpaceDE w:val="0"/>
        <w:autoSpaceDN w:val="0"/>
        <w:adjustRightInd w:val="0"/>
        <w:jc w:val="both"/>
        <w:rPr>
          <w:rStyle w:val="a6"/>
          <w:rFonts w:ascii="Times New Roman" w:hAnsi="Times New Roman"/>
          <w:b/>
          <w:u w:val="single"/>
        </w:rPr>
      </w:pPr>
      <w:r w:rsidRPr="000F5BB6">
        <w:rPr>
          <w:rStyle w:val="a6"/>
          <w:rFonts w:ascii="Times New Roman" w:hAnsi="Times New Roman"/>
          <w:b/>
          <w:u w:val="single"/>
        </w:rPr>
        <w:t xml:space="preserve">Community Policing Development </w:t>
      </w:r>
    </w:p>
    <w:p w14:paraId="5CFDFAB4" w14:textId="77777777" w:rsidR="008E4E7D" w:rsidRPr="008E4E7D" w:rsidRDefault="008E4E7D" w:rsidP="0001256C">
      <w:pPr>
        <w:autoSpaceDE w:val="0"/>
        <w:autoSpaceDN w:val="0"/>
        <w:adjustRightInd w:val="0"/>
        <w:jc w:val="both"/>
        <w:rPr>
          <w:rStyle w:val="a6"/>
          <w:rFonts w:ascii="Times New Roman" w:hAnsi="Times New Roman"/>
        </w:rPr>
      </w:pPr>
      <w:r w:rsidRPr="008E4E7D">
        <w:rPr>
          <w:rStyle w:val="a6"/>
          <w:rFonts w:ascii="Times New Roman" w:hAnsi="Times New Roman"/>
        </w:rPr>
        <w:t>COPS Community Policing Development (CPD) funding contributes to developing the capacity of law enforcement to implement community policing strategies, builds knowledge about effective practices and outcomes, and supports creative approaches to preventing crime and promoting safe communities.  CPD funds also address the unique needs of targeted audiences and stakeholders, such as campus and school safety programs; tribal and Native American law enforcement; returning offenders; faith based programs; and agencies implementing large technology initiatives.</w:t>
      </w:r>
    </w:p>
    <w:p w14:paraId="1687BC03" w14:textId="77777777" w:rsidR="00C71340" w:rsidRPr="007D6B4A" w:rsidRDefault="00C71340" w:rsidP="0001256C">
      <w:pPr>
        <w:jc w:val="both"/>
      </w:pPr>
    </w:p>
    <w:p w14:paraId="704472CA" w14:textId="77777777" w:rsidR="00C71340" w:rsidRDefault="00C71340" w:rsidP="0001256C">
      <w:pPr>
        <w:jc w:val="both"/>
        <w:rPr>
          <w:rStyle w:val="a6"/>
          <w:rFonts w:ascii="Times New Roman" w:hAnsi="Times New Roman"/>
        </w:rPr>
      </w:pPr>
      <w:r w:rsidRPr="00B57F8A">
        <w:t xml:space="preserve">By </w:t>
      </w:r>
      <w:r>
        <w:t>investing</w:t>
      </w:r>
      <w:r w:rsidRPr="00B57F8A">
        <w:t xml:space="preserve"> in </w:t>
      </w:r>
      <w:r>
        <w:t>training and technical assistance</w:t>
      </w:r>
      <w:r w:rsidRPr="00B57F8A">
        <w:t xml:space="preserve">, the Department of Justice will </w:t>
      </w:r>
      <w:r>
        <w:t xml:space="preserve">be able to </w:t>
      </w:r>
      <w:r w:rsidRPr="00B57F8A">
        <w:t xml:space="preserve">continue to </w:t>
      </w:r>
      <w:r>
        <w:t>support</w:t>
      </w:r>
      <w:r w:rsidRPr="00B57F8A">
        <w:t xml:space="preserve"> c</w:t>
      </w:r>
      <w:r w:rsidR="00F5402A">
        <w:t>ommunity safety throughout the n</w:t>
      </w:r>
      <w:r w:rsidRPr="00B57F8A">
        <w:t xml:space="preserve">ation and significantly </w:t>
      </w:r>
      <w:r w:rsidRPr="00B57F8A">
        <w:rPr>
          <w:rStyle w:val="a6"/>
          <w:rFonts w:ascii="Times New Roman" w:hAnsi="Times New Roman"/>
        </w:rPr>
        <w:t xml:space="preserve">contribute to developing the capacity of law enforcement to implement community policing strategies, build knowledge about effective practices and outcomes, and support creative approaches to addressing crime and promoting safe communities. </w:t>
      </w:r>
    </w:p>
    <w:p w14:paraId="0CF495F7" w14:textId="77777777" w:rsidR="00A36E68" w:rsidRDefault="00A36E68" w:rsidP="0001256C">
      <w:pPr>
        <w:jc w:val="both"/>
        <w:rPr>
          <w:rStyle w:val="a6"/>
          <w:rFonts w:ascii="Times New Roman" w:hAnsi="Times New Roman"/>
        </w:rPr>
      </w:pPr>
    </w:p>
    <w:p w14:paraId="1E29CB79" w14:textId="77777777" w:rsidR="00A36E68" w:rsidRDefault="00A36E68" w:rsidP="0001256C">
      <w:pPr>
        <w:contextualSpacing/>
        <w:jc w:val="both"/>
      </w:pPr>
      <w:r w:rsidRPr="00F03AB4">
        <w:t xml:space="preserve">In FY 2012, the COPS Office </w:t>
      </w:r>
      <w:r w:rsidR="00FC277B">
        <w:t>used approximately</w:t>
      </w:r>
      <w:r>
        <w:t xml:space="preserve"> $</w:t>
      </w:r>
      <w:r w:rsidR="00FC277B">
        <w:t>10 million</w:t>
      </w:r>
      <w:r>
        <w:t xml:space="preserve"> </w:t>
      </w:r>
      <w:r w:rsidR="00F5402A">
        <w:t xml:space="preserve">in </w:t>
      </w:r>
      <w:r w:rsidR="00FC277B">
        <w:t>CPD funding to support grants and cooperative agreement</w:t>
      </w:r>
      <w:r w:rsidR="00F369F5">
        <w:t>s</w:t>
      </w:r>
      <w:r w:rsidR="00FC277B">
        <w:t xml:space="preserve">, provide technical assistance and produce community policing publications.  </w:t>
      </w:r>
      <w:r>
        <w:t>A new initiative</w:t>
      </w:r>
      <w:r w:rsidR="007C1FD0">
        <w:t xml:space="preserve"> </w:t>
      </w:r>
      <w:r>
        <w:t>featured in the FY 2012 CPD competitive solicitation was the “Micro Grant Program”, which</w:t>
      </w:r>
      <w:r w:rsidRPr="00A36E68">
        <w:t xml:space="preserve"> </w:t>
      </w:r>
      <w:r w:rsidR="007C1FD0">
        <w:t xml:space="preserve">consisted of </w:t>
      </w:r>
      <w:r w:rsidRPr="00F03AB4">
        <w:t xml:space="preserve">a small number of awards </w:t>
      </w:r>
      <w:r w:rsidR="007C1FD0">
        <w:t xml:space="preserve">made </w:t>
      </w:r>
      <w:r w:rsidRPr="00F03AB4">
        <w:t xml:space="preserve">directly to local law enforcement agencies to provide seed funding to implement and test innovative community policing strategies.  </w:t>
      </w:r>
      <w:r>
        <w:t xml:space="preserve">Law enforcement agencies applied for grants up to $50,000 to enhance or try a new innovation of community policing at the local level.  </w:t>
      </w:r>
      <w:r w:rsidRPr="00495C4D">
        <w:t>This initiative was developed because the COPS staff noticed that</w:t>
      </w:r>
      <w:r w:rsidRPr="00124070">
        <w:t xml:space="preserve"> approximately 10% of the overall CPD applications contained proposals from </w:t>
      </w:r>
      <w:r w:rsidRPr="00495C4D">
        <w:t xml:space="preserve">small agencies, in particular, </w:t>
      </w:r>
      <w:r w:rsidR="008464F1">
        <w:t xml:space="preserve">that had </w:t>
      </w:r>
      <w:r w:rsidRPr="00495C4D">
        <w:t>applied for CPD grants in the past, but did not have the resources or support to develop their ideas fully or replicate them for use by other agencies.</w:t>
      </w:r>
      <w:r>
        <w:t xml:space="preserve">  </w:t>
      </w:r>
      <w:r w:rsidRPr="00495C4D">
        <w:t>This new approach allow</w:t>
      </w:r>
      <w:r>
        <w:t>ed</w:t>
      </w:r>
      <w:r w:rsidRPr="00495C4D">
        <w:t xml:space="preserve"> these agencies to receive resources and try</w:t>
      </w:r>
      <w:r>
        <w:t xml:space="preserve"> new ideas.  The COPS Office has</w:t>
      </w:r>
      <w:r w:rsidRPr="00495C4D">
        <w:t xml:space="preserve"> manage</w:t>
      </w:r>
      <w:r>
        <w:t>d</w:t>
      </w:r>
      <w:r w:rsidRPr="00495C4D">
        <w:t xml:space="preserve"> them as a group, create</w:t>
      </w:r>
      <w:r>
        <w:t>d</w:t>
      </w:r>
      <w:r w:rsidRPr="00495C4D">
        <w:t xml:space="preserve"> a supportive virtual community of practitioners, and provide</w:t>
      </w:r>
      <w:r>
        <w:t>d</w:t>
      </w:r>
      <w:r w:rsidRPr="00495C4D">
        <w:t xml:space="preserve"> technical assistance if they need it.  </w:t>
      </w:r>
      <w:r w:rsidR="008464F1">
        <w:t>The</w:t>
      </w:r>
      <w:r w:rsidRPr="00495C4D">
        <w:t xml:space="preserve"> results will be published by </w:t>
      </w:r>
      <w:r w:rsidR="00F5402A">
        <w:t xml:space="preserve">the </w:t>
      </w:r>
      <w:r w:rsidRPr="00495C4D">
        <w:t>COPS</w:t>
      </w:r>
      <w:r w:rsidR="00F5402A">
        <w:t xml:space="preserve"> Office</w:t>
      </w:r>
      <w:r w:rsidRPr="00495C4D">
        <w:t xml:space="preserve"> so that other small agencies can learn from their experiences.</w:t>
      </w:r>
      <w:r>
        <w:t xml:space="preserve">  </w:t>
      </w:r>
      <w:r w:rsidRPr="00F03AB4">
        <w:t xml:space="preserve">These awards were </w:t>
      </w:r>
      <w:r w:rsidR="008464F1">
        <w:t>require</w:t>
      </w:r>
      <w:r w:rsidR="008464F1" w:rsidRPr="00F03AB4">
        <w:t xml:space="preserve">d </w:t>
      </w:r>
      <w:r w:rsidRPr="00F03AB4">
        <w:t xml:space="preserve">to include an evaluation component to test program effectiveness.  The COPS Office proposes to continue this funding model in </w:t>
      </w:r>
      <w:r w:rsidR="008464F1">
        <w:t>FY</w:t>
      </w:r>
      <w:r w:rsidR="00244DEB">
        <w:t xml:space="preserve"> 20</w:t>
      </w:r>
      <w:r w:rsidR="008464F1">
        <w:t>13 and FY</w:t>
      </w:r>
      <w:r w:rsidR="00244DEB">
        <w:t xml:space="preserve"> 20</w:t>
      </w:r>
      <w:r w:rsidR="008464F1">
        <w:t xml:space="preserve">14 as a part of </w:t>
      </w:r>
      <w:r w:rsidRPr="00F03AB4">
        <w:t>innovative community policing programs aimed directly at local law enforcement agencies.</w:t>
      </w:r>
      <w:r w:rsidR="00FC277B">
        <w:t xml:space="preserve"> </w:t>
      </w:r>
    </w:p>
    <w:p w14:paraId="446F90E9" w14:textId="77777777" w:rsidR="00C71340" w:rsidRDefault="00C71340" w:rsidP="0001256C">
      <w:pPr>
        <w:jc w:val="both"/>
      </w:pPr>
    </w:p>
    <w:p w14:paraId="07171E14" w14:textId="77777777" w:rsidR="00C71340" w:rsidRDefault="005723A0" w:rsidP="0001256C">
      <w:pPr>
        <w:autoSpaceDE w:val="0"/>
        <w:autoSpaceDN w:val="0"/>
        <w:adjustRightInd w:val="0"/>
        <w:jc w:val="both"/>
      </w:pPr>
      <w:r w:rsidRPr="00B57F8A">
        <w:t xml:space="preserve">In FY 2013, </w:t>
      </w:r>
      <w:r w:rsidR="00FC277B">
        <w:t>$</w:t>
      </w:r>
      <w:r w:rsidR="003C338B">
        <w:t>10 million is available</w:t>
      </w:r>
      <w:r w:rsidR="00FC277B">
        <w:t xml:space="preserve"> </w:t>
      </w:r>
      <w:r w:rsidRPr="00B57F8A">
        <w:t xml:space="preserve">for </w:t>
      </w:r>
      <w:r>
        <w:t>training and technical assistance as a carve out from the COPS Hiring funding will be administered through the CPD Initiative</w:t>
      </w:r>
      <w:r w:rsidRPr="00B57F8A">
        <w:t xml:space="preserve"> to </w:t>
      </w:r>
      <w:r>
        <w:t>provide</w:t>
      </w:r>
      <w:r w:rsidRPr="00B57F8A">
        <w:t xml:space="preserve"> resources in direct support of the Department’s objective </w:t>
      </w:r>
      <w:r w:rsidRPr="005E13E0">
        <w:t xml:space="preserve">(3.1) </w:t>
      </w:r>
      <w:r w:rsidR="000908F2" w:rsidRPr="005E13E0">
        <w:t>to “</w:t>
      </w:r>
      <w:r w:rsidRPr="005E13E0">
        <w:t>Promote and strengthen relationships and strategies for the administration of justice with State, local, Tribal, and international law enforcement.”</w:t>
      </w:r>
      <w:r w:rsidRPr="00B57F8A">
        <w:t xml:space="preserve">  The $</w:t>
      </w:r>
      <w:r>
        <w:t>1</w:t>
      </w:r>
      <w:r w:rsidR="003C338B">
        <w:t>0</w:t>
      </w:r>
      <w:r w:rsidRPr="00B57F8A">
        <w:t xml:space="preserve"> million will be used </w:t>
      </w:r>
      <w:r>
        <w:t xml:space="preserve">in part </w:t>
      </w:r>
      <w:r w:rsidRPr="00B57F8A">
        <w:t xml:space="preserve">to increase the amount of training and </w:t>
      </w:r>
      <w:r w:rsidRPr="00B57F8A">
        <w:lastRenderedPageBreak/>
        <w:t xml:space="preserve">technical assistance that the COPS Office provides directly to state, local and tribal law enforcement to address their most critical needs. </w:t>
      </w:r>
      <w:r w:rsidR="00C71340">
        <w:t xml:space="preserve"> </w:t>
      </w:r>
      <w:r>
        <w:t xml:space="preserve">The </w:t>
      </w:r>
      <w:r w:rsidRPr="00B57F8A">
        <w:t>COPS</w:t>
      </w:r>
      <w:r>
        <w:t xml:space="preserve"> Office </w:t>
      </w:r>
      <w:r w:rsidRPr="00B57F8A">
        <w:t xml:space="preserve">also plans to </w:t>
      </w:r>
      <w:r>
        <w:t>continue</w:t>
      </w:r>
      <w:r w:rsidRPr="00B57F8A">
        <w:t xml:space="preserve"> the development and distribution of knowledge resource products that advance community policing strategies to address crime and disorder issues across the country.</w:t>
      </w:r>
      <w:r>
        <w:t xml:space="preserve"> FY 2013 training and technical assistance funding will also allow the COPS Office to continue to support critical community-based initiatives.  </w:t>
      </w:r>
      <w:r w:rsidR="00F50790">
        <w:t xml:space="preserve">In addition, in FY 2013 the COPS Office will use Community Policing Development (CPD) funds to develop a </w:t>
      </w:r>
      <w:r w:rsidR="003C338B">
        <w:t>model for FY 2014 Comprehensive School Safety Program</w:t>
      </w:r>
      <w:r w:rsidR="00F50790">
        <w:t xml:space="preserve">, including an updated SRO training program to ensure that SROs </w:t>
      </w:r>
      <w:r w:rsidR="003C338B">
        <w:t xml:space="preserve">that are </w:t>
      </w:r>
      <w:r w:rsidR="00F50790">
        <w:t xml:space="preserve">funded are following the community policing model required by COPS in FY 2014. </w:t>
      </w:r>
    </w:p>
    <w:p w14:paraId="1CE99A2B" w14:textId="77777777" w:rsidR="00F50790" w:rsidRDefault="00F50790" w:rsidP="0001256C">
      <w:pPr>
        <w:jc w:val="both"/>
      </w:pPr>
    </w:p>
    <w:p w14:paraId="48CC203D" w14:textId="77777777" w:rsidR="005723A0" w:rsidRDefault="005723A0" w:rsidP="0001256C">
      <w:pPr>
        <w:jc w:val="both"/>
      </w:pPr>
      <w:r w:rsidRPr="00B57F8A">
        <w:t>The COPS Office provides a unique service by focusing on the importance of the community perspective in state and local initiatives.  Through th</w:t>
      </w:r>
      <w:r>
        <w:t>e</w:t>
      </w:r>
      <w:r w:rsidRPr="00B57F8A">
        <w:t xml:space="preserve"> broad range of </w:t>
      </w:r>
      <w:r>
        <w:t>training and technical assistance provided through the</w:t>
      </w:r>
      <w:r w:rsidRPr="00B57F8A">
        <w:t xml:space="preserve"> </w:t>
      </w:r>
      <w:r>
        <w:t>CPD</w:t>
      </w:r>
      <w:r w:rsidRPr="00B57F8A">
        <w:t xml:space="preserve"> </w:t>
      </w:r>
      <w:r>
        <w:t>Initiative</w:t>
      </w:r>
      <w:r w:rsidRPr="00B57F8A">
        <w:t xml:space="preserve">, the COPS Office </w:t>
      </w:r>
      <w:r w:rsidRPr="007D6B4A">
        <w:t xml:space="preserve">has </w:t>
      </w:r>
      <w:r>
        <w:t xml:space="preserve">partnered with other DOJ and federal government </w:t>
      </w:r>
      <w:r w:rsidRPr="007D6B4A">
        <w:t xml:space="preserve">entities doing placed-based work in communities to enhance public safety.  </w:t>
      </w:r>
      <w:r>
        <w:t>For example, in New Orleans, Louisiana the Office is working</w:t>
      </w:r>
      <w:r w:rsidRPr="007D6B4A">
        <w:t xml:space="preserve"> with </w:t>
      </w:r>
      <w:r>
        <w:t xml:space="preserve">the U.S. Attorney and </w:t>
      </w:r>
      <w:r w:rsidRPr="007D6B4A">
        <w:t xml:space="preserve">the </w:t>
      </w:r>
      <w:r>
        <w:t xml:space="preserve">New Orleans Police Department </w:t>
      </w:r>
      <w:r w:rsidRPr="007D6B4A">
        <w:t xml:space="preserve">to improve training through their </w:t>
      </w:r>
      <w:r>
        <w:t xml:space="preserve">police </w:t>
      </w:r>
      <w:r w:rsidRPr="007D6B4A">
        <w:t xml:space="preserve">academy and to address crime and disorder in three distressed neighborhoods.  </w:t>
      </w:r>
      <w:r>
        <w:t xml:space="preserve">The </w:t>
      </w:r>
      <w:r w:rsidRPr="007D6B4A">
        <w:t>COPS</w:t>
      </w:r>
      <w:r>
        <w:t xml:space="preserve"> Office</w:t>
      </w:r>
      <w:r w:rsidRPr="007D6B4A">
        <w:t xml:space="preserve"> is </w:t>
      </w:r>
      <w:r>
        <w:t xml:space="preserve">also </w:t>
      </w:r>
      <w:r w:rsidRPr="007D6B4A">
        <w:t xml:space="preserve">heavily invested in the White House initiative, Strong Cities Strong Communities (SC2), where </w:t>
      </w:r>
      <w:r>
        <w:t>it</w:t>
      </w:r>
      <w:r w:rsidRPr="007D6B4A">
        <w:t xml:space="preserve"> prov</w:t>
      </w:r>
      <w:r>
        <w:t xml:space="preserve">ides technical assistance to the Chester, Pennsylvania </w:t>
      </w:r>
      <w:r w:rsidRPr="007D6B4A">
        <w:t>police department on issues such as crime analysis, faith-based partners</w:t>
      </w:r>
      <w:r>
        <w:t>,</w:t>
      </w:r>
      <w:r w:rsidRPr="007D6B4A">
        <w:t xml:space="preserve"> and community-based government problem-solving.</w:t>
      </w:r>
    </w:p>
    <w:p w14:paraId="59FD9BFA" w14:textId="77777777" w:rsidR="005723A0" w:rsidRDefault="005723A0" w:rsidP="0001256C">
      <w:pPr>
        <w:jc w:val="both"/>
      </w:pPr>
    </w:p>
    <w:p w14:paraId="71559B29" w14:textId="77777777" w:rsidR="005723A0" w:rsidRDefault="005723A0" w:rsidP="0001256C">
      <w:pPr>
        <w:jc w:val="both"/>
      </w:pPr>
      <w:r>
        <w:t>In addition to the community-based initiatives that training and technical assistance funding supports, it also supports other critical Department of Justice law enforcement initiatives.  For example, it supports</w:t>
      </w:r>
      <w:r w:rsidRPr="007D6B4A">
        <w:t xml:space="preserve"> the COPS</w:t>
      </w:r>
      <w:r>
        <w:t xml:space="preserve"> Office’s</w:t>
      </w:r>
      <w:r w:rsidRPr="007D6B4A">
        <w:t xml:space="preserve"> partnership with </w:t>
      </w:r>
      <w:r>
        <w:t>the Bureau of Justice Assistance (</w:t>
      </w:r>
      <w:r w:rsidRPr="007D6B4A">
        <w:t>BJA</w:t>
      </w:r>
      <w:r>
        <w:t>)</w:t>
      </w:r>
      <w:r w:rsidRPr="007D6B4A">
        <w:t xml:space="preserve"> on t</w:t>
      </w:r>
      <w:r>
        <w:t>he “Officer Safety and Wellness Working Group.”  This working group was created to address the alarming increase in the number of officers killed in the line of duty and is a</w:t>
      </w:r>
      <w:r w:rsidRPr="007D6B4A">
        <w:t xml:space="preserve"> critical initiative designed to create promising practices on preventing officer in the line of duty deaths.  </w:t>
      </w:r>
      <w:r>
        <w:t xml:space="preserve">The working group is meeting with law enforcement stakeholders such as the International Association of Chiefs of Police and the National Sheriff’s Association. The </w:t>
      </w:r>
      <w:r w:rsidRPr="007D6B4A">
        <w:t>COPS</w:t>
      </w:r>
      <w:r>
        <w:t xml:space="preserve"> Office also</w:t>
      </w:r>
      <w:r w:rsidRPr="007D6B4A">
        <w:t xml:space="preserve"> partners with the </w:t>
      </w:r>
      <w:r>
        <w:t xml:space="preserve">DOJ </w:t>
      </w:r>
      <w:r w:rsidRPr="007D6B4A">
        <w:t xml:space="preserve">Community Relations Service on curriculum and outreach </w:t>
      </w:r>
      <w:r>
        <w:t xml:space="preserve">to communities in Puerto Rico and with the </w:t>
      </w:r>
      <w:r w:rsidRPr="007D6B4A">
        <w:t xml:space="preserve">Civil Rights Division </w:t>
      </w:r>
      <w:r>
        <w:t xml:space="preserve">to identify </w:t>
      </w:r>
      <w:r w:rsidRPr="007D6B4A">
        <w:t xml:space="preserve">agencies whose issues do not rise to the level of an investigation but could </w:t>
      </w:r>
      <w:r>
        <w:t>benefit from</w:t>
      </w:r>
      <w:r w:rsidRPr="007D6B4A">
        <w:t xml:space="preserve"> technical assistance.  </w:t>
      </w:r>
    </w:p>
    <w:p w14:paraId="7C2E6FD3" w14:textId="77777777" w:rsidR="008E4E7D" w:rsidRDefault="008E4E7D" w:rsidP="0001256C">
      <w:pPr>
        <w:jc w:val="both"/>
      </w:pPr>
    </w:p>
    <w:p w14:paraId="1C84DC47" w14:textId="77777777" w:rsidR="005723A0" w:rsidRDefault="008D2DA4" w:rsidP="0001256C">
      <w:pPr>
        <w:jc w:val="both"/>
        <w:rPr>
          <w:rStyle w:val="a6"/>
          <w:rFonts w:ascii="Times New Roman" w:hAnsi="Times New Roman"/>
        </w:rPr>
      </w:pPr>
      <w:r>
        <w:rPr>
          <w:rFonts w:cs="Arial"/>
        </w:rPr>
        <w:t>In</w:t>
      </w:r>
      <w:r w:rsidR="000F5819">
        <w:rPr>
          <w:rFonts w:cs="Arial"/>
        </w:rPr>
        <w:t xml:space="preserve"> 2014, t</w:t>
      </w:r>
      <w:r w:rsidR="005723A0">
        <w:rPr>
          <w:rFonts w:cs="Arial"/>
        </w:rPr>
        <w:t xml:space="preserve">he COPS Office proposes to </w:t>
      </w:r>
      <w:r w:rsidR="000F5819">
        <w:rPr>
          <w:rFonts w:cs="Arial"/>
        </w:rPr>
        <w:t>increase funding for CPD by</w:t>
      </w:r>
      <w:r w:rsidR="005723A0">
        <w:rPr>
          <w:rFonts w:cs="Arial"/>
        </w:rPr>
        <w:t xml:space="preserve"> $5 million </w:t>
      </w:r>
      <w:r w:rsidR="000F5819">
        <w:rPr>
          <w:rFonts w:cs="Arial"/>
        </w:rPr>
        <w:t xml:space="preserve">to $15 million </w:t>
      </w:r>
      <w:r w:rsidR="005723A0">
        <w:rPr>
          <w:rFonts w:cs="Arial"/>
        </w:rPr>
        <w:t>for tr</w:t>
      </w:r>
      <w:r w:rsidR="0099700D">
        <w:rPr>
          <w:rFonts w:cs="Arial"/>
        </w:rPr>
        <w:t>aining and technical assistance.  This request also includes</w:t>
      </w:r>
      <w:r w:rsidR="005723A0">
        <w:rPr>
          <w:rFonts w:cs="Arial"/>
        </w:rPr>
        <w:t xml:space="preserve"> the provision for up to five (5) percent of all appropriated funding to be used for these activities</w:t>
      </w:r>
      <w:r>
        <w:rPr>
          <w:rFonts w:cs="Arial"/>
        </w:rPr>
        <w:t>, to be administered through the CPD Initiative</w:t>
      </w:r>
      <w:r w:rsidR="005723A0">
        <w:rPr>
          <w:rFonts w:cs="Arial"/>
        </w:rPr>
        <w:t xml:space="preserve">.  This amount would be above and beyond funding appropriated specifically for these purposes.  </w:t>
      </w:r>
      <w:r w:rsidR="005723A0" w:rsidRPr="00725334">
        <w:rPr>
          <w:rFonts w:cs="Arial"/>
        </w:rPr>
        <w:t xml:space="preserve"> </w:t>
      </w:r>
      <w:r w:rsidR="005723A0">
        <w:rPr>
          <w:rStyle w:val="a6"/>
          <w:rFonts w:ascii="Times New Roman" w:hAnsi="Times New Roman"/>
        </w:rPr>
        <w:t>Training and technical assistance</w:t>
      </w:r>
      <w:r w:rsidR="005723A0" w:rsidRPr="00B57F8A">
        <w:rPr>
          <w:rStyle w:val="a6"/>
          <w:rFonts w:ascii="Times New Roman" w:hAnsi="Times New Roman"/>
        </w:rPr>
        <w:t xml:space="preserve"> funding contributes to developing the capacity of law enforcement to implement community policing strategies, builds knowledge about effective practices and outcomes, and supports creative approaches to addressing crime and promoting safe communities, such as police integrity initiatives, overcoming recruitment and hiring challenges and hiring in the spirit of service, improving the use of information technology, and addressing urban violence, gangs, and drug issues. CPD funds also address the unique needs of targeted audiences and stakeholders, such as campus and school safety</w:t>
      </w:r>
      <w:r w:rsidR="005723A0">
        <w:rPr>
          <w:rStyle w:val="a6"/>
          <w:rFonts w:ascii="Times New Roman" w:hAnsi="Times New Roman"/>
        </w:rPr>
        <w:t>;</w:t>
      </w:r>
      <w:r w:rsidR="005723A0" w:rsidRPr="00B57F8A">
        <w:rPr>
          <w:rStyle w:val="a6"/>
          <w:rFonts w:ascii="Times New Roman" w:hAnsi="Times New Roman"/>
        </w:rPr>
        <w:t xml:space="preserve"> tribal and Native American law enforcement</w:t>
      </w:r>
      <w:r w:rsidR="005723A0">
        <w:rPr>
          <w:rStyle w:val="a6"/>
          <w:rFonts w:ascii="Times New Roman" w:hAnsi="Times New Roman"/>
        </w:rPr>
        <w:t>;</w:t>
      </w:r>
      <w:r w:rsidR="005723A0" w:rsidRPr="00B57F8A">
        <w:rPr>
          <w:rStyle w:val="a6"/>
          <w:rFonts w:ascii="Times New Roman" w:hAnsi="Times New Roman"/>
        </w:rPr>
        <w:t xml:space="preserve"> returning offenders</w:t>
      </w:r>
      <w:r w:rsidR="005723A0">
        <w:rPr>
          <w:rStyle w:val="a6"/>
          <w:rFonts w:ascii="Times New Roman" w:hAnsi="Times New Roman"/>
        </w:rPr>
        <w:t>;</w:t>
      </w:r>
      <w:r w:rsidR="00287E8F">
        <w:rPr>
          <w:rStyle w:val="a6"/>
          <w:rFonts w:ascii="Times New Roman" w:hAnsi="Times New Roman"/>
        </w:rPr>
        <w:t xml:space="preserve"> child and youth safety; and</w:t>
      </w:r>
      <w:r w:rsidR="005723A0" w:rsidRPr="00B57F8A">
        <w:rPr>
          <w:rStyle w:val="a6"/>
          <w:rFonts w:ascii="Times New Roman" w:hAnsi="Times New Roman"/>
        </w:rPr>
        <w:t xml:space="preserve"> faith based programs</w:t>
      </w:r>
      <w:r w:rsidR="00287E8F">
        <w:rPr>
          <w:rStyle w:val="a6"/>
          <w:rFonts w:ascii="Times New Roman" w:hAnsi="Times New Roman"/>
        </w:rPr>
        <w:t>.</w:t>
      </w:r>
      <w:r w:rsidR="005723A0" w:rsidRPr="00B57F8A">
        <w:rPr>
          <w:rStyle w:val="a6"/>
          <w:rFonts w:ascii="Times New Roman" w:hAnsi="Times New Roman"/>
        </w:rPr>
        <w:t xml:space="preserve">  </w:t>
      </w:r>
    </w:p>
    <w:p w14:paraId="3003558D" w14:textId="77777777" w:rsidR="005723A0" w:rsidRDefault="005723A0" w:rsidP="0001256C">
      <w:pPr>
        <w:jc w:val="both"/>
        <w:rPr>
          <w:rStyle w:val="a6"/>
          <w:rFonts w:ascii="Times New Roman" w:hAnsi="Times New Roman"/>
        </w:rPr>
      </w:pPr>
    </w:p>
    <w:p w14:paraId="0AF5E030" w14:textId="77777777" w:rsidR="005723A0" w:rsidRPr="00B57F8A" w:rsidRDefault="005723A0" w:rsidP="0001256C">
      <w:pPr>
        <w:jc w:val="both"/>
        <w:rPr>
          <w:rStyle w:val="a6"/>
          <w:rFonts w:ascii="Times New Roman" w:hAnsi="Times New Roman"/>
        </w:rPr>
      </w:pPr>
      <w:r w:rsidRPr="00B57F8A">
        <w:rPr>
          <w:rStyle w:val="a6"/>
          <w:rFonts w:ascii="Times New Roman" w:hAnsi="Times New Roman"/>
        </w:rPr>
        <w:t xml:space="preserve">The COPS Office strategically develops </w:t>
      </w:r>
      <w:r>
        <w:rPr>
          <w:rStyle w:val="a6"/>
          <w:rFonts w:ascii="Times New Roman" w:hAnsi="Times New Roman"/>
        </w:rPr>
        <w:t>community policing d</w:t>
      </w:r>
      <w:r w:rsidRPr="00B57F8A">
        <w:rPr>
          <w:rStyle w:val="a6"/>
          <w:rFonts w:ascii="Times New Roman" w:hAnsi="Times New Roman"/>
        </w:rPr>
        <w:t xml:space="preserve">evelopment themes and outcomes to address the current, long-term and emerging needs of law enforcement and related </w:t>
      </w:r>
      <w:r w:rsidRPr="00B57F8A">
        <w:rPr>
          <w:rStyle w:val="a6"/>
          <w:rFonts w:ascii="Times New Roman" w:hAnsi="Times New Roman"/>
        </w:rPr>
        <w:lastRenderedPageBreak/>
        <w:t>stakeholders.  The FY 201</w:t>
      </w:r>
      <w:r>
        <w:rPr>
          <w:rStyle w:val="a6"/>
          <w:rFonts w:ascii="Times New Roman" w:hAnsi="Times New Roman"/>
        </w:rPr>
        <w:t>4</w:t>
      </w:r>
      <w:r w:rsidRPr="00B57F8A">
        <w:rPr>
          <w:rStyle w:val="a6"/>
          <w:rFonts w:ascii="Times New Roman" w:hAnsi="Times New Roman"/>
        </w:rPr>
        <w:t xml:space="preserve"> themes, and corresponding program statements and </w:t>
      </w:r>
      <w:r>
        <w:rPr>
          <w:rStyle w:val="a6"/>
          <w:rFonts w:ascii="Times New Roman" w:hAnsi="Times New Roman"/>
        </w:rPr>
        <w:t>program outcomes, might include</w:t>
      </w:r>
      <w:r w:rsidRPr="00B57F8A">
        <w:rPr>
          <w:rStyle w:val="a6"/>
          <w:rFonts w:ascii="Times New Roman" w:hAnsi="Times New Roman"/>
        </w:rPr>
        <w:t>:</w:t>
      </w:r>
    </w:p>
    <w:p w14:paraId="15A63C60" w14:textId="77777777" w:rsidR="005723A0" w:rsidRPr="00B57F8A" w:rsidRDefault="005723A0" w:rsidP="0001256C">
      <w:pPr>
        <w:jc w:val="both"/>
        <w:rPr>
          <w:rStyle w:val="a6"/>
          <w:rFonts w:ascii="Times New Roman" w:hAnsi="Times New Roman"/>
        </w:rPr>
      </w:pPr>
    </w:p>
    <w:p w14:paraId="2566E56D" w14:textId="77777777" w:rsidR="005723A0" w:rsidRPr="00B57F8A" w:rsidRDefault="005723A0" w:rsidP="0001256C">
      <w:pPr>
        <w:jc w:val="both"/>
        <w:rPr>
          <w:b/>
          <w:u w:val="single"/>
        </w:rPr>
      </w:pPr>
      <w:r w:rsidRPr="00B57F8A">
        <w:rPr>
          <w:b/>
          <w:u w:val="single"/>
        </w:rPr>
        <w:t xml:space="preserve">I. Community Policing and Homeland Security </w:t>
      </w:r>
    </w:p>
    <w:p w14:paraId="777C4310" w14:textId="77777777" w:rsidR="005723A0" w:rsidRPr="00B57F8A" w:rsidRDefault="005723A0" w:rsidP="0001256C">
      <w:pPr>
        <w:jc w:val="both"/>
        <w:rPr>
          <w:b/>
        </w:rPr>
      </w:pPr>
      <w:r w:rsidRPr="00B57F8A">
        <w:rPr>
          <w:b/>
        </w:rPr>
        <w:t>Role of Local Law Enforcement Agencies in Homeland Security</w:t>
      </w:r>
    </w:p>
    <w:p w14:paraId="7525AD0D" w14:textId="77777777" w:rsidR="005723A0" w:rsidRPr="00B57F8A" w:rsidRDefault="005723A0" w:rsidP="0001256C">
      <w:pPr>
        <w:jc w:val="both"/>
      </w:pPr>
      <w:r w:rsidRPr="00B57F8A">
        <w:rPr>
          <w:i/>
        </w:rPr>
        <w:t xml:space="preserve">Program Statement - </w:t>
      </w:r>
      <w:r w:rsidRPr="00B57F8A">
        <w:t>Improve the capacity of law enforcement agencies to partner with relevant stakeholders on homeland security initiatives and to integrate homeland security roles with community policing and traditional law enforcement agencies responsibilities.</w:t>
      </w:r>
    </w:p>
    <w:p w14:paraId="416CCFD2" w14:textId="77777777" w:rsidR="005723A0" w:rsidRPr="00B57F8A" w:rsidRDefault="005723A0" w:rsidP="0001256C">
      <w:pPr>
        <w:jc w:val="both"/>
        <w:rPr>
          <w:i/>
        </w:rPr>
      </w:pPr>
      <w:r w:rsidRPr="00B57F8A">
        <w:rPr>
          <w:i/>
        </w:rPr>
        <w:t>Program Outcomes:</w:t>
      </w:r>
    </w:p>
    <w:p w14:paraId="066D8E20" w14:textId="77777777" w:rsidR="005723A0" w:rsidRPr="00B57F8A" w:rsidRDefault="005723A0" w:rsidP="0001256C">
      <w:pPr>
        <w:numPr>
          <w:ilvl w:val="0"/>
          <w:numId w:val="17"/>
        </w:numPr>
        <w:tabs>
          <w:tab w:val="clear" w:pos="990"/>
        </w:tabs>
        <w:ind w:left="162" w:hanging="180"/>
        <w:jc w:val="both"/>
      </w:pPr>
      <w:r w:rsidRPr="00B57F8A">
        <w:t>Increase the capacity of state, local, and tribal law enforcement agencies to develop and maintain a criminal intelligence capability.</w:t>
      </w:r>
    </w:p>
    <w:p w14:paraId="33F20524" w14:textId="77777777" w:rsidR="005723A0" w:rsidRPr="00B57F8A" w:rsidRDefault="005723A0" w:rsidP="0001256C">
      <w:pPr>
        <w:numPr>
          <w:ilvl w:val="0"/>
          <w:numId w:val="17"/>
        </w:numPr>
        <w:tabs>
          <w:tab w:val="clear" w:pos="990"/>
        </w:tabs>
        <w:ind w:left="162" w:hanging="180"/>
        <w:jc w:val="both"/>
      </w:pPr>
      <w:r w:rsidRPr="00B57F8A">
        <w:t>Increase the capacity of state, local, and tribal law enforcement agencies to develop and maintain an all-crimes approach in their agency and/or in partnership with other jurisdictions and entities (e.g. fusion centers).</w:t>
      </w:r>
    </w:p>
    <w:p w14:paraId="66BC13A9" w14:textId="77777777" w:rsidR="005723A0" w:rsidRPr="00B57F8A" w:rsidRDefault="005723A0" w:rsidP="0001256C">
      <w:pPr>
        <w:numPr>
          <w:ilvl w:val="0"/>
          <w:numId w:val="17"/>
        </w:numPr>
        <w:tabs>
          <w:tab w:val="clear" w:pos="990"/>
        </w:tabs>
        <w:ind w:left="162" w:hanging="180"/>
        <w:jc w:val="both"/>
      </w:pPr>
      <w:r w:rsidRPr="00B57F8A">
        <w:t xml:space="preserve">Increase the ability of law enforcement agencies to measure the success of homeland security related activities. </w:t>
      </w:r>
    </w:p>
    <w:p w14:paraId="584B3593" w14:textId="77777777" w:rsidR="008604BD" w:rsidRDefault="008604BD" w:rsidP="0001256C">
      <w:pPr>
        <w:jc w:val="both"/>
        <w:rPr>
          <w:b/>
          <w:u w:val="single"/>
        </w:rPr>
      </w:pPr>
    </w:p>
    <w:p w14:paraId="585339EB" w14:textId="77777777" w:rsidR="005723A0" w:rsidRPr="00B57F8A" w:rsidRDefault="005723A0" w:rsidP="0001256C">
      <w:pPr>
        <w:jc w:val="both"/>
        <w:rPr>
          <w:b/>
          <w:u w:val="single"/>
        </w:rPr>
      </w:pPr>
      <w:r w:rsidRPr="00B57F8A">
        <w:rPr>
          <w:b/>
          <w:u w:val="single"/>
        </w:rPr>
        <w:t xml:space="preserve">II. Business of Law Enforcement </w:t>
      </w:r>
    </w:p>
    <w:p w14:paraId="0BE1CD55" w14:textId="77777777" w:rsidR="005723A0" w:rsidRPr="00B57F8A" w:rsidRDefault="005723A0" w:rsidP="0001256C">
      <w:pPr>
        <w:jc w:val="both"/>
        <w:rPr>
          <w:b/>
        </w:rPr>
      </w:pPr>
      <w:r w:rsidRPr="00B57F8A">
        <w:rPr>
          <w:b/>
        </w:rPr>
        <w:t>Recruitment and Hiring</w:t>
      </w:r>
    </w:p>
    <w:p w14:paraId="708EEB00" w14:textId="77777777" w:rsidR="005723A0" w:rsidRPr="00B57F8A" w:rsidRDefault="005723A0" w:rsidP="0001256C">
      <w:pPr>
        <w:jc w:val="both"/>
      </w:pPr>
      <w:r w:rsidRPr="00B57F8A">
        <w:rPr>
          <w:i/>
        </w:rPr>
        <w:t xml:space="preserve">Program Statement - </w:t>
      </w:r>
      <w:r w:rsidRPr="00B57F8A">
        <w:t>Improve the capacity of law enforcement agencies to attract and hire officers who embrace and implement the community policing philosophy.</w:t>
      </w:r>
    </w:p>
    <w:p w14:paraId="35DA56E3" w14:textId="77777777" w:rsidR="005723A0" w:rsidRPr="00B57F8A" w:rsidRDefault="005723A0" w:rsidP="0001256C">
      <w:pPr>
        <w:jc w:val="both"/>
        <w:rPr>
          <w:i/>
        </w:rPr>
      </w:pPr>
      <w:r w:rsidRPr="00B57F8A">
        <w:rPr>
          <w:i/>
        </w:rPr>
        <w:t>Program Outcomes:</w:t>
      </w:r>
    </w:p>
    <w:p w14:paraId="14440DEC" w14:textId="77777777" w:rsidR="005723A0" w:rsidRPr="00B57F8A" w:rsidRDefault="005723A0" w:rsidP="0001256C">
      <w:pPr>
        <w:numPr>
          <w:ilvl w:val="0"/>
          <w:numId w:val="18"/>
        </w:numPr>
        <w:jc w:val="both"/>
      </w:pPr>
      <w:r w:rsidRPr="00B57F8A">
        <w:t>Increase the capacity of law enforcement agencies to recruit, hire, and retain service-oriented officers.</w:t>
      </w:r>
    </w:p>
    <w:p w14:paraId="11D6C6D7" w14:textId="77777777" w:rsidR="005723A0" w:rsidRPr="00B57F8A" w:rsidRDefault="005723A0" w:rsidP="0001256C">
      <w:pPr>
        <w:numPr>
          <w:ilvl w:val="0"/>
          <w:numId w:val="18"/>
        </w:numPr>
        <w:jc w:val="both"/>
      </w:pPr>
      <w:r w:rsidRPr="00B57F8A">
        <w:t>Increase the capacity of law enforcement agencies to brand and market their departments to better meet the needs of community policing.</w:t>
      </w:r>
    </w:p>
    <w:p w14:paraId="7796F11B" w14:textId="77777777" w:rsidR="005723A0" w:rsidRPr="00B57F8A" w:rsidRDefault="005723A0" w:rsidP="0001256C">
      <w:pPr>
        <w:numPr>
          <w:ilvl w:val="0"/>
          <w:numId w:val="18"/>
        </w:numPr>
        <w:jc w:val="both"/>
      </w:pPr>
      <w:r w:rsidRPr="00B57F8A">
        <w:t>Increase the capacity of law enforcement agencies to establish and/or enhance a human capital strategy to hire sworn and non-sworn personnel.</w:t>
      </w:r>
    </w:p>
    <w:p w14:paraId="74AC9231" w14:textId="77777777" w:rsidR="005723A0" w:rsidRPr="00B57F8A" w:rsidRDefault="005723A0" w:rsidP="0001256C">
      <w:pPr>
        <w:jc w:val="both"/>
      </w:pPr>
    </w:p>
    <w:p w14:paraId="1B714588" w14:textId="77777777" w:rsidR="005723A0" w:rsidRPr="00B57F8A" w:rsidRDefault="005723A0" w:rsidP="0001256C">
      <w:pPr>
        <w:jc w:val="both"/>
        <w:rPr>
          <w:b/>
        </w:rPr>
      </w:pPr>
      <w:r w:rsidRPr="00B57F8A">
        <w:rPr>
          <w:b/>
        </w:rPr>
        <w:t>Ethics and Integrity (Internal)</w:t>
      </w:r>
    </w:p>
    <w:p w14:paraId="63854341" w14:textId="77777777" w:rsidR="005723A0" w:rsidRPr="00B57F8A" w:rsidRDefault="005723A0" w:rsidP="0001256C">
      <w:pPr>
        <w:jc w:val="both"/>
      </w:pPr>
      <w:r w:rsidRPr="00B57F8A">
        <w:rPr>
          <w:i/>
        </w:rPr>
        <w:t xml:space="preserve">Program Statement - </w:t>
      </w:r>
      <w:r w:rsidRPr="00B57F8A">
        <w:t>Increase the awareness of law enforcement agencies of the importance of ensuring a culture of trust and accountability.</w:t>
      </w:r>
    </w:p>
    <w:p w14:paraId="0A71EE15" w14:textId="77777777" w:rsidR="005723A0" w:rsidRPr="00B57F8A" w:rsidRDefault="005723A0" w:rsidP="0001256C">
      <w:pPr>
        <w:jc w:val="both"/>
        <w:rPr>
          <w:i/>
        </w:rPr>
      </w:pPr>
      <w:r w:rsidRPr="00B57F8A">
        <w:rPr>
          <w:i/>
        </w:rPr>
        <w:t>Program Outcomes:</w:t>
      </w:r>
    </w:p>
    <w:p w14:paraId="4FC74A75" w14:textId="77777777" w:rsidR="005723A0" w:rsidRPr="00B57F8A" w:rsidRDefault="005723A0" w:rsidP="0001256C">
      <w:pPr>
        <w:numPr>
          <w:ilvl w:val="0"/>
          <w:numId w:val="18"/>
        </w:numPr>
        <w:jc w:val="both"/>
      </w:pPr>
      <w:r w:rsidRPr="00B57F8A">
        <w:t>Increase the capacity of law enforcement agencies to implement integrity related initiatives to better enhance internal accountability.</w:t>
      </w:r>
    </w:p>
    <w:p w14:paraId="2B805880" w14:textId="77777777" w:rsidR="005723A0" w:rsidRPr="00B57F8A" w:rsidRDefault="005723A0" w:rsidP="0001256C">
      <w:pPr>
        <w:numPr>
          <w:ilvl w:val="0"/>
          <w:numId w:val="18"/>
        </w:numPr>
        <w:jc w:val="both"/>
      </w:pPr>
      <w:r w:rsidRPr="00B57F8A">
        <w:t>Increase the capacity for law enforcement agencies to train, educate, and prepare officers to work in a community policing environment where trust, honesty, and integrity are actively embraced and promoted.</w:t>
      </w:r>
    </w:p>
    <w:p w14:paraId="75CFF2D9" w14:textId="77777777" w:rsidR="005723A0" w:rsidRPr="00B57F8A" w:rsidRDefault="005723A0" w:rsidP="0001256C">
      <w:pPr>
        <w:jc w:val="both"/>
      </w:pPr>
    </w:p>
    <w:p w14:paraId="45A4728E" w14:textId="77777777" w:rsidR="005723A0" w:rsidRPr="00B57F8A" w:rsidRDefault="005723A0" w:rsidP="0001256C">
      <w:pPr>
        <w:jc w:val="both"/>
        <w:rPr>
          <w:b/>
        </w:rPr>
      </w:pPr>
      <w:r w:rsidRPr="00B57F8A">
        <w:rPr>
          <w:b/>
        </w:rPr>
        <w:t>Technology</w:t>
      </w:r>
    </w:p>
    <w:p w14:paraId="50CB9803" w14:textId="77777777" w:rsidR="005723A0" w:rsidRPr="00B57F8A" w:rsidRDefault="005723A0" w:rsidP="0001256C">
      <w:pPr>
        <w:jc w:val="both"/>
      </w:pPr>
      <w:r w:rsidRPr="00B57F8A">
        <w:rPr>
          <w:i/>
        </w:rPr>
        <w:t xml:space="preserve">Program Statement - </w:t>
      </w:r>
      <w:r w:rsidRPr="00B57F8A">
        <w:t>Improve the capacity of law enforcement agencies to use technology to support community policing efforts through the capture of data.</w:t>
      </w:r>
    </w:p>
    <w:p w14:paraId="2D93908B" w14:textId="77777777" w:rsidR="005723A0" w:rsidRPr="00B57F8A" w:rsidRDefault="005723A0" w:rsidP="0001256C">
      <w:pPr>
        <w:jc w:val="both"/>
        <w:rPr>
          <w:i/>
        </w:rPr>
      </w:pPr>
      <w:r w:rsidRPr="00B57F8A">
        <w:rPr>
          <w:i/>
        </w:rPr>
        <w:t>Program Outcomes:</w:t>
      </w:r>
    </w:p>
    <w:p w14:paraId="111CFC17" w14:textId="77777777" w:rsidR="005723A0" w:rsidRPr="00B57F8A" w:rsidRDefault="005723A0" w:rsidP="0001256C">
      <w:pPr>
        <w:numPr>
          <w:ilvl w:val="0"/>
          <w:numId w:val="18"/>
        </w:numPr>
        <w:jc w:val="both"/>
      </w:pPr>
      <w:r w:rsidRPr="00B57F8A">
        <w:t>Increase the capacity of law enforcement agencies to conduct data sharing among public service agencies.</w:t>
      </w:r>
    </w:p>
    <w:p w14:paraId="1FFFBECC" w14:textId="77777777" w:rsidR="005723A0" w:rsidRPr="00B57F8A" w:rsidRDefault="005723A0" w:rsidP="0001256C">
      <w:pPr>
        <w:numPr>
          <w:ilvl w:val="0"/>
          <w:numId w:val="18"/>
        </w:numPr>
        <w:jc w:val="both"/>
      </w:pPr>
      <w:r w:rsidRPr="00B57F8A">
        <w:t>Increase the capacity of law enforcement agencies to incorporate technology in their organizational practices.</w:t>
      </w:r>
    </w:p>
    <w:p w14:paraId="314753AE" w14:textId="77777777" w:rsidR="005723A0" w:rsidRPr="00B57F8A" w:rsidRDefault="005723A0" w:rsidP="0001256C">
      <w:pPr>
        <w:jc w:val="both"/>
      </w:pPr>
    </w:p>
    <w:p w14:paraId="1861FD33" w14:textId="77777777" w:rsidR="00765401" w:rsidRDefault="00765401" w:rsidP="0001256C">
      <w:pPr>
        <w:jc w:val="both"/>
        <w:rPr>
          <w:b/>
          <w:u w:val="single"/>
        </w:rPr>
      </w:pPr>
    </w:p>
    <w:p w14:paraId="023B4FD8" w14:textId="77777777" w:rsidR="005723A0" w:rsidRPr="00B57F8A" w:rsidRDefault="005723A0" w:rsidP="0001256C">
      <w:pPr>
        <w:jc w:val="both"/>
        <w:rPr>
          <w:b/>
          <w:u w:val="single"/>
        </w:rPr>
      </w:pPr>
      <w:r w:rsidRPr="00B57F8A">
        <w:rPr>
          <w:b/>
          <w:u w:val="single"/>
        </w:rPr>
        <w:lastRenderedPageBreak/>
        <w:t>III. Community and Law Enforcement Relationships</w:t>
      </w:r>
    </w:p>
    <w:p w14:paraId="3872BB6E" w14:textId="77777777" w:rsidR="005723A0" w:rsidRPr="00B57F8A" w:rsidRDefault="005723A0" w:rsidP="0001256C">
      <w:pPr>
        <w:jc w:val="both"/>
        <w:rPr>
          <w:b/>
        </w:rPr>
      </w:pPr>
      <w:r w:rsidRPr="00B57F8A">
        <w:rPr>
          <w:b/>
        </w:rPr>
        <w:t>Ethics and Integrity (External)</w:t>
      </w:r>
    </w:p>
    <w:p w14:paraId="248D3A04" w14:textId="77777777" w:rsidR="005723A0" w:rsidRPr="00B57F8A" w:rsidRDefault="00DF2CE4" w:rsidP="0001256C">
      <w:pPr>
        <w:jc w:val="both"/>
      </w:pPr>
      <w:r>
        <w:rPr>
          <w:i/>
        </w:rPr>
        <w:t xml:space="preserve">Program Statement - </w:t>
      </w:r>
      <w:r w:rsidR="005723A0" w:rsidRPr="00B57F8A">
        <w:t>Increase the capacity of law enforcement agencies and the communities they serve to develop and enhance mutual trust.</w:t>
      </w:r>
    </w:p>
    <w:p w14:paraId="58F767C5" w14:textId="77777777" w:rsidR="005723A0" w:rsidRPr="00B57F8A" w:rsidRDefault="005723A0" w:rsidP="0001256C">
      <w:pPr>
        <w:jc w:val="both"/>
        <w:rPr>
          <w:i/>
        </w:rPr>
      </w:pPr>
      <w:r w:rsidRPr="00B57F8A">
        <w:rPr>
          <w:i/>
        </w:rPr>
        <w:t>Program Outcomes:</w:t>
      </w:r>
    </w:p>
    <w:p w14:paraId="2654D2E0" w14:textId="77777777" w:rsidR="005723A0" w:rsidRPr="00B57F8A" w:rsidRDefault="005723A0" w:rsidP="0001256C">
      <w:pPr>
        <w:numPr>
          <w:ilvl w:val="0"/>
          <w:numId w:val="19"/>
        </w:numPr>
        <w:tabs>
          <w:tab w:val="clear" w:pos="360"/>
        </w:tabs>
        <w:ind w:left="216" w:hanging="216"/>
        <w:jc w:val="both"/>
      </w:pPr>
      <w:r w:rsidRPr="00B57F8A">
        <w:t>Increase the capacity of law enforcement agencies to address citizen concerns with the goal of building community trust.</w:t>
      </w:r>
    </w:p>
    <w:p w14:paraId="1F2A9AD7" w14:textId="77777777" w:rsidR="005723A0" w:rsidRPr="00B57F8A" w:rsidRDefault="005723A0" w:rsidP="0001256C">
      <w:pPr>
        <w:numPr>
          <w:ilvl w:val="0"/>
          <w:numId w:val="19"/>
        </w:numPr>
        <w:tabs>
          <w:tab w:val="clear" w:pos="360"/>
        </w:tabs>
        <w:ind w:left="216" w:hanging="216"/>
        <w:jc w:val="both"/>
      </w:pPr>
      <w:r w:rsidRPr="00B57F8A">
        <w:t>Increase the capacity of law enforcement agencies and relevant stakeholders to develop partnerships that increase mutual trust between law enforcement and the community.</w:t>
      </w:r>
    </w:p>
    <w:p w14:paraId="4082FE2D" w14:textId="77777777" w:rsidR="005723A0" w:rsidRPr="00B57F8A" w:rsidRDefault="005723A0" w:rsidP="0001256C">
      <w:pPr>
        <w:numPr>
          <w:ilvl w:val="0"/>
          <w:numId w:val="19"/>
        </w:numPr>
        <w:tabs>
          <w:tab w:val="clear" w:pos="360"/>
        </w:tabs>
        <w:ind w:left="216" w:hanging="216"/>
        <w:jc w:val="both"/>
      </w:pPr>
      <w:r w:rsidRPr="00B57F8A">
        <w:t>Increase the capacity of law enforcement agencies to increase officers’ level of cultural competency when interacting with citizens.</w:t>
      </w:r>
    </w:p>
    <w:p w14:paraId="7C5DD68A" w14:textId="77777777" w:rsidR="005723A0" w:rsidRPr="00B57F8A" w:rsidRDefault="005723A0" w:rsidP="0001256C">
      <w:pPr>
        <w:jc w:val="both"/>
      </w:pPr>
    </w:p>
    <w:p w14:paraId="36FC764D" w14:textId="77777777" w:rsidR="005723A0" w:rsidRPr="00B57F8A" w:rsidRDefault="005723A0" w:rsidP="0001256C">
      <w:pPr>
        <w:jc w:val="both"/>
        <w:rPr>
          <w:b/>
        </w:rPr>
      </w:pPr>
      <w:r w:rsidRPr="00B57F8A">
        <w:rPr>
          <w:b/>
        </w:rPr>
        <w:t xml:space="preserve">Criminal Justice Alternatives </w:t>
      </w:r>
    </w:p>
    <w:p w14:paraId="0E533FB8" w14:textId="77777777" w:rsidR="005723A0" w:rsidRPr="00B57F8A" w:rsidRDefault="005723A0" w:rsidP="0001256C">
      <w:pPr>
        <w:jc w:val="both"/>
        <w:rPr>
          <w:b/>
          <w:i/>
        </w:rPr>
      </w:pPr>
      <w:r w:rsidRPr="00B57F8A">
        <w:rPr>
          <w:b/>
          <w:i/>
        </w:rPr>
        <w:t>(Re-Entry, Restorative Justice and Community and Faith Based Organizations)</w:t>
      </w:r>
    </w:p>
    <w:p w14:paraId="2AC01DDB" w14:textId="77777777" w:rsidR="005723A0" w:rsidRPr="00B57F8A" w:rsidRDefault="005723A0" w:rsidP="0001256C">
      <w:pPr>
        <w:jc w:val="both"/>
      </w:pPr>
      <w:r w:rsidRPr="00B57F8A">
        <w:rPr>
          <w:i/>
        </w:rPr>
        <w:t xml:space="preserve">Program Statement - </w:t>
      </w:r>
      <w:r w:rsidRPr="00B57F8A">
        <w:t xml:space="preserve">Develop partnerships and projects throughout the criminal justice system that will result in reduced recidivism among offenders, through the development of effective alternatives to arrest and incarceration and enhanced reentry efforts.  </w:t>
      </w:r>
    </w:p>
    <w:p w14:paraId="27463440" w14:textId="77777777" w:rsidR="005723A0" w:rsidRPr="00B57F8A" w:rsidRDefault="005723A0" w:rsidP="0001256C">
      <w:pPr>
        <w:jc w:val="both"/>
        <w:rPr>
          <w:i/>
        </w:rPr>
      </w:pPr>
      <w:r w:rsidRPr="00B57F8A">
        <w:rPr>
          <w:i/>
        </w:rPr>
        <w:t>Program Outcomes:</w:t>
      </w:r>
    </w:p>
    <w:p w14:paraId="4B4F3EFC" w14:textId="77777777" w:rsidR="005723A0" w:rsidRPr="00B57F8A" w:rsidRDefault="005723A0" w:rsidP="0001256C">
      <w:pPr>
        <w:numPr>
          <w:ilvl w:val="0"/>
          <w:numId w:val="19"/>
        </w:numPr>
        <w:tabs>
          <w:tab w:val="clear" w:pos="360"/>
        </w:tabs>
        <w:autoSpaceDE w:val="0"/>
        <w:autoSpaceDN w:val="0"/>
        <w:adjustRightInd w:val="0"/>
        <w:ind w:left="252" w:hanging="252"/>
        <w:jc w:val="both"/>
      </w:pPr>
      <w:r w:rsidRPr="00B57F8A">
        <w:t>Increase the capacity of law enforcement agencies to work with other criminal justice agencies, social service providers and community groups to develop effective alternatives to incarceration.</w:t>
      </w:r>
    </w:p>
    <w:p w14:paraId="3A302B2E" w14:textId="77777777" w:rsidR="005723A0" w:rsidRPr="00B57F8A" w:rsidRDefault="005723A0" w:rsidP="0001256C">
      <w:pPr>
        <w:numPr>
          <w:ilvl w:val="0"/>
          <w:numId w:val="19"/>
        </w:numPr>
        <w:tabs>
          <w:tab w:val="clear" w:pos="360"/>
        </w:tabs>
        <w:autoSpaceDE w:val="0"/>
        <w:autoSpaceDN w:val="0"/>
        <w:adjustRightInd w:val="0"/>
        <w:ind w:left="252" w:hanging="252"/>
        <w:jc w:val="both"/>
      </w:pPr>
      <w:r w:rsidRPr="00B57F8A">
        <w:t>Increase the capacity of law enforcement agencies to reduce recidivism of returning offenders through comprehensive reentry programs.</w:t>
      </w:r>
    </w:p>
    <w:p w14:paraId="64F5512F" w14:textId="77777777" w:rsidR="005723A0" w:rsidRPr="00B57F8A" w:rsidRDefault="005723A0" w:rsidP="0001256C">
      <w:pPr>
        <w:autoSpaceDE w:val="0"/>
        <w:autoSpaceDN w:val="0"/>
        <w:adjustRightInd w:val="0"/>
        <w:jc w:val="both"/>
        <w:rPr>
          <w:b/>
          <w:u w:val="single"/>
        </w:rPr>
      </w:pPr>
    </w:p>
    <w:p w14:paraId="3238713C" w14:textId="77777777" w:rsidR="005723A0" w:rsidRPr="00B57F8A" w:rsidRDefault="005723A0" w:rsidP="0001256C">
      <w:pPr>
        <w:autoSpaceDE w:val="0"/>
        <w:autoSpaceDN w:val="0"/>
        <w:adjustRightInd w:val="0"/>
        <w:jc w:val="both"/>
        <w:rPr>
          <w:b/>
          <w:u w:val="single"/>
        </w:rPr>
      </w:pPr>
      <w:r w:rsidRPr="00B57F8A">
        <w:rPr>
          <w:b/>
          <w:u w:val="single"/>
        </w:rPr>
        <w:t xml:space="preserve">IV. Economy and Public Safety </w:t>
      </w:r>
    </w:p>
    <w:p w14:paraId="3A5CD99F" w14:textId="77777777" w:rsidR="005723A0" w:rsidRPr="00B57F8A" w:rsidRDefault="005723A0" w:rsidP="0001256C">
      <w:pPr>
        <w:autoSpaceDE w:val="0"/>
        <w:autoSpaceDN w:val="0"/>
        <w:adjustRightInd w:val="0"/>
        <w:jc w:val="both"/>
        <w:rPr>
          <w:b/>
        </w:rPr>
      </w:pPr>
      <w:r w:rsidRPr="00B57F8A">
        <w:rPr>
          <w:b/>
        </w:rPr>
        <w:t>Public Safety in a Distressed Economy</w:t>
      </w:r>
    </w:p>
    <w:p w14:paraId="171585E7" w14:textId="77777777" w:rsidR="005723A0" w:rsidRPr="00B57F8A" w:rsidRDefault="005723A0" w:rsidP="0001256C">
      <w:pPr>
        <w:autoSpaceDE w:val="0"/>
        <w:autoSpaceDN w:val="0"/>
        <w:adjustRightInd w:val="0"/>
        <w:jc w:val="both"/>
      </w:pPr>
      <w:r w:rsidRPr="00B57F8A">
        <w:rPr>
          <w:i/>
        </w:rPr>
        <w:t xml:space="preserve">Program Statement - </w:t>
      </w:r>
      <w:r w:rsidRPr="00B57F8A">
        <w:t>Increase the capacity of law enforcement agencies and relevant stakeholders to leverage community policing in responding to the effects of local economic distress on public safety.</w:t>
      </w:r>
    </w:p>
    <w:p w14:paraId="2FBE99EE" w14:textId="77777777" w:rsidR="005723A0" w:rsidRPr="00B57F8A" w:rsidRDefault="005723A0" w:rsidP="0001256C">
      <w:pPr>
        <w:jc w:val="both"/>
        <w:rPr>
          <w:i/>
        </w:rPr>
      </w:pPr>
      <w:r w:rsidRPr="00B57F8A">
        <w:rPr>
          <w:i/>
        </w:rPr>
        <w:t>Program Outcomes:</w:t>
      </w:r>
    </w:p>
    <w:p w14:paraId="3E23FCFA" w14:textId="77777777" w:rsidR="005723A0" w:rsidRPr="00B57F8A" w:rsidRDefault="005723A0" w:rsidP="0001256C">
      <w:pPr>
        <w:pStyle w:val="PlainText"/>
        <w:numPr>
          <w:ilvl w:val="0"/>
          <w:numId w:val="20"/>
        </w:numPr>
        <w:tabs>
          <w:tab w:val="clear" w:pos="720"/>
        </w:tabs>
        <w:ind w:left="360"/>
        <w:jc w:val="both"/>
        <w:rPr>
          <w:rFonts w:ascii="Times New Roman" w:hAnsi="Times New Roman" w:cs="Times New Roman"/>
          <w:sz w:val="24"/>
          <w:szCs w:val="24"/>
        </w:rPr>
      </w:pPr>
      <w:r w:rsidRPr="00B57F8A">
        <w:rPr>
          <w:rFonts w:ascii="Times New Roman" w:hAnsi="Times New Roman" w:cs="Times New Roman"/>
          <w:sz w:val="24"/>
          <w:szCs w:val="24"/>
        </w:rPr>
        <w:t xml:space="preserve">Increase the prevention and outreach capacity of law enforcement and stakeholder partnerships to counteract crimes and quality of life issues affected by local economic distress through prevention and outreach.  </w:t>
      </w:r>
    </w:p>
    <w:p w14:paraId="05ACE189" w14:textId="77777777" w:rsidR="005723A0" w:rsidRPr="00B57F8A" w:rsidRDefault="005723A0" w:rsidP="0001256C">
      <w:pPr>
        <w:pStyle w:val="PlainText"/>
        <w:numPr>
          <w:ilvl w:val="0"/>
          <w:numId w:val="20"/>
        </w:numPr>
        <w:tabs>
          <w:tab w:val="clear" w:pos="720"/>
        </w:tabs>
        <w:ind w:left="360"/>
        <w:jc w:val="both"/>
        <w:rPr>
          <w:rFonts w:ascii="Times New Roman" w:hAnsi="Times New Roman" w:cs="Times New Roman"/>
          <w:sz w:val="24"/>
          <w:szCs w:val="24"/>
        </w:rPr>
      </w:pPr>
      <w:r w:rsidRPr="00B57F8A">
        <w:rPr>
          <w:rFonts w:ascii="Times New Roman" w:hAnsi="Times New Roman" w:cs="Times New Roman"/>
          <w:sz w:val="24"/>
          <w:szCs w:val="24"/>
        </w:rPr>
        <w:t>Increase the capacity of law enforcement agencies to analyze, respond to, and evaluate the responses to specific crime problems uniquely associated with the economic climate (</w:t>
      </w:r>
      <w:r w:rsidR="007D5E61" w:rsidRPr="00B57F8A">
        <w:rPr>
          <w:rFonts w:ascii="Times New Roman" w:hAnsi="Times New Roman" w:cs="Times New Roman"/>
          <w:sz w:val="24"/>
          <w:szCs w:val="24"/>
        </w:rPr>
        <w:t>e.g.</w:t>
      </w:r>
      <w:r w:rsidRPr="00B57F8A">
        <w:rPr>
          <w:rFonts w:ascii="Times New Roman" w:hAnsi="Times New Roman" w:cs="Times New Roman"/>
          <w:sz w:val="24"/>
          <w:szCs w:val="24"/>
        </w:rPr>
        <w:t xml:space="preserve"> mortgage fraud, abandoned properties, ID theft).</w:t>
      </w:r>
    </w:p>
    <w:p w14:paraId="5454E8A9" w14:textId="77777777" w:rsidR="005723A0" w:rsidRPr="00B57F8A" w:rsidRDefault="005723A0" w:rsidP="0001256C">
      <w:pPr>
        <w:pStyle w:val="PlainText"/>
        <w:numPr>
          <w:ilvl w:val="0"/>
          <w:numId w:val="20"/>
        </w:numPr>
        <w:tabs>
          <w:tab w:val="clear" w:pos="720"/>
        </w:tabs>
        <w:ind w:left="360"/>
        <w:jc w:val="both"/>
        <w:rPr>
          <w:rFonts w:ascii="Times New Roman" w:hAnsi="Times New Roman" w:cs="Times New Roman"/>
          <w:sz w:val="24"/>
          <w:szCs w:val="24"/>
        </w:rPr>
      </w:pPr>
      <w:r w:rsidRPr="00B57F8A">
        <w:rPr>
          <w:rFonts w:ascii="Times New Roman" w:hAnsi="Times New Roman" w:cs="Times New Roman"/>
          <w:sz w:val="24"/>
          <w:szCs w:val="24"/>
        </w:rPr>
        <w:t>Increase the capacity of law enforcement to use community policing to maintain and expand levels of service in the face of recession-generated economic constraints and budget cutbacks, and to evaluate the cost-benefits of community policing.</w:t>
      </w:r>
    </w:p>
    <w:p w14:paraId="586E7575" w14:textId="77777777" w:rsidR="005723A0" w:rsidRPr="00B57F8A" w:rsidRDefault="005723A0" w:rsidP="0001256C">
      <w:pPr>
        <w:autoSpaceDE w:val="0"/>
        <w:autoSpaceDN w:val="0"/>
        <w:adjustRightInd w:val="0"/>
        <w:jc w:val="both"/>
        <w:rPr>
          <w:b/>
          <w:u w:val="single"/>
        </w:rPr>
      </w:pPr>
    </w:p>
    <w:p w14:paraId="209CF015" w14:textId="77777777" w:rsidR="005723A0" w:rsidRPr="00B57F8A" w:rsidRDefault="005723A0" w:rsidP="0001256C">
      <w:pPr>
        <w:autoSpaceDE w:val="0"/>
        <w:autoSpaceDN w:val="0"/>
        <w:adjustRightInd w:val="0"/>
        <w:jc w:val="both"/>
        <w:rPr>
          <w:b/>
          <w:u w:val="single"/>
        </w:rPr>
      </w:pPr>
      <w:r w:rsidRPr="00B57F8A">
        <w:rPr>
          <w:b/>
          <w:u w:val="single"/>
        </w:rPr>
        <w:t>V. Violent Crime</w:t>
      </w:r>
    </w:p>
    <w:p w14:paraId="3FB322A8" w14:textId="77777777" w:rsidR="005723A0" w:rsidRPr="00B57F8A" w:rsidRDefault="005723A0" w:rsidP="0001256C">
      <w:pPr>
        <w:autoSpaceDE w:val="0"/>
        <w:autoSpaceDN w:val="0"/>
        <w:adjustRightInd w:val="0"/>
        <w:jc w:val="both"/>
        <w:rPr>
          <w:b/>
        </w:rPr>
      </w:pPr>
      <w:r w:rsidRPr="00B57F8A">
        <w:rPr>
          <w:b/>
        </w:rPr>
        <w:t>Gang Violence</w:t>
      </w:r>
    </w:p>
    <w:p w14:paraId="56455661" w14:textId="77777777" w:rsidR="005723A0" w:rsidRPr="00B57F8A" w:rsidRDefault="005723A0" w:rsidP="0001256C">
      <w:pPr>
        <w:autoSpaceDE w:val="0"/>
        <w:autoSpaceDN w:val="0"/>
        <w:adjustRightInd w:val="0"/>
        <w:jc w:val="both"/>
        <w:rPr>
          <w:iCs/>
        </w:rPr>
      </w:pPr>
      <w:r w:rsidRPr="00B57F8A">
        <w:rPr>
          <w:i/>
        </w:rPr>
        <w:t xml:space="preserve">Program Statement - </w:t>
      </w:r>
      <w:r w:rsidRPr="00B57F8A">
        <w:rPr>
          <w:iCs/>
        </w:rPr>
        <w:t>Increase the capacity of law enforcement agencies to implement a comprehensive community policing response to gangs including prevention, intervention, suppression and partnership.</w:t>
      </w:r>
    </w:p>
    <w:p w14:paraId="3D0FAECA" w14:textId="77777777" w:rsidR="00931829" w:rsidRDefault="00931829" w:rsidP="0001256C">
      <w:pPr>
        <w:jc w:val="both"/>
        <w:rPr>
          <w:i/>
        </w:rPr>
      </w:pPr>
    </w:p>
    <w:p w14:paraId="1DB15646" w14:textId="77777777" w:rsidR="00633069" w:rsidRDefault="00633069" w:rsidP="0001256C">
      <w:pPr>
        <w:jc w:val="both"/>
        <w:rPr>
          <w:i/>
        </w:rPr>
      </w:pPr>
    </w:p>
    <w:p w14:paraId="37477B92" w14:textId="77777777" w:rsidR="00633069" w:rsidRDefault="00633069" w:rsidP="0001256C">
      <w:pPr>
        <w:jc w:val="both"/>
        <w:rPr>
          <w:i/>
        </w:rPr>
      </w:pPr>
    </w:p>
    <w:p w14:paraId="4C5C5619" w14:textId="77777777" w:rsidR="00633069" w:rsidRDefault="00633069" w:rsidP="0001256C">
      <w:pPr>
        <w:jc w:val="both"/>
        <w:rPr>
          <w:i/>
        </w:rPr>
      </w:pPr>
    </w:p>
    <w:p w14:paraId="0D5FD08E" w14:textId="77777777" w:rsidR="005723A0" w:rsidRPr="00B57F8A" w:rsidRDefault="005723A0" w:rsidP="0001256C">
      <w:pPr>
        <w:jc w:val="both"/>
        <w:rPr>
          <w:i/>
        </w:rPr>
      </w:pPr>
      <w:r w:rsidRPr="00B57F8A">
        <w:rPr>
          <w:i/>
        </w:rPr>
        <w:lastRenderedPageBreak/>
        <w:t>Program Outcomes:</w:t>
      </w:r>
    </w:p>
    <w:p w14:paraId="2FD09866" w14:textId="77777777" w:rsidR="005723A0" w:rsidRPr="00B57F8A" w:rsidRDefault="005723A0" w:rsidP="0001256C">
      <w:pPr>
        <w:numPr>
          <w:ilvl w:val="0"/>
          <w:numId w:val="21"/>
        </w:numPr>
        <w:tabs>
          <w:tab w:val="clear" w:pos="720"/>
        </w:tabs>
        <w:ind w:left="216" w:hanging="216"/>
        <w:jc w:val="both"/>
      </w:pPr>
      <w:r w:rsidRPr="00B57F8A">
        <w:t>Increase the capacity of law enforcement agencies to analyze and understand local gang issues.</w:t>
      </w:r>
    </w:p>
    <w:p w14:paraId="70735F76" w14:textId="77777777" w:rsidR="005723A0" w:rsidRPr="00B57F8A" w:rsidRDefault="005723A0" w:rsidP="0001256C">
      <w:pPr>
        <w:numPr>
          <w:ilvl w:val="0"/>
          <w:numId w:val="21"/>
        </w:numPr>
        <w:tabs>
          <w:tab w:val="clear" w:pos="720"/>
        </w:tabs>
        <w:ind w:left="216" w:hanging="216"/>
        <w:jc w:val="both"/>
        <w:rPr>
          <w:b/>
          <w:u w:val="single"/>
        </w:rPr>
      </w:pPr>
      <w:r w:rsidRPr="00B57F8A">
        <w:t xml:space="preserve">Increase the capacity of law enforcement agencies to develop partnerships with relevant stakeholders to address local gang issues.  </w:t>
      </w:r>
    </w:p>
    <w:p w14:paraId="15222CFA" w14:textId="77777777" w:rsidR="005723A0" w:rsidRPr="00B57F8A" w:rsidRDefault="005723A0" w:rsidP="0001256C">
      <w:pPr>
        <w:numPr>
          <w:ilvl w:val="0"/>
          <w:numId w:val="21"/>
        </w:numPr>
        <w:tabs>
          <w:tab w:val="clear" w:pos="720"/>
        </w:tabs>
        <w:ind w:left="216" w:hanging="216"/>
        <w:jc w:val="both"/>
        <w:rPr>
          <w:b/>
          <w:u w:val="single"/>
        </w:rPr>
      </w:pPr>
      <w:r w:rsidRPr="00B57F8A">
        <w:t>Increase the capacity of law enforcement agencies to develop a comprehensive response to gang problems.</w:t>
      </w:r>
    </w:p>
    <w:p w14:paraId="5B243714" w14:textId="77777777" w:rsidR="005723A0" w:rsidRPr="00B57F8A" w:rsidRDefault="005723A0" w:rsidP="0001256C">
      <w:pPr>
        <w:jc w:val="both"/>
      </w:pPr>
    </w:p>
    <w:p w14:paraId="1761E651" w14:textId="77777777" w:rsidR="005723A0" w:rsidRPr="00B57F8A" w:rsidRDefault="005723A0" w:rsidP="0001256C">
      <w:pPr>
        <w:jc w:val="both"/>
        <w:rPr>
          <w:b/>
        </w:rPr>
      </w:pPr>
      <w:r w:rsidRPr="00B57F8A">
        <w:rPr>
          <w:b/>
        </w:rPr>
        <w:t>Drugs</w:t>
      </w:r>
    </w:p>
    <w:p w14:paraId="21CD620E" w14:textId="77777777" w:rsidR="005723A0" w:rsidRPr="00B57F8A" w:rsidRDefault="005723A0" w:rsidP="0001256C">
      <w:pPr>
        <w:jc w:val="both"/>
        <w:rPr>
          <w:iCs/>
        </w:rPr>
      </w:pPr>
      <w:r w:rsidRPr="00B57F8A">
        <w:rPr>
          <w:i/>
        </w:rPr>
        <w:t xml:space="preserve">Program Statement - </w:t>
      </w:r>
      <w:r w:rsidRPr="00B57F8A">
        <w:rPr>
          <w:iCs/>
        </w:rPr>
        <w:t>Increase the capacity of law enforcement agencies to address drugs in a comprehensive community policing approach including prevention, intervention, suppression and partnership.</w:t>
      </w:r>
    </w:p>
    <w:p w14:paraId="5F378881" w14:textId="77777777" w:rsidR="005723A0" w:rsidRPr="00B57F8A" w:rsidRDefault="005723A0" w:rsidP="0001256C">
      <w:pPr>
        <w:jc w:val="both"/>
        <w:rPr>
          <w:i/>
        </w:rPr>
      </w:pPr>
      <w:r w:rsidRPr="00B57F8A">
        <w:rPr>
          <w:i/>
        </w:rPr>
        <w:t>Program Outcomes:</w:t>
      </w:r>
    </w:p>
    <w:p w14:paraId="707C9966" w14:textId="77777777" w:rsidR="005723A0" w:rsidRPr="00B57F8A" w:rsidRDefault="005723A0" w:rsidP="0001256C">
      <w:pPr>
        <w:numPr>
          <w:ilvl w:val="0"/>
          <w:numId w:val="21"/>
        </w:numPr>
        <w:tabs>
          <w:tab w:val="clear" w:pos="720"/>
        </w:tabs>
        <w:ind w:left="216" w:hanging="216"/>
        <w:jc w:val="both"/>
      </w:pPr>
      <w:r w:rsidRPr="00B57F8A">
        <w:t>Increase the capacity of law enforcement agencies to address Drug Endangered Children.</w:t>
      </w:r>
    </w:p>
    <w:p w14:paraId="7715C467" w14:textId="77777777" w:rsidR="005723A0" w:rsidRPr="00B57F8A" w:rsidRDefault="005723A0" w:rsidP="0001256C">
      <w:pPr>
        <w:numPr>
          <w:ilvl w:val="0"/>
          <w:numId w:val="21"/>
        </w:numPr>
        <w:tabs>
          <w:tab w:val="clear" w:pos="720"/>
        </w:tabs>
        <w:ind w:left="216" w:hanging="216"/>
        <w:jc w:val="both"/>
      </w:pPr>
      <w:r w:rsidRPr="00B57F8A">
        <w:t>Increase the capacity of law enforcement agencies to address the growing problem of prescription drug abuse.</w:t>
      </w:r>
    </w:p>
    <w:p w14:paraId="191CA86B" w14:textId="77777777" w:rsidR="005723A0" w:rsidRPr="00B57F8A" w:rsidRDefault="005723A0" w:rsidP="0001256C">
      <w:pPr>
        <w:numPr>
          <w:ilvl w:val="0"/>
          <w:numId w:val="21"/>
        </w:numPr>
        <w:tabs>
          <w:tab w:val="clear" w:pos="720"/>
        </w:tabs>
        <w:ind w:left="216" w:hanging="216"/>
        <w:jc w:val="both"/>
      </w:pPr>
      <w:r w:rsidRPr="00B57F8A">
        <w:t>Increase the capacity of law enforcement agencies to implement coordinated responses to methamphetamine use, production and trafficking.</w:t>
      </w:r>
    </w:p>
    <w:p w14:paraId="7B75D43A" w14:textId="77777777" w:rsidR="005723A0" w:rsidRPr="00B57F8A" w:rsidRDefault="005723A0" w:rsidP="0001256C">
      <w:pPr>
        <w:numPr>
          <w:ilvl w:val="0"/>
          <w:numId w:val="21"/>
        </w:numPr>
        <w:tabs>
          <w:tab w:val="clear" w:pos="720"/>
        </w:tabs>
        <w:ind w:left="216" w:hanging="216"/>
        <w:jc w:val="both"/>
      </w:pPr>
      <w:r w:rsidRPr="00B57F8A">
        <w:t>Increase the capacity of law enforcement agencies to share data across jurisdictional boundaries.</w:t>
      </w:r>
    </w:p>
    <w:p w14:paraId="725BC096" w14:textId="77777777" w:rsidR="00BE2EC2" w:rsidRDefault="00BE2EC2" w:rsidP="0001256C">
      <w:pPr>
        <w:jc w:val="both"/>
        <w:rPr>
          <w:b/>
        </w:rPr>
      </w:pPr>
    </w:p>
    <w:p w14:paraId="44F81CB9" w14:textId="77777777" w:rsidR="005723A0" w:rsidRPr="00B57F8A" w:rsidRDefault="005723A0" w:rsidP="0001256C">
      <w:pPr>
        <w:jc w:val="both"/>
        <w:rPr>
          <w:b/>
        </w:rPr>
      </w:pPr>
      <w:r w:rsidRPr="00B57F8A">
        <w:rPr>
          <w:b/>
        </w:rPr>
        <w:t>Urban Violence</w:t>
      </w:r>
    </w:p>
    <w:p w14:paraId="7D72C423" w14:textId="77777777" w:rsidR="005723A0" w:rsidRPr="00B57F8A" w:rsidRDefault="005723A0" w:rsidP="0001256C">
      <w:pPr>
        <w:jc w:val="both"/>
      </w:pPr>
      <w:r w:rsidRPr="00B57F8A">
        <w:rPr>
          <w:i/>
        </w:rPr>
        <w:t xml:space="preserve">Program Statement - </w:t>
      </w:r>
      <w:r w:rsidRPr="00B57F8A">
        <w:t xml:space="preserve">Improve the ability of law enforcement agencies and communities to address specific violent crime problems in distinct urban areas. </w:t>
      </w:r>
    </w:p>
    <w:p w14:paraId="36DB783D" w14:textId="77777777" w:rsidR="005723A0" w:rsidRPr="00B57F8A" w:rsidRDefault="005723A0" w:rsidP="0001256C">
      <w:pPr>
        <w:jc w:val="both"/>
        <w:rPr>
          <w:i/>
        </w:rPr>
      </w:pPr>
      <w:r w:rsidRPr="00B57F8A">
        <w:rPr>
          <w:i/>
        </w:rPr>
        <w:t>Program Outcomes:</w:t>
      </w:r>
    </w:p>
    <w:p w14:paraId="1CA08A03" w14:textId="77777777" w:rsidR="005723A0" w:rsidRPr="00B57F8A" w:rsidRDefault="005723A0" w:rsidP="0001256C">
      <w:pPr>
        <w:numPr>
          <w:ilvl w:val="0"/>
          <w:numId w:val="22"/>
        </w:numPr>
        <w:tabs>
          <w:tab w:val="clear" w:pos="360"/>
        </w:tabs>
        <w:ind w:left="216" w:hanging="216"/>
        <w:jc w:val="both"/>
      </w:pPr>
      <w:r w:rsidRPr="00B57F8A">
        <w:t>Increase the capacity of law enforcement agencies to analyze and understand urban area violent crime.</w:t>
      </w:r>
    </w:p>
    <w:p w14:paraId="55DB645D" w14:textId="77777777" w:rsidR="005723A0" w:rsidRPr="00B57F8A" w:rsidRDefault="005723A0" w:rsidP="0001256C">
      <w:pPr>
        <w:numPr>
          <w:ilvl w:val="0"/>
          <w:numId w:val="22"/>
        </w:numPr>
        <w:tabs>
          <w:tab w:val="clear" w:pos="360"/>
        </w:tabs>
        <w:ind w:left="216" w:hanging="216"/>
        <w:jc w:val="both"/>
      </w:pPr>
      <w:r w:rsidRPr="00B57F8A">
        <w:t>Increase the capacity of law enforcement agencies to partner with relevant stakeholders to address violent crime in urban areas.</w:t>
      </w:r>
    </w:p>
    <w:p w14:paraId="5CA6245E" w14:textId="77777777" w:rsidR="005723A0" w:rsidRPr="00B57F8A" w:rsidRDefault="005723A0" w:rsidP="0001256C">
      <w:pPr>
        <w:numPr>
          <w:ilvl w:val="0"/>
          <w:numId w:val="22"/>
        </w:numPr>
        <w:tabs>
          <w:tab w:val="clear" w:pos="360"/>
        </w:tabs>
        <w:ind w:left="216" w:hanging="216"/>
        <w:jc w:val="both"/>
      </w:pPr>
      <w:r w:rsidRPr="00B57F8A">
        <w:t>Increase the capacity of law enforcement agencies to target at risk youth.</w:t>
      </w:r>
    </w:p>
    <w:p w14:paraId="6CCE0928" w14:textId="77777777" w:rsidR="005723A0" w:rsidRPr="00B57F8A" w:rsidRDefault="005723A0" w:rsidP="0001256C">
      <w:pPr>
        <w:jc w:val="both"/>
      </w:pPr>
    </w:p>
    <w:p w14:paraId="374229A9" w14:textId="77777777" w:rsidR="005723A0" w:rsidRPr="00B57F8A" w:rsidRDefault="005723A0" w:rsidP="0001256C">
      <w:pPr>
        <w:jc w:val="both"/>
        <w:rPr>
          <w:b/>
          <w:u w:val="single"/>
        </w:rPr>
      </w:pPr>
      <w:r w:rsidRPr="00B57F8A">
        <w:rPr>
          <w:b/>
          <w:u w:val="single"/>
        </w:rPr>
        <w:t>VI. Child/Youth Safety</w:t>
      </w:r>
    </w:p>
    <w:p w14:paraId="0045020E" w14:textId="77777777" w:rsidR="005723A0" w:rsidRPr="00B57F8A" w:rsidRDefault="005723A0" w:rsidP="0001256C">
      <w:pPr>
        <w:jc w:val="both"/>
        <w:rPr>
          <w:b/>
        </w:rPr>
      </w:pPr>
      <w:r w:rsidRPr="00B57F8A">
        <w:rPr>
          <w:b/>
        </w:rPr>
        <w:t>Child Sexual Predators/ Internet Safety</w:t>
      </w:r>
    </w:p>
    <w:p w14:paraId="726C7566" w14:textId="77777777" w:rsidR="005723A0" w:rsidRPr="00B57F8A" w:rsidRDefault="005723A0" w:rsidP="0001256C">
      <w:pPr>
        <w:jc w:val="both"/>
      </w:pPr>
      <w:r w:rsidRPr="00B57F8A">
        <w:rPr>
          <w:i/>
        </w:rPr>
        <w:t xml:space="preserve">Program Statement - </w:t>
      </w:r>
      <w:r w:rsidRPr="00B57F8A">
        <w:rPr>
          <w:iCs/>
        </w:rPr>
        <w:t>Increase the capacity of law enforcement agencies to r</w:t>
      </w:r>
      <w:r w:rsidRPr="00B57F8A">
        <w:t>educe and prevent child endangerment and protect communities from sexual predators.</w:t>
      </w:r>
    </w:p>
    <w:p w14:paraId="45E0D19A" w14:textId="77777777" w:rsidR="005723A0" w:rsidRPr="00B57F8A" w:rsidRDefault="005723A0" w:rsidP="0001256C">
      <w:pPr>
        <w:jc w:val="both"/>
        <w:rPr>
          <w:i/>
        </w:rPr>
      </w:pPr>
      <w:r w:rsidRPr="00B57F8A">
        <w:rPr>
          <w:i/>
        </w:rPr>
        <w:t>Program Outcomes:</w:t>
      </w:r>
    </w:p>
    <w:p w14:paraId="5CD5D96F" w14:textId="77777777" w:rsidR="005723A0" w:rsidRPr="00B57F8A" w:rsidRDefault="005723A0" w:rsidP="0001256C">
      <w:pPr>
        <w:numPr>
          <w:ilvl w:val="0"/>
          <w:numId w:val="23"/>
        </w:numPr>
        <w:tabs>
          <w:tab w:val="clear" w:pos="360"/>
        </w:tabs>
        <w:ind w:left="216" w:hanging="216"/>
        <w:jc w:val="both"/>
      </w:pPr>
      <w:r w:rsidRPr="00B57F8A">
        <w:t xml:space="preserve">Increase capacity of law enforcement agencies to help locate, arrest, and prosecute child sexual predators and exploiters, and enforce state sex offender registration laws. </w:t>
      </w:r>
    </w:p>
    <w:p w14:paraId="13036506" w14:textId="77777777" w:rsidR="005723A0" w:rsidRPr="00B57F8A" w:rsidRDefault="005723A0" w:rsidP="0001256C">
      <w:pPr>
        <w:numPr>
          <w:ilvl w:val="0"/>
          <w:numId w:val="23"/>
        </w:numPr>
        <w:tabs>
          <w:tab w:val="clear" w:pos="360"/>
        </w:tabs>
        <w:ind w:left="216" w:hanging="216"/>
        <w:jc w:val="both"/>
        <w:rPr>
          <w:b/>
          <w:u w:val="single"/>
        </w:rPr>
      </w:pPr>
      <w:r w:rsidRPr="00B57F8A">
        <w:t xml:space="preserve">Increase capacity of law enforcement agencies to improve coordination and partnerships in addressing and reducing child endangerment. </w:t>
      </w:r>
    </w:p>
    <w:p w14:paraId="044747AA" w14:textId="77777777" w:rsidR="005723A0" w:rsidRPr="00B57F8A" w:rsidRDefault="005723A0" w:rsidP="0001256C">
      <w:pPr>
        <w:numPr>
          <w:ilvl w:val="0"/>
          <w:numId w:val="23"/>
        </w:numPr>
        <w:tabs>
          <w:tab w:val="clear" w:pos="360"/>
        </w:tabs>
        <w:ind w:left="216" w:hanging="216"/>
        <w:jc w:val="both"/>
        <w:rPr>
          <w:b/>
          <w:u w:val="single"/>
        </w:rPr>
      </w:pPr>
      <w:r w:rsidRPr="00B57F8A">
        <w:t>Increase capacity of law enforcement agencies to improve investigative</w:t>
      </w:r>
      <w:r w:rsidR="00506991">
        <w:t xml:space="preserve"> efforts of sexual predators on</w:t>
      </w:r>
      <w:r w:rsidRPr="00B57F8A">
        <w:t>line through enhanced technology capability.</w:t>
      </w:r>
    </w:p>
    <w:p w14:paraId="3D94E5E0" w14:textId="77777777" w:rsidR="005723A0" w:rsidRDefault="005723A0" w:rsidP="0001256C">
      <w:pPr>
        <w:jc w:val="both"/>
        <w:rPr>
          <w:b/>
          <w:u w:val="single"/>
        </w:rPr>
      </w:pPr>
    </w:p>
    <w:p w14:paraId="1443A728" w14:textId="77777777" w:rsidR="005723A0" w:rsidRPr="00B57F8A" w:rsidRDefault="005723A0" w:rsidP="0001256C">
      <w:pPr>
        <w:jc w:val="both"/>
        <w:rPr>
          <w:b/>
          <w:u w:val="single"/>
        </w:rPr>
      </w:pPr>
      <w:r w:rsidRPr="00B57F8A">
        <w:rPr>
          <w:b/>
          <w:u w:val="single"/>
        </w:rPr>
        <w:t>VII. Quality of Life Crimes</w:t>
      </w:r>
    </w:p>
    <w:p w14:paraId="027068C6" w14:textId="77777777" w:rsidR="005723A0" w:rsidRPr="00B57F8A" w:rsidRDefault="005723A0" w:rsidP="0001256C">
      <w:pPr>
        <w:jc w:val="both"/>
        <w:rPr>
          <w:b/>
        </w:rPr>
      </w:pPr>
      <w:r w:rsidRPr="00B57F8A">
        <w:rPr>
          <w:b/>
        </w:rPr>
        <w:t>Fear of Crime</w:t>
      </w:r>
    </w:p>
    <w:p w14:paraId="2D703318" w14:textId="77777777" w:rsidR="005723A0" w:rsidRPr="00B57F8A" w:rsidRDefault="005723A0" w:rsidP="0001256C">
      <w:pPr>
        <w:jc w:val="both"/>
        <w:rPr>
          <w:iCs/>
        </w:rPr>
      </w:pPr>
      <w:r w:rsidRPr="00B57F8A">
        <w:rPr>
          <w:i/>
        </w:rPr>
        <w:t xml:space="preserve">Program Statement - </w:t>
      </w:r>
      <w:r w:rsidRPr="00B57F8A">
        <w:rPr>
          <w:iCs/>
        </w:rPr>
        <w:t>Increase the capacity of law enforcement agencies to address fear of crime in a comprehensive community policing approach.</w:t>
      </w:r>
    </w:p>
    <w:p w14:paraId="4464FE48" w14:textId="77777777" w:rsidR="005723A0" w:rsidRPr="00B57F8A" w:rsidRDefault="005723A0" w:rsidP="0001256C">
      <w:pPr>
        <w:jc w:val="both"/>
        <w:rPr>
          <w:i/>
        </w:rPr>
      </w:pPr>
      <w:r w:rsidRPr="00B57F8A">
        <w:rPr>
          <w:i/>
        </w:rPr>
        <w:t>Program Outcomes:</w:t>
      </w:r>
    </w:p>
    <w:p w14:paraId="717BE379" w14:textId="77777777" w:rsidR="005723A0" w:rsidRPr="00B57F8A" w:rsidRDefault="005723A0" w:rsidP="0001256C">
      <w:pPr>
        <w:numPr>
          <w:ilvl w:val="0"/>
          <w:numId w:val="24"/>
        </w:numPr>
        <w:tabs>
          <w:tab w:val="clear" w:pos="720"/>
        </w:tabs>
        <w:ind w:left="216" w:hanging="180"/>
        <w:jc w:val="both"/>
      </w:pPr>
      <w:r w:rsidRPr="00B57F8A">
        <w:t xml:space="preserve">Increase the awareness of law enforcement agencies regarding the negative impact fear of crime has on communities. </w:t>
      </w:r>
    </w:p>
    <w:p w14:paraId="38D29890" w14:textId="77777777" w:rsidR="005723A0" w:rsidRPr="00B57F8A" w:rsidRDefault="005723A0" w:rsidP="0001256C">
      <w:pPr>
        <w:numPr>
          <w:ilvl w:val="0"/>
          <w:numId w:val="24"/>
        </w:numPr>
        <w:tabs>
          <w:tab w:val="clear" w:pos="720"/>
        </w:tabs>
        <w:ind w:left="216" w:hanging="180"/>
        <w:jc w:val="both"/>
      </w:pPr>
      <w:r w:rsidRPr="00B57F8A">
        <w:lastRenderedPageBreak/>
        <w:t>Increase the capacity of law enforcement agencies to measure fear of crime in their jurisdiction.</w:t>
      </w:r>
    </w:p>
    <w:p w14:paraId="02338CAE" w14:textId="77777777" w:rsidR="005723A0" w:rsidRPr="00B57F8A" w:rsidRDefault="005723A0" w:rsidP="0001256C">
      <w:pPr>
        <w:numPr>
          <w:ilvl w:val="0"/>
          <w:numId w:val="24"/>
        </w:numPr>
        <w:tabs>
          <w:tab w:val="clear" w:pos="720"/>
        </w:tabs>
        <w:ind w:left="216" w:hanging="180"/>
        <w:jc w:val="both"/>
      </w:pPr>
      <w:r w:rsidRPr="00B57F8A">
        <w:t>Increase the knowledge of law enforcement agencies regarding promising practices that may be able to assist in fear reduction.</w:t>
      </w:r>
    </w:p>
    <w:p w14:paraId="0EA8A3D0" w14:textId="77777777" w:rsidR="005723A0" w:rsidRPr="00B57F8A" w:rsidRDefault="005723A0" w:rsidP="0001256C">
      <w:pPr>
        <w:jc w:val="both"/>
        <w:rPr>
          <w:b/>
          <w:u w:val="single"/>
        </w:rPr>
      </w:pPr>
    </w:p>
    <w:p w14:paraId="76A129AB" w14:textId="77777777" w:rsidR="005723A0" w:rsidRPr="00B57F8A" w:rsidRDefault="005723A0" w:rsidP="0001256C">
      <w:pPr>
        <w:jc w:val="both"/>
        <w:rPr>
          <w:b/>
          <w:u w:val="single"/>
        </w:rPr>
      </w:pPr>
      <w:r w:rsidRPr="00B57F8A">
        <w:rPr>
          <w:b/>
          <w:u w:val="single"/>
        </w:rPr>
        <w:t>VIII. Community Policing in Unique Environments</w:t>
      </w:r>
    </w:p>
    <w:p w14:paraId="1FC8846D" w14:textId="77777777" w:rsidR="005723A0" w:rsidRPr="00B57F8A" w:rsidRDefault="005723A0" w:rsidP="0001256C">
      <w:pPr>
        <w:jc w:val="both"/>
        <w:rPr>
          <w:b/>
        </w:rPr>
      </w:pPr>
      <w:r w:rsidRPr="00B57F8A">
        <w:rPr>
          <w:b/>
        </w:rPr>
        <w:t>Tribal</w:t>
      </w:r>
    </w:p>
    <w:p w14:paraId="6A8D1473" w14:textId="77777777" w:rsidR="005723A0" w:rsidRPr="00B57F8A" w:rsidRDefault="005723A0" w:rsidP="0001256C">
      <w:pPr>
        <w:jc w:val="both"/>
        <w:rPr>
          <w:iCs/>
        </w:rPr>
      </w:pPr>
      <w:r w:rsidRPr="00B57F8A">
        <w:rPr>
          <w:i/>
        </w:rPr>
        <w:t xml:space="preserve">Program Statement - </w:t>
      </w:r>
      <w:r w:rsidRPr="00B57F8A">
        <w:rPr>
          <w:iCs/>
        </w:rPr>
        <w:t>Increase the capacity of law enforcement agencies to address tribal issues in a culturally sensitive and comprehensive community policing approach.</w:t>
      </w:r>
    </w:p>
    <w:p w14:paraId="41566B3A" w14:textId="77777777" w:rsidR="005723A0" w:rsidRPr="00B57F8A" w:rsidRDefault="005723A0" w:rsidP="0001256C">
      <w:pPr>
        <w:jc w:val="both"/>
        <w:rPr>
          <w:i/>
        </w:rPr>
      </w:pPr>
      <w:r w:rsidRPr="00B57F8A">
        <w:rPr>
          <w:i/>
        </w:rPr>
        <w:t>Program Outcomes:</w:t>
      </w:r>
    </w:p>
    <w:p w14:paraId="2B5C55AE" w14:textId="77777777" w:rsidR="005723A0" w:rsidRPr="00B57F8A" w:rsidRDefault="005723A0" w:rsidP="0001256C">
      <w:pPr>
        <w:numPr>
          <w:ilvl w:val="0"/>
          <w:numId w:val="25"/>
        </w:numPr>
        <w:tabs>
          <w:tab w:val="clear" w:pos="720"/>
        </w:tabs>
        <w:ind w:left="216" w:hanging="180"/>
        <w:jc w:val="both"/>
      </w:pPr>
      <w:r w:rsidRPr="00B57F8A">
        <w:t>Increase the awareness of tribal law enforcement agencies regarding community policing and institutionalizing community policing.</w:t>
      </w:r>
    </w:p>
    <w:p w14:paraId="104FC43D" w14:textId="77777777" w:rsidR="005723A0" w:rsidRPr="00B57F8A" w:rsidRDefault="005723A0" w:rsidP="0001256C">
      <w:pPr>
        <w:numPr>
          <w:ilvl w:val="0"/>
          <w:numId w:val="25"/>
        </w:numPr>
        <w:tabs>
          <w:tab w:val="clear" w:pos="720"/>
        </w:tabs>
        <w:ind w:left="216" w:hanging="180"/>
        <w:jc w:val="both"/>
      </w:pPr>
      <w:r w:rsidRPr="00B57F8A">
        <w:t>Increase the knowledge of tribal law enforcement agencies regarding problem-solving and analysis.</w:t>
      </w:r>
    </w:p>
    <w:p w14:paraId="5F280B56" w14:textId="77777777" w:rsidR="005723A0" w:rsidRPr="00B57F8A" w:rsidRDefault="005723A0" w:rsidP="0001256C">
      <w:pPr>
        <w:numPr>
          <w:ilvl w:val="0"/>
          <w:numId w:val="25"/>
        </w:numPr>
        <w:tabs>
          <w:tab w:val="clear" w:pos="720"/>
        </w:tabs>
        <w:ind w:left="216" w:hanging="180"/>
        <w:jc w:val="both"/>
        <w:rPr>
          <w:b/>
          <w:u w:val="single"/>
        </w:rPr>
      </w:pPr>
      <w:r w:rsidRPr="00B57F8A">
        <w:t>Increase the ability of tribal law enforcement agencies to utilize technology in a more efficient and effective manner.</w:t>
      </w:r>
    </w:p>
    <w:p w14:paraId="1E47BE68" w14:textId="77777777" w:rsidR="005723A0" w:rsidRPr="00B57F8A" w:rsidRDefault="005723A0" w:rsidP="0001256C">
      <w:pPr>
        <w:numPr>
          <w:ilvl w:val="0"/>
          <w:numId w:val="25"/>
        </w:numPr>
        <w:tabs>
          <w:tab w:val="clear" w:pos="720"/>
        </w:tabs>
        <w:ind w:left="216" w:hanging="180"/>
        <w:jc w:val="both"/>
        <w:rPr>
          <w:b/>
          <w:u w:val="single"/>
        </w:rPr>
      </w:pPr>
      <w:r w:rsidRPr="00B57F8A">
        <w:t>Increase the ability of tribal law enforcement agencies to address the threat of gangs and drugs in their communities.</w:t>
      </w:r>
    </w:p>
    <w:p w14:paraId="41605F4B" w14:textId="77777777" w:rsidR="00405F35" w:rsidRDefault="00405F35" w:rsidP="0001256C">
      <w:pPr>
        <w:jc w:val="both"/>
        <w:rPr>
          <w:b/>
        </w:rPr>
      </w:pPr>
    </w:p>
    <w:p w14:paraId="29348CF9" w14:textId="77777777" w:rsidR="005723A0" w:rsidRPr="00B57F8A" w:rsidRDefault="005723A0" w:rsidP="0001256C">
      <w:pPr>
        <w:jc w:val="both"/>
        <w:rPr>
          <w:b/>
        </w:rPr>
      </w:pPr>
      <w:r w:rsidRPr="00B57F8A">
        <w:rPr>
          <w:b/>
        </w:rPr>
        <w:t>Immigrant Communities</w:t>
      </w:r>
    </w:p>
    <w:p w14:paraId="6011064B" w14:textId="77777777" w:rsidR="005723A0" w:rsidRPr="00B57F8A" w:rsidRDefault="005723A0" w:rsidP="0001256C">
      <w:pPr>
        <w:jc w:val="both"/>
      </w:pPr>
      <w:r w:rsidRPr="00B57F8A">
        <w:rPr>
          <w:i/>
        </w:rPr>
        <w:t xml:space="preserve">Program Statement - </w:t>
      </w:r>
      <w:r w:rsidRPr="00B57F8A">
        <w:t>Increase the capacity of law enforcement agencies to perform outreach to serve immigrant communities.</w:t>
      </w:r>
    </w:p>
    <w:p w14:paraId="082B6349" w14:textId="77777777" w:rsidR="005723A0" w:rsidRPr="00B57F8A" w:rsidRDefault="005723A0" w:rsidP="0001256C">
      <w:pPr>
        <w:jc w:val="both"/>
        <w:rPr>
          <w:i/>
        </w:rPr>
      </w:pPr>
      <w:r w:rsidRPr="00B57F8A">
        <w:rPr>
          <w:i/>
        </w:rPr>
        <w:t>Program Outcomes:</w:t>
      </w:r>
    </w:p>
    <w:p w14:paraId="038C9A8D" w14:textId="77777777" w:rsidR="005723A0" w:rsidRPr="00B57F8A" w:rsidRDefault="005723A0" w:rsidP="0001256C">
      <w:pPr>
        <w:numPr>
          <w:ilvl w:val="0"/>
          <w:numId w:val="26"/>
        </w:numPr>
        <w:tabs>
          <w:tab w:val="clear" w:pos="360"/>
        </w:tabs>
        <w:ind w:left="252" w:hanging="252"/>
        <w:jc w:val="both"/>
      </w:pPr>
      <w:r w:rsidRPr="00B57F8A">
        <w:t>Increase the capacity of law enforcement agencies to increase officers’ level of cultural competency when interacting with immigrant communities.</w:t>
      </w:r>
    </w:p>
    <w:p w14:paraId="4411BB16" w14:textId="77777777" w:rsidR="005723A0" w:rsidRPr="00B57F8A" w:rsidRDefault="005723A0" w:rsidP="0001256C">
      <w:pPr>
        <w:numPr>
          <w:ilvl w:val="0"/>
          <w:numId w:val="26"/>
        </w:numPr>
        <w:tabs>
          <w:tab w:val="clear" w:pos="360"/>
        </w:tabs>
        <w:ind w:left="252" w:hanging="252"/>
        <w:jc w:val="both"/>
      </w:pPr>
      <w:r w:rsidRPr="00B57F8A">
        <w:t>Increase the level of cooperation and mutual trust and understanding between law enforcement agencies and new immigrant communities.</w:t>
      </w:r>
    </w:p>
    <w:p w14:paraId="774306BE" w14:textId="77777777" w:rsidR="005723A0" w:rsidRPr="00B57F8A" w:rsidRDefault="005723A0" w:rsidP="0001256C">
      <w:pPr>
        <w:numPr>
          <w:ilvl w:val="0"/>
          <w:numId w:val="26"/>
        </w:numPr>
        <w:tabs>
          <w:tab w:val="clear" w:pos="360"/>
        </w:tabs>
        <w:ind w:left="252" w:hanging="252"/>
        <w:jc w:val="both"/>
        <w:rPr>
          <w:b/>
          <w:u w:val="single"/>
        </w:rPr>
      </w:pPr>
      <w:r w:rsidRPr="00B57F8A">
        <w:t>Increase the capacity of law enforcement agencies to evaluate the impact of immigrant communities in their jurisdictions.</w:t>
      </w:r>
    </w:p>
    <w:p w14:paraId="6166995D" w14:textId="77777777" w:rsidR="005723A0" w:rsidRPr="00B57F8A" w:rsidRDefault="005723A0" w:rsidP="0001256C">
      <w:pPr>
        <w:numPr>
          <w:ilvl w:val="0"/>
          <w:numId w:val="26"/>
        </w:numPr>
        <w:tabs>
          <w:tab w:val="clear" w:pos="360"/>
        </w:tabs>
        <w:ind w:left="252" w:hanging="252"/>
        <w:jc w:val="both"/>
        <w:rPr>
          <w:b/>
          <w:u w:val="single"/>
        </w:rPr>
      </w:pPr>
      <w:r w:rsidRPr="00B57F8A">
        <w:t>Increase the capacity of law enforcement agencies to educate the entire community on the interrelationships between immigrant communities and public safety.</w:t>
      </w:r>
    </w:p>
    <w:p w14:paraId="381665D1" w14:textId="77777777" w:rsidR="005723A0" w:rsidRPr="00B57F8A" w:rsidRDefault="005723A0" w:rsidP="0001256C">
      <w:pPr>
        <w:jc w:val="both"/>
      </w:pPr>
    </w:p>
    <w:p w14:paraId="4E4CE562" w14:textId="77777777" w:rsidR="005723A0" w:rsidRPr="00B57F8A" w:rsidRDefault="005723A0" w:rsidP="0001256C">
      <w:pPr>
        <w:jc w:val="both"/>
        <w:rPr>
          <w:b/>
        </w:rPr>
      </w:pPr>
      <w:r w:rsidRPr="00B57F8A">
        <w:rPr>
          <w:b/>
        </w:rPr>
        <w:t>Campus Safety</w:t>
      </w:r>
    </w:p>
    <w:p w14:paraId="7708AE00" w14:textId="77777777" w:rsidR="005723A0" w:rsidRPr="00B57F8A" w:rsidRDefault="005723A0" w:rsidP="0001256C">
      <w:pPr>
        <w:jc w:val="both"/>
        <w:rPr>
          <w:iCs/>
        </w:rPr>
      </w:pPr>
      <w:r w:rsidRPr="00B57F8A">
        <w:rPr>
          <w:i/>
        </w:rPr>
        <w:t xml:space="preserve">Program Statement - </w:t>
      </w:r>
      <w:r w:rsidRPr="00B57F8A">
        <w:rPr>
          <w:iCs/>
        </w:rPr>
        <w:t>Increase the capacity of campus law enforcement agencies to institute a comprehensive approach to community policing.</w:t>
      </w:r>
    </w:p>
    <w:p w14:paraId="23082831" w14:textId="77777777" w:rsidR="005723A0" w:rsidRPr="00B57F8A" w:rsidRDefault="005723A0" w:rsidP="0001256C">
      <w:pPr>
        <w:jc w:val="both"/>
        <w:rPr>
          <w:i/>
        </w:rPr>
      </w:pPr>
      <w:r w:rsidRPr="00B57F8A">
        <w:rPr>
          <w:i/>
        </w:rPr>
        <w:t>Program Outcomes:</w:t>
      </w:r>
    </w:p>
    <w:p w14:paraId="0AFAB2C0" w14:textId="77777777" w:rsidR="005723A0" w:rsidRPr="00B57F8A" w:rsidRDefault="005723A0" w:rsidP="0001256C">
      <w:pPr>
        <w:numPr>
          <w:ilvl w:val="0"/>
          <w:numId w:val="27"/>
        </w:numPr>
        <w:tabs>
          <w:tab w:val="clear" w:pos="360"/>
        </w:tabs>
        <w:ind w:left="252" w:hanging="252"/>
        <w:jc w:val="both"/>
        <w:rPr>
          <w:color w:val="000080"/>
        </w:rPr>
      </w:pPr>
      <w:r w:rsidRPr="00B57F8A">
        <w:t>Increase the capacity of campus law enforcement agencies to share information among agencies regarding innovative community policing practices.</w:t>
      </w:r>
    </w:p>
    <w:p w14:paraId="4EA82626" w14:textId="77777777" w:rsidR="005723A0" w:rsidRPr="00B57F8A" w:rsidRDefault="005723A0" w:rsidP="0001256C">
      <w:pPr>
        <w:numPr>
          <w:ilvl w:val="0"/>
          <w:numId w:val="27"/>
        </w:numPr>
        <w:tabs>
          <w:tab w:val="clear" w:pos="360"/>
        </w:tabs>
        <w:ind w:left="252" w:hanging="252"/>
        <w:jc w:val="both"/>
        <w:rPr>
          <w:color w:val="000080"/>
        </w:rPr>
      </w:pPr>
      <w:r w:rsidRPr="00B57F8A">
        <w:t xml:space="preserve">Increase the capacity of law enforcement agencies to use innovative community policing practices from campus law enforcement agencies. </w:t>
      </w:r>
    </w:p>
    <w:p w14:paraId="23CC54B3" w14:textId="77777777" w:rsidR="005723A0" w:rsidRPr="00633069" w:rsidRDefault="005723A0" w:rsidP="0001256C">
      <w:pPr>
        <w:numPr>
          <w:ilvl w:val="0"/>
          <w:numId w:val="27"/>
        </w:numPr>
        <w:tabs>
          <w:tab w:val="clear" w:pos="360"/>
        </w:tabs>
        <w:ind w:left="252" w:hanging="252"/>
        <w:jc w:val="both"/>
        <w:rPr>
          <w:color w:val="000080"/>
        </w:rPr>
      </w:pPr>
      <w:r w:rsidRPr="00B57F8A">
        <w:t>Increase the capacity of campus law enforcement agencies and relevant stakeholders to collaborate about public safety issues on campuses.</w:t>
      </w:r>
    </w:p>
    <w:p w14:paraId="70DA2925" w14:textId="77777777" w:rsidR="00633069" w:rsidRPr="00B57F8A" w:rsidRDefault="00633069" w:rsidP="00633069">
      <w:pPr>
        <w:jc w:val="both"/>
        <w:rPr>
          <w:color w:val="000080"/>
        </w:rPr>
      </w:pPr>
    </w:p>
    <w:p w14:paraId="7C6973A3" w14:textId="77777777" w:rsidR="005723A0" w:rsidRPr="00B57F8A" w:rsidRDefault="005723A0" w:rsidP="0001256C">
      <w:pPr>
        <w:jc w:val="both"/>
        <w:rPr>
          <w:b/>
        </w:rPr>
      </w:pPr>
      <w:r w:rsidRPr="00B57F8A">
        <w:rPr>
          <w:b/>
        </w:rPr>
        <w:t>Global Community Policing</w:t>
      </w:r>
    </w:p>
    <w:p w14:paraId="74863683" w14:textId="77777777" w:rsidR="005723A0" w:rsidRPr="00B57F8A" w:rsidRDefault="005723A0" w:rsidP="0001256C">
      <w:pPr>
        <w:jc w:val="both"/>
      </w:pPr>
      <w:r w:rsidRPr="00B57F8A">
        <w:rPr>
          <w:i/>
        </w:rPr>
        <w:t xml:space="preserve">Program Statement - </w:t>
      </w:r>
      <w:r w:rsidRPr="00B57F8A">
        <w:t>Increase practice of community policing globally.</w:t>
      </w:r>
    </w:p>
    <w:p w14:paraId="5BE63AFF" w14:textId="77777777" w:rsidR="005723A0" w:rsidRPr="00B57F8A" w:rsidRDefault="005723A0" w:rsidP="0001256C">
      <w:pPr>
        <w:jc w:val="both"/>
        <w:rPr>
          <w:i/>
        </w:rPr>
      </w:pPr>
      <w:r w:rsidRPr="00B57F8A">
        <w:rPr>
          <w:i/>
        </w:rPr>
        <w:t>Program Outcomes:</w:t>
      </w:r>
    </w:p>
    <w:p w14:paraId="2A7228C5" w14:textId="77777777" w:rsidR="005723A0" w:rsidRPr="00B57F8A" w:rsidRDefault="005723A0" w:rsidP="0001256C">
      <w:pPr>
        <w:numPr>
          <w:ilvl w:val="0"/>
          <w:numId w:val="25"/>
        </w:numPr>
        <w:tabs>
          <w:tab w:val="clear" w:pos="720"/>
        </w:tabs>
        <w:ind w:left="252" w:hanging="216"/>
        <w:jc w:val="both"/>
      </w:pPr>
      <w:r w:rsidRPr="00B57F8A">
        <w:t>Increase level of awareness of United States law enforcement agencies regarding global innovative community policing best practices and lessons learned.</w:t>
      </w:r>
    </w:p>
    <w:p w14:paraId="7892E920" w14:textId="77777777" w:rsidR="005723A0" w:rsidRPr="00B57F8A" w:rsidRDefault="005723A0" w:rsidP="0001256C">
      <w:pPr>
        <w:numPr>
          <w:ilvl w:val="0"/>
          <w:numId w:val="25"/>
        </w:numPr>
        <w:tabs>
          <w:tab w:val="clear" w:pos="720"/>
        </w:tabs>
        <w:ind w:left="252" w:hanging="216"/>
        <w:jc w:val="both"/>
        <w:rPr>
          <w:b/>
          <w:u w:val="single"/>
        </w:rPr>
      </w:pPr>
      <w:r w:rsidRPr="00B57F8A">
        <w:lastRenderedPageBreak/>
        <w:t>Increase level of awareness of international law enforcement agencies regarding innovative community policing best practices and lessons learned.</w:t>
      </w:r>
    </w:p>
    <w:p w14:paraId="37066F7B" w14:textId="77777777" w:rsidR="005723A0" w:rsidRPr="00B57F8A" w:rsidRDefault="005723A0" w:rsidP="0001256C">
      <w:pPr>
        <w:numPr>
          <w:ilvl w:val="0"/>
          <w:numId w:val="25"/>
        </w:numPr>
        <w:tabs>
          <w:tab w:val="clear" w:pos="720"/>
        </w:tabs>
        <w:ind w:left="252" w:hanging="216"/>
        <w:jc w:val="both"/>
        <w:rPr>
          <w:b/>
          <w:u w:val="single"/>
        </w:rPr>
      </w:pPr>
      <w:r w:rsidRPr="00B57F8A">
        <w:t>Increase the capacity of the COPS Office to share innovative community policing best practices and lessons learned.</w:t>
      </w:r>
    </w:p>
    <w:p w14:paraId="0CEF8918" w14:textId="77777777" w:rsidR="005723A0" w:rsidRPr="00B57F8A" w:rsidRDefault="005723A0" w:rsidP="0001256C">
      <w:pPr>
        <w:pStyle w:val="xl24"/>
        <w:spacing w:before="0" w:after="0"/>
        <w:jc w:val="both"/>
        <w:rPr>
          <w:szCs w:val="24"/>
        </w:rPr>
      </w:pPr>
    </w:p>
    <w:p w14:paraId="5C6B152A" w14:textId="77777777" w:rsidR="00B45CD6" w:rsidRDefault="005723A0" w:rsidP="0001256C">
      <w:pPr>
        <w:pStyle w:val="xl24"/>
        <w:spacing w:before="0" w:after="0"/>
        <w:jc w:val="both"/>
        <w:rPr>
          <w:szCs w:val="24"/>
          <w:u w:val="none"/>
        </w:rPr>
      </w:pPr>
      <w:r w:rsidRPr="00B57F8A">
        <w:rPr>
          <w:szCs w:val="24"/>
          <w:u w:val="none"/>
        </w:rPr>
        <w:t xml:space="preserve">The COPS Office has the </w:t>
      </w:r>
      <w:r>
        <w:rPr>
          <w:szCs w:val="24"/>
          <w:u w:val="none"/>
        </w:rPr>
        <w:t>expertise and resources</w:t>
      </w:r>
      <w:r w:rsidRPr="00B57F8A">
        <w:rPr>
          <w:szCs w:val="24"/>
          <w:u w:val="none"/>
        </w:rPr>
        <w:t xml:space="preserve"> necessary to develop, execute and monitor a highly successful </w:t>
      </w:r>
      <w:r>
        <w:rPr>
          <w:szCs w:val="24"/>
          <w:u w:val="none"/>
        </w:rPr>
        <w:t xml:space="preserve">CPD </w:t>
      </w:r>
      <w:r w:rsidRPr="00B57F8A">
        <w:rPr>
          <w:szCs w:val="24"/>
          <w:u w:val="none"/>
        </w:rPr>
        <w:t xml:space="preserve">Initiative focusing on these types of issue areas, determined by </w:t>
      </w:r>
      <w:r>
        <w:rPr>
          <w:szCs w:val="24"/>
          <w:u w:val="none"/>
        </w:rPr>
        <w:t>the Office’s</w:t>
      </w:r>
      <w:r w:rsidRPr="00B57F8A">
        <w:rPr>
          <w:szCs w:val="24"/>
          <w:u w:val="none"/>
        </w:rPr>
        <w:t xml:space="preserve"> experience in working with state, local and tribal law enforcement to be the most pressing issues facing the field today.</w:t>
      </w:r>
    </w:p>
    <w:p w14:paraId="1317D5FC" w14:textId="77777777" w:rsidR="00B45CD6" w:rsidRDefault="00B45CD6" w:rsidP="0001256C">
      <w:pPr>
        <w:pStyle w:val="xl24"/>
        <w:spacing w:before="0" w:after="0"/>
        <w:jc w:val="both"/>
        <w:rPr>
          <w:szCs w:val="24"/>
          <w:u w:val="none"/>
        </w:rPr>
      </w:pPr>
    </w:p>
    <w:p w14:paraId="1478E357" w14:textId="77777777" w:rsidR="009A4A8B" w:rsidRPr="000F5BB6" w:rsidRDefault="009A4A8B" w:rsidP="0001256C">
      <w:pPr>
        <w:pStyle w:val="xl24"/>
        <w:spacing w:before="0" w:after="0"/>
        <w:jc w:val="both"/>
        <w:rPr>
          <w:b/>
          <w:szCs w:val="24"/>
        </w:rPr>
      </w:pPr>
      <w:r w:rsidRPr="000F5BB6">
        <w:rPr>
          <w:b/>
          <w:szCs w:val="24"/>
        </w:rPr>
        <w:t>Collaborative Refor</w:t>
      </w:r>
      <w:r w:rsidR="000F5BB6" w:rsidRPr="000F5BB6">
        <w:rPr>
          <w:b/>
          <w:szCs w:val="24"/>
        </w:rPr>
        <w:t>m Model of Technical Assistance</w:t>
      </w:r>
    </w:p>
    <w:p w14:paraId="7CB63C52" w14:textId="77777777" w:rsidR="004D359B" w:rsidRPr="00061656" w:rsidRDefault="004D359B" w:rsidP="0001256C">
      <w:pPr>
        <w:contextualSpacing/>
        <w:jc w:val="both"/>
      </w:pPr>
      <w:r w:rsidRPr="00061656">
        <w:t xml:space="preserve">In FY 2014, the COPS Office intends to </w:t>
      </w:r>
      <w:r w:rsidR="000D7901">
        <w:t>enhance</w:t>
      </w:r>
      <w:r w:rsidR="000D7901" w:rsidRPr="00061656">
        <w:t xml:space="preserve"> </w:t>
      </w:r>
      <w:r w:rsidRPr="00061656">
        <w:t>the Collaborative Reform Model of Technical Assistance</w:t>
      </w:r>
      <w:r w:rsidR="000F5BB6">
        <w:t xml:space="preserve"> and requests $10 million from the COPS Hiring Program for this purpose</w:t>
      </w:r>
      <w:r w:rsidRPr="00061656">
        <w:t>.  This program will provide technical assistance to agencies on significant law enforcement-related issues. Using subject-matter experts, interviews, direct observation, as well as conducting research and analysis, the COPS Office will assist law enforcement agencies with enhancing and improving their policies and procedures, their systems</w:t>
      </w:r>
      <w:r w:rsidR="00160FC4" w:rsidRPr="00061656">
        <w:t>, their</w:t>
      </w:r>
      <w:r w:rsidRPr="00061656">
        <w:t xml:space="preserve"> culture</w:t>
      </w:r>
      <w:r>
        <w:t>, and their relationships with the communities they serve</w:t>
      </w:r>
      <w:r w:rsidRPr="00061656">
        <w:t>. If appropriate, the COPS Office can issue a series of recommendations, and be instrumental in assisting agencies with the implementation of those recommendations or finding the right resources to do so.</w:t>
      </w:r>
    </w:p>
    <w:p w14:paraId="76350D12" w14:textId="77777777" w:rsidR="004D359B" w:rsidRPr="00061656" w:rsidRDefault="004D359B" w:rsidP="0001256C">
      <w:pPr>
        <w:contextualSpacing/>
        <w:jc w:val="both"/>
      </w:pPr>
    </w:p>
    <w:p w14:paraId="6C437255" w14:textId="77777777" w:rsidR="004D359B" w:rsidRDefault="004D359B" w:rsidP="0001256C">
      <w:pPr>
        <w:contextualSpacing/>
        <w:jc w:val="both"/>
      </w:pPr>
      <w:r w:rsidRPr="00061656">
        <w:t xml:space="preserve">The COPS Office piloted this program as a grant in the FY 2011 </w:t>
      </w:r>
      <w:r w:rsidR="000F5BB6">
        <w:t>CPD</w:t>
      </w:r>
      <w:r w:rsidRPr="00061656">
        <w:t xml:space="preserve"> </w:t>
      </w:r>
      <w:r w:rsidR="000F5BB6">
        <w:t>P</w:t>
      </w:r>
      <w:r w:rsidRPr="00061656">
        <w:t xml:space="preserve">rogram.  It was through this pilot that the COPS Office began working with the Las Vegas Metropolitan Police Department (LVMPD) to provide an in-depth analysis of </w:t>
      </w:r>
      <w:r w:rsidR="000F5BB6">
        <w:t>five</w:t>
      </w:r>
      <w:r w:rsidRPr="00061656">
        <w:t xml:space="preserve"> years of officer-involved shootings.  In October 2012, the COPS Office published a report summarizing the result of the initiative, </w:t>
      </w:r>
      <w:r>
        <w:t xml:space="preserve">entitled </w:t>
      </w:r>
      <w:r w:rsidRPr="000F5BB6">
        <w:rPr>
          <w:i/>
        </w:rPr>
        <w:t>Collaborative Reform Process: A Review of Officer Involved Shootings in the Las Vegas Metropolitan Police Department</w:t>
      </w:r>
      <w:r>
        <w:t xml:space="preserve">. </w:t>
      </w:r>
      <w:r w:rsidR="00B45CD6">
        <w:t xml:space="preserve">This report has been referenced and used by many other agencies beyond LVMPD to inform their own issues around these and similar topics.  The recommendations have applicability beyond the individual agencies </w:t>
      </w:r>
      <w:r w:rsidR="000F5BB6">
        <w:t xml:space="preserve">in which </w:t>
      </w:r>
      <w:r w:rsidR="00B45CD6">
        <w:t>these reviews are conducted.</w:t>
      </w:r>
      <w:r w:rsidR="000F5BB6">
        <w:t xml:space="preserve">  </w:t>
      </w:r>
      <w:r w:rsidRPr="00061656">
        <w:t>The COPS Office looks forward to expanding the successes of this program to other police departments in the country in FY 2014.</w:t>
      </w:r>
    </w:p>
    <w:p w14:paraId="72861E63" w14:textId="77777777" w:rsidR="000F5BB6" w:rsidRDefault="000F5BB6" w:rsidP="0001256C">
      <w:pPr>
        <w:contextualSpacing/>
        <w:jc w:val="both"/>
      </w:pPr>
    </w:p>
    <w:p w14:paraId="1E48B161" w14:textId="77777777" w:rsidR="000F5BB6" w:rsidRPr="00061656" w:rsidRDefault="000F5BB6" w:rsidP="0001256C">
      <w:pPr>
        <w:contextualSpacing/>
        <w:jc w:val="both"/>
      </w:pPr>
      <w:r>
        <w:t>Within the amount available for the Collaborative Reform Model of Technical Assistance, a proportionate amount of funding will be carved out for management and administration expenses; the allowance of up to five percent of appropriated funding to be used for additional technical assistance; and the allowance of up to two percent to support research, evaluation and statistics on evidence-based practices.</w:t>
      </w:r>
    </w:p>
    <w:p w14:paraId="65C9A1FD" w14:textId="77777777" w:rsidR="004D359B" w:rsidRPr="00061656" w:rsidRDefault="004D359B" w:rsidP="0001256C">
      <w:pPr>
        <w:contextualSpacing/>
        <w:jc w:val="both"/>
      </w:pPr>
    </w:p>
    <w:p w14:paraId="03585941" w14:textId="77777777" w:rsidR="005A438D" w:rsidRDefault="005A438D" w:rsidP="0001256C">
      <w:pPr>
        <w:jc w:val="both"/>
        <w:rPr>
          <w:u w:val="single"/>
        </w:rPr>
      </w:pPr>
      <w:r w:rsidRPr="00FD5CAD">
        <w:rPr>
          <w:u w:val="single"/>
        </w:rPr>
        <w:t>Impact of COPS Training and Technical Assistance:</w:t>
      </w:r>
    </w:p>
    <w:p w14:paraId="6F64CD21" w14:textId="77777777" w:rsidR="001A4E80" w:rsidRPr="00FD5CAD" w:rsidRDefault="001A4E80" w:rsidP="0001256C">
      <w:pPr>
        <w:jc w:val="both"/>
        <w:rPr>
          <w:u w:val="single"/>
        </w:rPr>
      </w:pPr>
    </w:p>
    <w:p w14:paraId="091E65E0" w14:textId="77777777" w:rsidR="005A438D" w:rsidRDefault="005A438D" w:rsidP="0001256C">
      <w:pPr>
        <w:jc w:val="both"/>
      </w:pPr>
      <w:r w:rsidRPr="001A4E80">
        <w:rPr>
          <w:i/>
        </w:rPr>
        <w:t>Grantee Customer Satisfaction:</w:t>
      </w:r>
      <w:r>
        <w:t xml:space="preserve">  Results from the </w:t>
      </w:r>
      <w:r w:rsidR="0089218A">
        <w:t xml:space="preserve">2012 </w:t>
      </w:r>
      <w:r>
        <w:t>ACSI survey show the impact of COPS training and technical assistance.   User</w:t>
      </w:r>
      <w:r w:rsidR="000F5BB6">
        <w:t>s</w:t>
      </w:r>
      <w:r>
        <w:t xml:space="preserve"> of COPS </w:t>
      </w:r>
      <w:r w:rsidRPr="007A1AD9">
        <w:t xml:space="preserve">training and technical assistance feel that these resources have been successful to their efforts to engage in problem-solving to prevent, respond or better analyze crime and to develop collaborative partnerships. Users of training and technical assistance also felt it helped them effectively implement strategies and institute organizational change to support community policing strategies.  COPS </w:t>
      </w:r>
      <w:r w:rsidR="000F5BB6">
        <w:t>t</w:t>
      </w:r>
      <w:r w:rsidRPr="007A1AD9">
        <w:t xml:space="preserve">raining </w:t>
      </w:r>
      <w:r w:rsidR="000F5BB6">
        <w:t>r</w:t>
      </w:r>
      <w:r w:rsidRPr="007A1AD9">
        <w:t>esources were highly rated for increasing understanding of community policing principles and being relevant to law enforcement concerns in the community</w:t>
      </w:r>
      <w:r w:rsidR="000F5BB6">
        <w:t xml:space="preserve">.  Both COPS training and technical assistance </w:t>
      </w:r>
      <w:r w:rsidRPr="007A1AD9">
        <w:t xml:space="preserve">were rated </w:t>
      </w:r>
      <w:r w:rsidR="00D3134B">
        <w:t>86</w:t>
      </w:r>
      <w:r w:rsidR="00D3134B" w:rsidRPr="007A1AD9">
        <w:t xml:space="preserve"> </w:t>
      </w:r>
      <w:r w:rsidRPr="007A1AD9">
        <w:t>on a scale of zero to 100.</w:t>
      </w:r>
    </w:p>
    <w:p w14:paraId="6E36F1A7" w14:textId="77777777" w:rsidR="000F5BB6" w:rsidRDefault="000F5BB6" w:rsidP="0001256C">
      <w:pPr>
        <w:jc w:val="both"/>
      </w:pPr>
    </w:p>
    <w:p w14:paraId="4CE1851C" w14:textId="77777777" w:rsidR="005A438D" w:rsidRDefault="005A438D" w:rsidP="0001256C">
      <w:pPr>
        <w:jc w:val="both"/>
      </w:pPr>
      <w:r w:rsidRPr="001A4E80">
        <w:rPr>
          <w:i/>
        </w:rPr>
        <w:t>Police Foundations:</w:t>
      </w:r>
      <w:r>
        <w:t xml:space="preserve">  Police Foundations are vehicles through which police departments and the private sector interact.  There are a number of resources that the private sector has at its disposal that can be very useful for police departments.  Foundation resources do not supplement local budgets, they augment them.  These extra resources bring the means to police departments to do experiments, try innovation in equipment</w:t>
      </w:r>
      <w:r w:rsidR="00490F2E">
        <w:t>,</w:t>
      </w:r>
      <w:r>
        <w:t xml:space="preserve"> new investigative techniques or specialized training.  Through a CPD award, and a partnership with PERF and Target</w:t>
      </w:r>
      <w:r w:rsidR="00490F2E">
        <w:t xml:space="preserve"> Corporation</w:t>
      </w:r>
      <w:r>
        <w:t>, a project has been launched entitled the National Police Foundations Network to provide best practices, technical assistance, and written toolkits for both law enforcement and the private sector to work productively together to enhance the operations of the law enforcement agency.</w:t>
      </w:r>
    </w:p>
    <w:p w14:paraId="02BC5D51" w14:textId="77777777" w:rsidR="001A4E80" w:rsidRDefault="001A4E80" w:rsidP="0001256C">
      <w:pPr>
        <w:jc w:val="both"/>
      </w:pPr>
    </w:p>
    <w:p w14:paraId="0F548D3F" w14:textId="77777777" w:rsidR="005A438D" w:rsidRDefault="005A438D" w:rsidP="0001256C">
      <w:pPr>
        <w:jc w:val="both"/>
      </w:pPr>
      <w:r w:rsidRPr="001A4E80">
        <w:rPr>
          <w:i/>
        </w:rPr>
        <w:t xml:space="preserve">Countering </w:t>
      </w:r>
      <w:r w:rsidR="00490F2E">
        <w:rPr>
          <w:i/>
        </w:rPr>
        <w:t>V</w:t>
      </w:r>
      <w:r w:rsidRPr="001A4E80">
        <w:rPr>
          <w:i/>
        </w:rPr>
        <w:t xml:space="preserve">iolent </w:t>
      </w:r>
      <w:r w:rsidR="00490F2E">
        <w:rPr>
          <w:i/>
        </w:rPr>
        <w:t>E</w:t>
      </w:r>
      <w:r w:rsidRPr="001A4E80">
        <w:rPr>
          <w:i/>
        </w:rPr>
        <w:t>xtremism (CVE):</w:t>
      </w:r>
      <w:r>
        <w:t xml:space="preserve">  The COPS Office has funded four projects supporting the White House Strategic Implementation Plan on countering violent extremism (CVE). The IACP is convening experts and practitioners to develop a guidebook on the threats developed in the social media environment.  The Vera Institute is teaching police departments how to engage Arab and Muslim communities.  In an interview for the COPS Podcast Series featured on our website, Chief Ronald Haddad from Dearborn, MI discussed how community policing helps enga</w:t>
      </w:r>
      <w:r w:rsidR="00490F2E">
        <w:t xml:space="preserve">ge the at risk youth community.  </w:t>
      </w:r>
      <w:r>
        <w:t>By participati</w:t>
      </w:r>
      <w:r w:rsidR="00490F2E">
        <w:t>ng</w:t>
      </w:r>
      <w:r>
        <w:t xml:space="preserve"> in civil rights organizations, the Chief listens to </w:t>
      </w:r>
      <w:r w:rsidR="00490F2E">
        <w:t xml:space="preserve">members’ </w:t>
      </w:r>
      <w:r>
        <w:t xml:space="preserve">concerns and tries to build trust with the Yemen community.  He also addresses intelligence needs through an all crimes approach, making the community an equal partner in the solutions.  </w:t>
      </w:r>
    </w:p>
    <w:p w14:paraId="39BB72CC" w14:textId="77777777" w:rsidR="001A4E80" w:rsidRDefault="001A4E80" w:rsidP="0001256C">
      <w:pPr>
        <w:jc w:val="both"/>
      </w:pPr>
    </w:p>
    <w:p w14:paraId="672FBC79" w14:textId="77777777" w:rsidR="005A438D" w:rsidRDefault="005A438D" w:rsidP="0001256C">
      <w:pPr>
        <w:jc w:val="both"/>
      </w:pPr>
      <w:r w:rsidRPr="001A4E80">
        <w:rPr>
          <w:i/>
        </w:rPr>
        <w:t>One-on-One: Connecting COPS and Kids:</w:t>
      </w:r>
      <w:r>
        <w:t xml:space="preserve"> The COPS Office is funding the national rollout of the program “One-on-One: Connecting COPS and Kids” which was developed by the Fred Rogers Company to show police officers how central children are to their work in a community centered approach.  Taught by an experienced police officer and a child development specialist, the training teaches officers how children can be approached at different developmental levels and how community partn</w:t>
      </w:r>
      <w:r w:rsidR="00490F2E">
        <w:t>ers can help police identify at-</w:t>
      </w:r>
      <w:r>
        <w:t xml:space="preserve">risk children.  It will be offered at 25 locations across the country in 2012.  </w:t>
      </w:r>
    </w:p>
    <w:p w14:paraId="2D5E48EC" w14:textId="77777777" w:rsidR="001A4E80" w:rsidRDefault="001A4E80" w:rsidP="0001256C">
      <w:pPr>
        <w:jc w:val="both"/>
      </w:pPr>
    </w:p>
    <w:p w14:paraId="15204CD8" w14:textId="77777777" w:rsidR="005A438D" w:rsidRDefault="005A438D" w:rsidP="0001256C">
      <w:pPr>
        <w:jc w:val="both"/>
      </w:pPr>
      <w:r w:rsidRPr="001A4E80">
        <w:rPr>
          <w:i/>
        </w:rPr>
        <w:t>St. Roch Community Engagement Forum</w:t>
      </w:r>
      <w:r>
        <w:t xml:space="preserve">:  On December 9-10, 2011, the St. Roch community of New Orleans, Louisiana convened at the New Orleans Healing Center for the first meeting of a grassroots problem-solving initiative during the </w:t>
      </w:r>
      <w:r w:rsidRPr="001A4E80">
        <w:rPr>
          <w:i/>
        </w:rPr>
        <w:t>St. Roch Community Engagement Forum</w:t>
      </w:r>
      <w:r w:rsidRPr="008D2DA4">
        <w:t xml:space="preserve">, </w:t>
      </w:r>
      <w:r>
        <w:t xml:space="preserve">sponsored by the COPS Office and facilitated by </w:t>
      </w:r>
      <w:r w:rsidRPr="001A4E80">
        <w:rPr>
          <w:rStyle w:val="Strong"/>
          <w:b w:val="0"/>
          <w:color w:val="000000"/>
        </w:rPr>
        <w:t>Virginia Community Policing Institute</w:t>
      </w:r>
      <w:r w:rsidRPr="001A4E80">
        <w:rPr>
          <w:rFonts w:ascii="Arial" w:hAnsi="Arial" w:cs="Arial"/>
          <w:color w:val="000000"/>
        </w:rPr>
        <w:t xml:space="preserve"> (</w:t>
      </w:r>
      <w:r>
        <w:t xml:space="preserve">VCPI).  The Forum goals were for participants to work towards building a unified, coordinated problem-solving partnership between all stakeholders in the St. Roch neighborhood and to work together to change those conditions that allow crime and disorder to take hold.  The core group of participants included St. Roch community members, New Orleans police officers, city and federal government representatives, and the United States Attorney, Eastern District of Louisiana (USALAE).  The group utilized the two-day workshop to build upon strong efforts already underway in New Orleans to identify and prioritize local crime and disorder problems, analyze why those problems exist, and develop collaborative strategies for addressing them.  Several of the Forum groups have begun implementing the problem-solving plans they created to achieve the benchmark goals they set for themselves.  </w:t>
      </w:r>
    </w:p>
    <w:p w14:paraId="1330BC69" w14:textId="77777777" w:rsidR="005A438D" w:rsidRDefault="005A438D" w:rsidP="0001256C">
      <w:pPr>
        <w:jc w:val="both"/>
      </w:pPr>
    </w:p>
    <w:p w14:paraId="4FB8B5A0" w14:textId="77777777" w:rsidR="00794643" w:rsidRDefault="00794643" w:rsidP="0001256C">
      <w:pPr>
        <w:jc w:val="both"/>
        <w:rPr>
          <w:iCs/>
        </w:rPr>
        <w:sectPr w:rsidR="00794643" w:rsidSect="00186E8D">
          <w:pgSz w:w="12240" w:h="15840" w:code="1"/>
          <w:pgMar w:top="1152" w:right="1440" w:bottom="1152" w:left="1440" w:header="432" w:footer="432" w:gutter="0"/>
          <w:cols w:space="720"/>
          <w:titlePg/>
          <w:docGrid w:linePitch="326"/>
        </w:sectPr>
      </w:pPr>
    </w:p>
    <w:p w14:paraId="7C1C9EC7" w14:textId="77777777" w:rsidR="005B7046" w:rsidRPr="00534392" w:rsidRDefault="005B7046" w:rsidP="0001256C">
      <w:pPr>
        <w:tabs>
          <w:tab w:val="left" w:pos="1080"/>
          <w:tab w:val="left" w:pos="3600"/>
          <w:tab w:val="left" w:pos="5580"/>
        </w:tabs>
        <w:ind w:left="900"/>
        <w:jc w:val="both"/>
        <w:rPr>
          <w:b/>
          <w:iCs/>
        </w:rPr>
      </w:pPr>
      <w:r>
        <w:rPr>
          <w:b/>
          <w:iCs/>
        </w:rPr>
        <w:lastRenderedPageBreak/>
        <w:t xml:space="preserve">2. </w:t>
      </w:r>
      <w:r w:rsidRPr="00534392">
        <w:rPr>
          <w:b/>
          <w:iCs/>
        </w:rPr>
        <w:t>Performance and Resources Tables</w:t>
      </w:r>
    </w:p>
    <w:p w14:paraId="71042875" w14:textId="77777777" w:rsidR="005B7046" w:rsidRDefault="005B7046" w:rsidP="0001256C">
      <w:pPr>
        <w:tabs>
          <w:tab w:val="left" w:pos="1080"/>
          <w:tab w:val="left" w:pos="3600"/>
          <w:tab w:val="left" w:pos="5580"/>
        </w:tabs>
        <w:jc w:val="both"/>
        <w:rPr>
          <w:b/>
          <w:iCs/>
          <w:highlight w:val="yellow"/>
        </w:rPr>
      </w:pPr>
    </w:p>
    <w:tbl>
      <w:tblPr>
        <w:tblW w:w="12112" w:type="dxa"/>
        <w:tblLook w:val="04A0" w:firstRow="1" w:lastRow="0" w:firstColumn="1" w:lastColumn="0" w:noHBand="0" w:noVBand="1"/>
      </w:tblPr>
      <w:tblGrid>
        <w:gridCol w:w="1356"/>
        <w:gridCol w:w="3180"/>
        <w:gridCol w:w="641"/>
        <w:gridCol w:w="811"/>
        <w:gridCol w:w="528"/>
        <w:gridCol w:w="797"/>
        <w:gridCol w:w="528"/>
        <w:gridCol w:w="921"/>
        <w:gridCol w:w="519"/>
        <w:gridCol w:w="1233"/>
        <w:gridCol w:w="528"/>
        <w:gridCol w:w="390"/>
        <w:gridCol w:w="680"/>
      </w:tblGrid>
      <w:tr w:rsidR="005B7046" w:rsidRPr="00CA3E58" w14:paraId="22C206EF" w14:textId="77777777" w:rsidTr="005B7046">
        <w:trPr>
          <w:trHeight w:val="555"/>
        </w:trPr>
        <w:tc>
          <w:tcPr>
            <w:tcW w:w="12019" w:type="dxa"/>
            <w:gridSpan w:val="13"/>
            <w:tcBorders>
              <w:top w:val="single" w:sz="8" w:space="0" w:color="auto"/>
              <w:left w:val="single" w:sz="8" w:space="0" w:color="auto"/>
              <w:bottom w:val="single" w:sz="4" w:space="0" w:color="auto"/>
              <w:right w:val="single" w:sz="8" w:space="0" w:color="000000"/>
            </w:tcBorders>
            <w:shd w:val="clear" w:color="auto" w:fill="auto"/>
            <w:vAlign w:val="center"/>
            <w:hideMark/>
          </w:tcPr>
          <w:p w14:paraId="47910D8F" w14:textId="77777777" w:rsidR="005B7046" w:rsidRPr="00CA3E58" w:rsidRDefault="005B7046" w:rsidP="0001256C">
            <w:pPr>
              <w:jc w:val="both"/>
              <w:rPr>
                <w:rFonts w:ascii="Arial" w:hAnsi="Arial" w:cs="Arial"/>
                <w:b/>
                <w:bCs/>
                <w:sz w:val="20"/>
                <w:szCs w:val="20"/>
              </w:rPr>
            </w:pPr>
            <w:r w:rsidRPr="00CA3E58">
              <w:rPr>
                <w:rFonts w:ascii="Arial" w:hAnsi="Arial" w:cs="Arial"/>
                <w:b/>
                <w:bCs/>
                <w:sz w:val="20"/>
                <w:szCs w:val="20"/>
              </w:rPr>
              <w:t>PERFORMANCE AND RESOURCES TABLE</w:t>
            </w:r>
          </w:p>
        </w:tc>
      </w:tr>
      <w:tr w:rsidR="005B7046" w:rsidRPr="00CA3E58" w14:paraId="36003883" w14:textId="77777777" w:rsidTr="005B7046">
        <w:trPr>
          <w:trHeight w:val="480"/>
        </w:trPr>
        <w:tc>
          <w:tcPr>
            <w:tcW w:w="12019" w:type="dxa"/>
            <w:gridSpan w:val="13"/>
            <w:tcBorders>
              <w:top w:val="nil"/>
              <w:left w:val="single" w:sz="8" w:space="0" w:color="auto"/>
              <w:bottom w:val="single" w:sz="4" w:space="0" w:color="auto"/>
              <w:right w:val="single" w:sz="8" w:space="0" w:color="000000"/>
            </w:tcBorders>
            <w:shd w:val="clear" w:color="auto" w:fill="auto"/>
            <w:vAlign w:val="bottom"/>
            <w:hideMark/>
          </w:tcPr>
          <w:p w14:paraId="0890CC74" w14:textId="77777777" w:rsidR="005B7046" w:rsidRPr="00CA3E58" w:rsidRDefault="005B7046" w:rsidP="0001256C">
            <w:pPr>
              <w:jc w:val="both"/>
              <w:rPr>
                <w:rFonts w:ascii="Arial" w:hAnsi="Arial" w:cs="Arial"/>
                <w:b/>
                <w:bCs/>
                <w:sz w:val="20"/>
                <w:szCs w:val="20"/>
              </w:rPr>
            </w:pPr>
            <w:r w:rsidRPr="00CA3E58">
              <w:rPr>
                <w:rFonts w:ascii="Arial" w:hAnsi="Arial" w:cs="Arial"/>
                <w:b/>
                <w:bCs/>
                <w:sz w:val="20"/>
                <w:szCs w:val="20"/>
              </w:rPr>
              <w:t>Decision Unit: Community Oriented Policing Services</w:t>
            </w:r>
          </w:p>
        </w:tc>
      </w:tr>
      <w:tr w:rsidR="005B7046" w:rsidRPr="00CA3E58" w14:paraId="6DEBE608" w14:textId="77777777" w:rsidTr="00507E6F">
        <w:trPr>
          <w:trHeight w:val="435"/>
        </w:trPr>
        <w:tc>
          <w:tcPr>
            <w:tcW w:w="4536" w:type="dxa"/>
            <w:gridSpan w:val="2"/>
            <w:tcBorders>
              <w:top w:val="single" w:sz="8" w:space="0" w:color="auto"/>
              <w:left w:val="single" w:sz="8" w:space="0" w:color="auto"/>
              <w:bottom w:val="single" w:sz="4" w:space="0" w:color="auto"/>
              <w:right w:val="nil"/>
            </w:tcBorders>
            <w:shd w:val="clear" w:color="auto" w:fill="auto"/>
            <w:vAlign w:val="bottom"/>
            <w:hideMark/>
          </w:tcPr>
          <w:p w14:paraId="4184C02C" w14:textId="77777777" w:rsidR="005B7046" w:rsidRPr="00CA3E58" w:rsidRDefault="005B7046" w:rsidP="0001256C">
            <w:pPr>
              <w:jc w:val="both"/>
              <w:rPr>
                <w:rFonts w:ascii="Arial" w:hAnsi="Arial" w:cs="Arial"/>
                <w:b/>
                <w:bCs/>
                <w:sz w:val="20"/>
                <w:szCs w:val="20"/>
              </w:rPr>
            </w:pPr>
            <w:r w:rsidRPr="00CA3E58">
              <w:rPr>
                <w:rFonts w:ascii="Arial" w:hAnsi="Arial" w:cs="Arial"/>
                <w:b/>
                <w:bCs/>
                <w:sz w:val="20"/>
                <w:szCs w:val="20"/>
              </w:rPr>
              <w:t>WORKLOAD/RESOURCES</w:t>
            </w:r>
          </w:p>
        </w:tc>
        <w:tc>
          <w:tcPr>
            <w:tcW w:w="1452" w:type="dxa"/>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14:paraId="1CCD35DF" w14:textId="77777777" w:rsidR="005B7046" w:rsidRPr="00CA3E58" w:rsidRDefault="005B7046" w:rsidP="0001256C">
            <w:pPr>
              <w:jc w:val="both"/>
              <w:rPr>
                <w:rFonts w:ascii="Arial" w:hAnsi="Arial" w:cs="Arial"/>
                <w:b/>
                <w:bCs/>
                <w:sz w:val="16"/>
                <w:szCs w:val="16"/>
              </w:rPr>
            </w:pPr>
            <w:r w:rsidRPr="00CA3E58">
              <w:rPr>
                <w:rFonts w:ascii="Arial" w:hAnsi="Arial" w:cs="Arial"/>
                <w:b/>
                <w:bCs/>
                <w:sz w:val="16"/>
                <w:szCs w:val="16"/>
              </w:rPr>
              <w:t>Target</w:t>
            </w:r>
          </w:p>
        </w:tc>
        <w:tc>
          <w:tcPr>
            <w:tcW w:w="1316" w:type="dxa"/>
            <w:gridSpan w:val="2"/>
            <w:tcBorders>
              <w:top w:val="single" w:sz="8" w:space="0" w:color="auto"/>
              <w:left w:val="nil"/>
              <w:bottom w:val="single" w:sz="4" w:space="0" w:color="auto"/>
              <w:right w:val="single" w:sz="4" w:space="0" w:color="000000"/>
            </w:tcBorders>
            <w:shd w:val="clear" w:color="000000" w:fill="auto"/>
            <w:vAlign w:val="center"/>
            <w:hideMark/>
          </w:tcPr>
          <w:p w14:paraId="07987658" w14:textId="77777777" w:rsidR="005B7046" w:rsidRPr="00CA3E58" w:rsidRDefault="005B7046" w:rsidP="0001256C">
            <w:pPr>
              <w:jc w:val="both"/>
              <w:rPr>
                <w:rFonts w:ascii="Arial" w:hAnsi="Arial" w:cs="Arial"/>
                <w:b/>
                <w:bCs/>
                <w:sz w:val="16"/>
                <w:szCs w:val="16"/>
              </w:rPr>
            </w:pPr>
            <w:r w:rsidRPr="00CA3E58">
              <w:rPr>
                <w:rFonts w:ascii="Arial" w:hAnsi="Arial" w:cs="Arial"/>
                <w:b/>
                <w:bCs/>
                <w:sz w:val="16"/>
                <w:szCs w:val="16"/>
              </w:rPr>
              <w:t xml:space="preserve"> Actual</w:t>
            </w:r>
          </w:p>
        </w:tc>
        <w:tc>
          <w:tcPr>
            <w:tcW w:w="1440" w:type="dxa"/>
            <w:gridSpan w:val="2"/>
            <w:tcBorders>
              <w:top w:val="single" w:sz="8" w:space="0" w:color="auto"/>
              <w:left w:val="nil"/>
              <w:bottom w:val="single" w:sz="4" w:space="0" w:color="auto"/>
              <w:right w:val="single" w:sz="4" w:space="0" w:color="000000"/>
            </w:tcBorders>
            <w:shd w:val="clear" w:color="auto" w:fill="auto"/>
            <w:vAlign w:val="center"/>
            <w:hideMark/>
          </w:tcPr>
          <w:p w14:paraId="7F00C8A2" w14:textId="77777777" w:rsidR="005B7046" w:rsidRPr="00CA3E58" w:rsidRDefault="005B7046" w:rsidP="0001256C">
            <w:pPr>
              <w:jc w:val="both"/>
              <w:rPr>
                <w:rFonts w:ascii="Arial" w:hAnsi="Arial" w:cs="Arial"/>
                <w:b/>
                <w:bCs/>
                <w:sz w:val="16"/>
                <w:szCs w:val="16"/>
              </w:rPr>
            </w:pPr>
            <w:r w:rsidRPr="00CA3E58">
              <w:rPr>
                <w:rFonts w:ascii="Arial" w:hAnsi="Arial" w:cs="Arial"/>
                <w:b/>
                <w:bCs/>
                <w:sz w:val="16"/>
                <w:szCs w:val="16"/>
              </w:rPr>
              <w:t>Projected</w:t>
            </w:r>
          </w:p>
        </w:tc>
        <w:tc>
          <w:tcPr>
            <w:tcW w:w="1752" w:type="dxa"/>
            <w:gridSpan w:val="2"/>
            <w:tcBorders>
              <w:top w:val="single" w:sz="8" w:space="0" w:color="auto"/>
              <w:left w:val="nil"/>
              <w:bottom w:val="single" w:sz="4" w:space="0" w:color="auto"/>
              <w:right w:val="single" w:sz="4" w:space="0" w:color="000000"/>
            </w:tcBorders>
            <w:shd w:val="clear" w:color="auto" w:fill="auto"/>
            <w:vAlign w:val="center"/>
            <w:hideMark/>
          </w:tcPr>
          <w:p w14:paraId="5C1DF7AB" w14:textId="77777777" w:rsidR="005B7046" w:rsidRPr="00CA3E58" w:rsidRDefault="005B7046" w:rsidP="0001256C">
            <w:pPr>
              <w:jc w:val="both"/>
              <w:rPr>
                <w:rFonts w:ascii="Arial" w:hAnsi="Arial" w:cs="Arial"/>
                <w:b/>
                <w:bCs/>
                <w:sz w:val="16"/>
                <w:szCs w:val="16"/>
              </w:rPr>
            </w:pPr>
            <w:r w:rsidRPr="00CA3E58">
              <w:rPr>
                <w:rFonts w:ascii="Arial" w:hAnsi="Arial" w:cs="Arial"/>
                <w:b/>
                <w:bCs/>
                <w:sz w:val="16"/>
                <w:szCs w:val="16"/>
              </w:rPr>
              <w:t>Changes</w:t>
            </w:r>
          </w:p>
        </w:tc>
        <w:tc>
          <w:tcPr>
            <w:tcW w:w="1523" w:type="dxa"/>
            <w:gridSpan w:val="3"/>
            <w:tcBorders>
              <w:top w:val="single" w:sz="8" w:space="0" w:color="auto"/>
              <w:left w:val="nil"/>
              <w:bottom w:val="single" w:sz="4" w:space="0" w:color="auto"/>
              <w:right w:val="single" w:sz="8" w:space="0" w:color="000000"/>
            </w:tcBorders>
            <w:shd w:val="clear" w:color="auto" w:fill="auto"/>
            <w:vAlign w:val="center"/>
            <w:hideMark/>
          </w:tcPr>
          <w:p w14:paraId="04B34F0A" w14:textId="77777777" w:rsidR="005B7046" w:rsidRPr="00CA3E58" w:rsidRDefault="005B7046" w:rsidP="0001256C">
            <w:pPr>
              <w:jc w:val="both"/>
              <w:rPr>
                <w:rFonts w:ascii="Arial" w:hAnsi="Arial" w:cs="Arial"/>
                <w:b/>
                <w:bCs/>
                <w:sz w:val="16"/>
                <w:szCs w:val="16"/>
              </w:rPr>
            </w:pPr>
            <w:r w:rsidRPr="00CA3E58">
              <w:rPr>
                <w:rFonts w:ascii="Arial" w:hAnsi="Arial" w:cs="Arial"/>
                <w:b/>
                <w:bCs/>
                <w:sz w:val="16"/>
                <w:szCs w:val="16"/>
              </w:rPr>
              <w:t>Requested (Total)</w:t>
            </w:r>
          </w:p>
        </w:tc>
      </w:tr>
      <w:tr w:rsidR="005B7046" w:rsidRPr="00CA3E58" w14:paraId="31A347B0" w14:textId="77777777" w:rsidTr="00507E6F">
        <w:trPr>
          <w:trHeight w:val="863"/>
        </w:trPr>
        <w:tc>
          <w:tcPr>
            <w:tcW w:w="4536" w:type="dxa"/>
            <w:gridSpan w:val="2"/>
            <w:tcBorders>
              <w:top w:val="single" w:sz="4" w:space="0" w:color="auto"/>
              <w:left w:val="single" w:sz="8" w:space="0" w:color="auto"/>
              <w:bottom w:val="single" w:sz="4" w:space="0" w:color="auto"/>
              <w:right w:val="nil"/>
            </w:tcBorders>
            <w:shd w:val="clear" w:color="auto" w:fill="auto"/>
            <w:noWrap/>
            <w:vAlign w:val="bottom"/>
            <w:hideMark/>
          </w:tcPr>
          <w:p w14:paraId="0DE4B1FA" w14:textId="77777777" w:rsidR="005B7046" w:rsidRPr="00CA3E58" w:rsidRDefault="005B7046" w:rsidP="0001256C">
            <w:pPr>
              <w:jc w:val="both"/>
              <w:rPr>
                <w:rFonts w:ascii="Arial" w:hAnsi="Arial" w:cs="Arial"/>
                <w:sz w:val="20"/>
                <w:szCs w:val="20"/>
              </w:rPr>
            </w:pPr>
            <w:r w:rsidRPr="00CA3E58">
              <w:rPr>
                <w:rFonts w:ascii="Arial" w:hAnsi="Arial" w:cs="Arial"/>
                <w:sz w:val="20"/>
                <w:szCs w:val="20"/>
              </w:rPr>
              <w:t> </w:t>
            </w:r>
          </w:p>
        </w:tc>
        <w:tc>
          <w:tcPr>
            <w:tcW w:w="1452" w:type="dxa"/>
            <w:gridSpan w:val="2"/>
            <w:tcBorders>
              <w:top w:val="single" w:sz="4" w:space="0" w:color="auto"/>
              <w:left w:val="single" w:sz="8" w:space="0" w:color="auto"/>
              <w:bottom w:val="nil"/>
              <w:right w:val="single" w:sz="4" w:space="0" w:color="000000"/>
            </w:tcBorders>
            <w:shd w:val="clear" w:color="auto" w:fill="auto"/>
            <w:noWrap/>
            <w:vAlign w:val="center"/>
            <w:hideMark/>
          </w:tcPr>
          <w:p w14:paraId="198C7B0C" w14:textId="77777777" w:rsidR="005B7046" w:rsidRPr="00CA3E58" w:rsidRDefault="005B7046" w:rsidP="0001256C">
            <w:pPr>
              <w:jc w:val="both"/>
              <w:rPr>
                <w:rFonts w:ascii="Arial" w:hAnsi="Arial" w:cs="Arial"/>
                <w:b/>
                <w:bCs/>
                <w:sz w:val="16"/>
                <w:szCs w:val="16"/>
              </w:rPr>
            </w:pPr>
            <w:r w:rsidRPr="00CA3E58">
              <w:rPr>
                <w:rFonts w:ascii="Arial" w:hAnsi="Arial" w:cs="Arial"/>
                <w:b/>
                <w:bCs/>
                <w:sz w:val="16"/>
                <w:szCs w:val="16"/>
              </w:rPr>
              <w:t>FY 2012</w:t>
            </w:r>
          </w:p>
        </w:tc>
        <w:tc>
          <w:tcPr>
            <w:tcW w:w="1316" w:type="dxa"/>
            <w:gridSpan w:val="2"/>
            <w:tcBorders>
              <w:top w:val="single" w:sz="4" w:space="0" w:color="auto"/>
              <w:left w:val="nil"/>
              <w:bottom w:val="single" w:sz="4" w:space="0" w:color="auto"/>
              <w:right w:val="single" w:sz="4" w:space="0" w:color="000000"/>
            </w:tcBorders>
            <w:shd w:val="clear" w:color="000000" w:fill="auto"/>
            <w:vAlign w:val="center"/>
            <w:hideMark/>
          </w:tcPr>
          <w:p w14:paraId="3D5929D1" w14:textId="77777777" w:rsidR="005B7046" w:rsidRPr="00CA3E58" w:rsidRDefault="005B7046" w:rsidP="0001256C">
            <w:pPr>
              <w:jc w:val="both"/>
              <w:rPr>
                <w:rFonts w:ascii="Arial" w:hAnsi="Arial" w:cs="Arial"/>
                <w:b/>
                <w:bCs/>
                <w:sz w:val="16"/>
                <w:szCs w:val="16"/>
              </w:rPr>
            </w:pPr>
            <w:r w:rsidRPr="00CA3E58">
              <w:rPr>
                <w:rFonts w:ascii="Arial" w:hAnsi="Arial" w:cs="Arial"/>
                <w:b/>
                <w:bCs/>
                <w:sz w:val="16"/>
                <w:szCs w:val="16"/>
              </w:rPr>
              <w:t>FY 2012</w:t>
            </w:r>
          </w:p>
        </w:tc>
        <w:tc>
          <w:tcPr>
            <w:tcW w:w="1440" w:type="dxa"/>
            <w:gridSpan w:val="2"/>
            <w:tcBorders>
              <w:top w:val="single" w:sz="4" w:space="0" w:color="auto"/>
              <w:left w:val="nil"/>
              <w:bottom w:val="single" w:sz="4" w:space="0" w:color="auto"/>
              <w:right w:val="single" w:sz="4" w:space="0" w:color="000000"/>
            </w:tcBorders>
            <w:shd w:val="clear" w:color="auto" w:fill="auto"/>
            <w:vAlign w:val="center"/>
            <w:hideMark/>
          </w:tcPr>
          <w:p w14:paraId="20A60215" w14:textId="77777777" w:rsidR="005B7046" w:rsidRPr="00CA3E58" w:rsidRDefault="005B7046" w:rsidP="0001256C">
            <w:pPr>
              <w:jc w:val="both"/>
              <w:rPr>
                <w:rFonts w:ascii="Arial" w:hAnsi="Arial" w:cs="Arial"/>
                <w:b/>
                <w:bCs/>
                <w:sz w:val="16"/>
                <w:szCs w:val="16"/>
              </w:rPr>
            </w:pPr>
            <w:r w:rsidRPr="00CA3E58">
              <w:rPr>
                <w:rFonts w:ascii="Arial" w:hAnsi="Arial" w:cs="Arial"/>
                <w:b/>
                <w:bCs/>
                <w:sz w:val="16"/>
                <w:szCs w:val="16"/>
              </w:rPr>
              <w:t>FY 2013</w:t>
            </w:r>
          </w:p>
        </w:tc>
        <w:tc>
          <w:tcPr>
            <w:tcW w:w="1752" w:type="dxa"/>
            <w:gridSpan w:val="2"/>
            <w:tcBorders>
              <w:top w:val="single" w:sz="4" w:space="0" w:color="auto"/>
              <w:left w:val="nil"/>
              <w:bottom w:val="single" w:sz="4" w:space="0" w:color="auto"/>
              <w:right w:val="single" w:sz="4" w:space="0" w:color="000000"/>
            </w:tcBorders>
            <w:shd w:val="clear" w:color="auto" w:fill="auto"/>
            <w:vAlign w:val="center"/>
            <w:hideMark/>
          </w:tcPr>
          <w:p w14:paraId="1BAA9A3A" w14:textId="77777777" w:rsidR="005B7046" w:rsidRPr="00CA3E58" w:rsidRDefault="005B7046" w:rsidP="0001256C">
            <w:pPr>
              <w:jc w:val="both"/>
              <w:rPr>
                <w:rFonts w:ascii="Arial" w:hAnsi="Arial" w:cs="Arial"/>
                <w:b/>
                <w:bCs/>
                <w:sz w:val="16"/>
                <w:szCs w:val="16"/>
              </w:rPr>
            </w:pPr>
            <w:r w:rsidRPr="00CA3E58">
              <w:rPr>
                <w:rFonts w:ascii="Arial" w:hAnsi="Arial" w:cs="Arial"/>
                <w:b/>
                <w:bCs/>
                <w:sz w:val="16"/>
                <w:szCs w:val="16"/>
              </w:rPr>
              <w:t xml:space="preserve">Current Services Adjustments and FY 2014 Program Changes  </w:t>
            </w:r>
          </w:p>
        </w:tc>
        <w:tc>
          <w:tcPr>
            <w:tcW w:w="1523" w:type="dxa"/>
            <w:gridSpan w:val="3"/>
            <w:tcBorders>
              <w:top w:val="single" w:sz="4" w:space="0" w:color="auto"/>
              <w:left w:val="nil"/>
              <w:bottom w:val="single" w:sz="4" w:space="0" w:color="auto"/>
              <w:right w:val="single" w:sz="8" w:space="0" w:color="000000"/>
            </w:tcBorders>
            <w:shd w:val="clear" w:color="auto" w:fill="auto"/>
            <w:noWrap/>
            <w:vAlign w:val="center"/>
            <w:hideMark/>
          </w:tcPr>
          <w:p w14:paraId="7AEB5831" w14:textId="77777777" w:rsidR="005B7046" w:rsidRPr="00CA3E58" w:rsidRDefault="005B7046" w:rsidP="0001256C">
            <w:pPr>
              <w:jc w:val="both"/>
              <w:rPr>
                <w:rFonts w:ascii="Arial" w:hAnsi="Arial" w:cs="Arial"/>
                <w:b/>
                <w:bCs/>
                <w:sz w:val="16"/>
                <w:szCs w:val="16"/>
              </w:rPr>
            </w:pPr>
            <w:r w:rsidRPr="00CA3E58">
              <w:rPr>
                <w:rFonts w:ascii="Arial" w:hAnsi="Arial" w:cs="Arial"/>
                <w:b/>
                <w:bCs/>
                <w:sz w:val="16"/>
                <w:szCs w:val="16"/>
              </w:rPr>
              <w:t>FY 2014 Request</w:t>
            </w:r>
          </w:p>
        </w:tc>
      </w:tr>
      <w:tr w:rsidR="005B7046" w:rsidRPr="00CA3E58" w14:paraId="6FBA122C" w14:textId="77777777" w:rsidTr="00507E6F">
        <w:trPr>
          <w:trHeight w:val="300"/>
        </w:trPr>
        <w:tc>
          <w:tcPr>
            <w:tcW w:w="4536" w:type="dxa"/>
            <w:gridSpan w:val="2"/>
            <w:tcBorders>
              <w:top w:val="single" w:sz="4" w:space="0" w:color="auto"/>
              <w:left w:val="single" w:sz="4" w:space="0" w:color="auto"/>
              <w:bottom w:val="single" w:sz="4" w:space="0" w:color="auto"/>
              <w:right w:val="nil"/>
            </w:tcBorders>
            <w:shd w:val="clear" w:color="auto" w:fill="auto"/>
            <w:noWrap/>
            <w:vAlign w:val="bottom"/>
            <w:hideMark/>
          </w:tcPr>
          <w:p w14:paraId="6001F663" w14:textId="77777777" w:rsidR="005B7046" w:rsidRPr="00CA3E58" w:rsidRDefault="005B7046" w:rsidP="0001256C">
            <w:pPr>
              <w:jc w:val="both"/>
              <w:rPr>
                <w:rFonts w:ascii="Arial" w:hAnsi="Arial" w:cs="Arial"/>
                <w:b/>
                <w:bCs/>
                <w:sz w:val="20"/>
                <w:szCs w:val="20"/>
              </w:rPr>
            </w:pPr>
            <w:r w:rsidRPr="00CA3E58">
              <w:rPr>
                <w:rFonts w:ascii="Arial" w:hAnsi="Arial" w:cs="Arial"/>
                <w:b/>
                <w:bCs/>
                <w:sz w:val="20"/>
                <w:szCs w:val="20"/>
              </w:rPr>
              <w:t>Workload</w:t>
            </w:r>
          </w:p>
        </w:tc>
        <w:tc>
          <w:tcPr>
            <w:tcW w:w="1452"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465630CC" w14:textId="77777777" w:rsidR="005B7046" w:rsidRPr="00CA3E58" w:rsidRDefault="005B7046" w:rsidP="0001256C">
            <w:pPr>
              <w:jc w:val="both"/>
              <w:rPr>
                <w:rFonts w:ascii="Arial" w:hAnsi="Arial" w:cs="Arial"/>
                <w:b/>
                <w:bCs/>
                <w:sz w:val="16"/>
                <w:szCs w:val="16"/>
              </w:rPr>
            </w:pPr>
            <w:r w:rsidRPr="00CA3E58">
              <w:rPr>
                <w:rFonts w:ascii="Arial" w:hAnsi="Arial" w:cs="Arial"/>
                <w:b/>
                <w:bCs/>
                <w:sz w:val="16"/>
                <w:szCs w:val="16"/>
              </w:rPr>
              <w:t> </w:t>
            </w:r>
          </w:p>
        </w:tc>
        <w:tc>
          <w:tcPr>
            <w:tcW w:w="1316" w:type="dxa"/>
            <w:gridSpan w:val="2"/>
            <w:tcBorders>
              <w:top w:val="single" w:sz="4" w:space="0" w:color="auto"/>
              <w:left w:val="nil"/>
              <w:bottom w:val="single" w:sz="4" w:space="0" w:color="auto"/>
              <w:right w:val="single" w:sz="4" w:space="0" w:color="000000"/>
            </w:tcBorders>
            <w:shd w:val="clear" w:color="000000" w:fill="auto"/>
            <w:noWrap/>
            <w:vAlign w:val="bottom"/>
            <w:hideMark/>
          </w:tcPr>
          <w:p w14:paraId="739ACD1C" w14:textId="77777777" w:rsidR="005B7046" w:rsidRPr="00CA3E58" w:rsidRDefault="005B7046" w:rsidP="0001256C">
            <w:pPr>
              <w:jc w:val="both"/>
              <w:rPr>
                <w:rFonts w:ascii="Arial" w:hAnsi="Arial" w:cs="Arial"/>
                <w:sz w:val="16"/>
                <w:szCs w:val="16"/>
              </w:rPr>
            </w:pPr>
            <w:r w:rsidRPr="00CA3E58">
              <w:rPr>
                <w:rFonts w:ascii="Arial" w:hAnsi="Arial" w:cs="Arial"/>
                <w:sz w:val="16"/>
                <w:szCs w:val="16"/>
              </w:rPr>
              <w:t> </w:t>
            </w:r>
          </w:p>
        </w:tc>
        <w:tc>
          <w:tcPr>
            <w:tcW w:w="144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14BBA48F" w14:textId="77777777" w:rsidR="005B7046" w:rsidRPr="00CA3E58" w:rsidRDefault="005B7046" w:rsidP="0001256C">
            <w:pPr>
              <w:jc w:val="both"/>
              <w:rPr>
                <w:rFonts w:ascii="Arial" w:hAnsi="Arial" w:cs="Arial"/>
                <w:b/>
                <w:bCs/>
                <w:sz w:val="16"/>
                <w:szCs w:val="16"/>
              </w:rPr>
            </w:pPr>
            <w:r w:rsidRPr="00CA3E58">
              <w:rPr>
                <w:rFonts w:ascii="Arial" w:hAnsi="Arial" w:cs="Arial"/>
                <w:b/>
                <w:bCs/>
                <w:sz w:val="16"/>
                <w:szCs w:val="16"/>
              </w:rPr>
              <w:t> </w:t>
            </w:r>
          </w:p>
        </w:tc>
        <w:tc>
          <w:tcPr>
            <w:tcW w:w="1752"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7DA4BF50" w14:textId="77777777" w:rsidR="005B7046" w:rsidRPr="00CA3E58" w:rsidRDefault="005B7046" w:rsidP="0001256C">
            <w:pPr>
              <w:jc w:val="both"/>
              <w:rPr>
                <w:rFonts w:ascii="Arial" w:hAnsi="Arial" w:cs="Arial"/>
                <w:b/>
                <w:bCs/>
                <w:sz w:val="16"/>
                <w:szCs w:val="16"/>
              </w:rPr>
            </w:pPr>
            <w:r w:rsidRPr="00CA3E58">
              <w:rPr>
                <w:rFonts w:ascii="Arial" w:hAnsi="Arial" w:cs="Arial"/>
                <w:b/>
                <w:bCs/>
                <w:sz w:val="16"/>
                <w:szCs w:val="16"/>
              </w:rPr>
              <w:t> </w:t>
            </w:r>
          </w:p>
        </w:tc>
        <w:tc>
          <w:tcPr>
            <w:tcW w:w="1523" w:type="dxa"/>
            <w:gridSpan w:val="3"/>
            <w:tcBorders>
              <w:top w:val="single" w:sz="4" w:space="0" w:color="auto"/>
              <w:left w:val="nil"/>
              <w:bottom w:val="single" w:sz="4" w:space="0" w:color="auto"/>
              <w:right w:val="single" w:sz="8" w:space="0" w:color="000000"/>
            </w:tcBorders>
            <w:shd w:val="clear" w:color="auto" w:fill="auto"/>
            <w:noWrap/>
            <w:vAlign w:val="center"/>
            <w:hideMark/>
          </w:tcPr>
          <w:p w14:paraId="344C5733" w14:textId="77777777" w:rsidR="005B7046" w:rsidRPr="00CA3E58" w:rsidRDefault="005B7046" w:rsidP="0001256C">
            <w:pPr>
              <w:jc w:val="both"/>
              <w:rPr>
                <w:rFonts w:ascii="Arial" w:hAnsi="Arial" w:cs="Arial"/>
                <w:b/>
                <w:bCs/>
                <w:sz w:val="16"/>
                <w:szCs w:val="16"/>
              </w:rPr>
            </w:pPr>
            <w:r w:rsidRPr="00CA3E58">
              <w:rPr>
                <w:rFonts w:ascii="Arial" w:hAnsi="Arial" w:cs="Arial"/>
                <w:b/>
                <w:bCs/>
                <w:sz w:val="16"/>
                <w:szCs w:val="16"/>
              </w:rPr>
              <w:t> </w:t>
            </w:r>
          </w:p>
        </w:tc>
      </w:tr>
      <w:tr w:rsidR="005B7046" w:rsidRPr="00CA3E58" w14:paraId="083A5B35" w14:textId="77777777" w:rsidTr="00507E6F">
        <w:trPr>
          <w:trHeight w:val="300"/>
        </w:trPr>
        <w:tc>
          <w:tcPr>
            <w:tcW w:w="4536" w:type="dxa"/>
            <w:gridSpan w:val="2"/>
            <w:tcBorders>
              <w:top w:val="single" w:sz="4" w:space="0" w:color="auto"/>
              <w:left w:val="single" w:sz="4" w:space="0" w:color="auto"/>
              <w:bottom w:val="single" w:sz="4" w:space="0" w:color="auto"/>
              <w:right w:val="nil"/>
            </w:tcBorders>
            <w:shd w:val="clear" w:color="auto" w:fill="auto"/>
            <w:noWrap/>
            <w:vAlign w:val="bottom"/>
            <w:hideMark/>
          </w:tcPr>
          <w:p w14:paraId="5058093C" w14:textId="77777777" w:rsidR="005B7046" w:rsidRPr="00CA3E58" w:rsidRDefault="005B7046" w:rsidP="0001256C">
            <w:pPr>
              <w:jc w:val="both"/>
              <w:rPr>
                <w:rFonts w:ascii="Arial" w:hAnsi="Arial" w:cs="Arial"/>
                <w:sz w:val="20"/>
                <w:szCs w:val="20"/>
              </w:rPr>
            </w:pPr>
            <w:r w:rsidRPr="00CA3E58">
              <w:rPr>
                <w:rFonts w:ascii="Arial" w:hAnsi="Arial" w:cs="Arial"/>
                <w:sz w:val="20"/>
                <w:szCs w:val="20"/>
              </w:rPr>
              <w:t>Number of grants awarded and maintained</w:t>
            </w:r>
          </w:p>
        </w:tc>
        <w:tc>
          <w:tcPr>
            <w:tcW w:w="1452"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5C672853" w14:textId="77777777" w:rsidR="005B7046" w:rsidRPr="00CA3E58" w:rsidRDefault="005B7046" w:rsidP="0001256C">
            <w:pPr>
              <w:jc w:val="both"/>
              <w:rPr>
                <w:rFonts w:ascii="Arial" w:hAnsi="Arial" w:cs="Arial"/>
                <w:sz w:val="16"/>
                <w:szCs w:val="16"/>
              </w:rPr>
            </w:pPr>
            <w:r w:rsidRPr="00CA3E58">
              <w:rPr>
                <w:rFonts w:ascii="Arial" w:hAnsi="Arial" w:cs="Arial"/>
                <w:sz w:val="16"/>
                <w:szCs w:val="16"/>
              </w:rPr>
              <w:t xml:space="preserve">3,672 </w:t>
            </w:r>
          </w:p>
        </w:tc>
        <w:tc>
          <w:tcPr>
            <w:tcW w:w="1316" w:type="dxa"/>
            <w:gridSpan w:val="2"/>
            <w:tcBorders>
              <w:top w:val="single" w:sz="4" w:space="0" w:color="auto"/>
              <w:left w:val="nil"/>
              <w:bottom w:val="single" w:sz="4" w:space="0" w:color="auto"/>
              <w:right w:val="single" w:sz="4" w:space="0" w:color="000000"/>
            </w:tcBorders>
            <w:shd w:val="clear" w:color="000000" w:fill="auto"/>
            <w:noWrap/>
            <w:vAlign w:val="center"/>
            <w:hideMark/>
          </w:tcPr>
          <w:p w14:paraId="7C82D6B5" w14:textId="77777777" w:rsidR="005B7046" w:rsidRPr="00CA3E58" w:rsidRDefault="005B7046" w:rsidP="0001256C">
            <w:pPr>
              <w:jc w:val="both"/>
              <w:rPr>
                <w:rFonts w:ascii="Arial" w:hAnsi="Arial" w:cs="Arial"/>
                <w:sz w:val="16"/>
                <w:szCs w:val="16"/>
              </w:rPr>
            </w:pPr>
            <w:r>
              <w:rPr>
                <w:rFonts w:ascii="Arial" w:hAnsi="Arial" w:cs="Arial"/>
                <w:sz w:val="16"/>
                <w:szCs w:val="16"/>
              </w:rPr>
              <w:t>3,955</w:t>
            </w:r>
          </w:p>
        </w:tc>
        <w:tc>
          <w:tcPr>
            <w:tcW w:w="144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4273E6CC" w14:textId="77777777" w:rsidR="005B7046" w:rsidRPr="00CA3E58" w:rsidRDefault="005B7046" w:rsidP="0001256C">
            <w:pPr>
              <w:jc w:val="both"/>
              <w:rPr>
                <w:rFonts w:ascii="Arial" w:hAnsi="Arial" w:cs="Arial"/>
                <w:sz w:val="16"/>
                <w:szCs w:val="16"/>
              </w:rPr>
            </w:pPr>
            <w:r w:rsidRPr="00CA3E58">
              <w:rPr>
                <w:rFonts w:ascii="Arial" w:hAnsi="Arial" w:cs="Arial"/>
                <w:sz w:val="16"/>
                <w:szCs w:val="16"/>
              </w:rPr>
              <w:t xml:space="preserve">3,195 </w:t>
            </w:r>
          </w:p>
        </w:tc>
        <w:tc>
          <w:tcPr>
            <w:tcW w:w="1752"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736A027D" w14:textId="77777777" w:rsidR="005B7046" w:rsidRPr="009D01D8" w:rsidRDefault="00552C5F" w:rsidP="0001256C">
            <w:pPr>
              <w:jc w:val="both"/>
              <w:rPr>
                <w:rFonts w:ascii="Arial" w:hAnsi="Arial" w:cs="Arial"/>
                <w:sz w:val="16"/>
                <w:szCs w:val="16"/>
              </w:rPr>
            </w:pPr>
            <w:r>
              <w:rPr>
                <w:rFonts w:ascii="Arial" w:hAnsi="Arial" w:cs="Arial"/>
                <w:sz w:val="16"/>
                <w:szCs w:val="16"/>
              </w:rPr>
              <w:t>668</w:t>
            </w:r>
          </w:p>
        </w:tc>
        <w:tc>
          <w:tcPr>
            <w:tcW w:w="1523" w:type="dxa"/>
            <w:gridSpan w:val="3"/>
            <w:tcBorders>
              <w:top w:val="single" w:sz="4" w:space="0" w:color="auto"/>
              <w:left w:val="nil"/>
              <w:bottom w:val="single" w:sz="4" w:space="0" w:color="auto"/>
              <w:right w:val="single" w:sz="8" w:space="0" w:color="000000"/>
            </w:tcBorders>
            <w:shd w:val="clear" w:color="auto" w:fill="auto"/>
            <w:noWrap/>
            <w:vAlign w:val="center"/>
            <w:hideMark/>
          </w:tcPr>
          <w:p w14:paraId="44EE6235" w14:textId="77777777" w:rsidR="005B7046" w:rsidRPr="009D01D8" w:rsidRDefault="00552C5F" w:rsidP="0001256C">
            <w:pPr>
              <w:jc w:val="both"/>
              <w:rPr>
                <w:rFonts w:ascii="Arial" w:hAnsi="Arial" w:cs="Arial"/>
                <w:sz w:val="16"/>
                <w:szCs w:val="16"/>
              </w:rPr>
            </w:pPr>
            <w:r>
              <w:rPr>
                <w:rFonts w:ascii="Arial" w:hAnsi="Arial" w:cs="Arial"/>
                <w:sz w:val="16"/>
                <w:szCs w:val="16"/>
              </w:rPr>
              <w:t>3,863</w:t>
            </w:r>
          </w:p>
        </w:tc>
      </w:tr>
      <w:tr w:rsidR="005B7046" w:rsidRPr="00CA3E58" w14:paraId="3BD7B687" w14:textId="77777777" w:rsidTr="00507E6F">
        <w:trPr>
          <w:trHeight w:val="300"/>
        </w:trPr>
        <w:tc>
          <w:tcPr>
            <w:tcW w:w="4536" w:type="dxa"/>
            <w:gridSpan w:val="2"/>
            <w:tcBorders>
              <w:top w:val="single" w:sz="4" w:space="0" w:color="auto"/>
              <w:left w:val="single" w:sz="4" w:space="0" w:color="auto"/>
              <w:bottom w:val="single" w:sz="4" w:space="0" w:color="auto"/>
              <w:right w:val="nil"/>
            </w:tcBorders>
            <w:shd w:val="clear" w:color="auto" w:fill="auto"/>
            <w:noWrap/>
            <w:vAlign w:val="bottom"/>
            <w:hideMark/>
          </w:tcPr>
          <w:p w14:paraId="41C9AC76" w14:textId="77777777" w:rsidR="005B7046" w:rsidRPr="00CA3E58" w:rsidRDefault="005B7046" w:rsidP="0001256C">
            <w:pPr>
              <w:jc w:val="both"/>
              <w:rPr>
                <w:rFonts w:ascii="Arial" w:hAnsi="Arial" w:cs="Arial"/>
                <w:sz w:val="20"/>
                <w:szCs w:val="20"/>
              </w:rPr>
            </w:pPr>
            <w:r w:rsidRPr="00CA3E58">
              <w:rPr>
                <w:rFonts w:ascii="Arial" w:hAnsi="Arial" w:cs="Arial"/>
                <w:sz w:val="20"/>
                <w:szCs w:val="20"/>
              </w:rPr>
              <w:t>Number of new awards made in FY</w:t>
            </w:r>
          </w:p>
        </w:tc>
        <w:tc>
          <w:tcPr>
            <w:tcW w:w="1452"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70EA0B26" w14:textId="77777777" w:rsidR="005B7046" w:rsidRPr="00CA3E58" w:rsidRDefault="005B7046" w:rsidP="0001256C">
            <w:pPr>
              <w:jc w:val="both"/>
              <w:rPr>
                <w:rFonts w:ascii="Arial" w:hAnsi="Arial" w:cs="Arial"/>
                <w:sz w:val="16"/>
                <w:szCs w:val="16"/>
              </w:rPr>
            </w:pPr>
            <w:r w:rsidRPr="00CA3E58">
              <w:rPr>
                <w:rFonts w:ascii="Arial" w:hAnsi="Arial" w:cs="Arial"/>
                <w:sz w:val="16"/>
                <w:szCs w:val="16"/>
              </w:rPr>
              <w:t xml:space="preserve">209 </w:t>
            </w:r>
          </w:p>
        </w:tc>
        <w:tc>
          <w:tcPr>
            <w:tcW w:w="1316" w:type="dxa"/>
            <w:gridSpan w:val="2"/>
            <w:tcBorders>
              <w:top w:val="single" w:sz="4" w:space="0" w:color="auto"/>
              <w:left w:val="nil"/>
              <w:bottom w:val="single" w:sz="4" w:space="0" w:color="auto"/>
              <w:right w:val="single" w:sz="4" w:space="0" w:color="000000"/>
            </w:tcBorders>
            <w:shd w:val="clear" w:color="000000" w:fill="auto"/>
            <w:noWrap/>
            <w:vAlign w:val="center"/>
            <w:hideMark/>
          </w:tcPr>
          <w:p w14:paraId="5DBA9A4D" w14:textId="77777777" w:rsidR="005B7046" w:rsidRPr="00CA3E58" w:rsidRDefault="005B7046" w:rsidP="0001256C">
            <w:pPr>
              <w:jc w:val="both"/>
              <w:rPr>
                <w:rFonts w:ascii="Arial" w:hAnsi="Arial" w:cs="Arial"/>
                <w:sz w:val="16"/>
                <w:szCs w:val="16"/>
              </w:rPr>
            </w:pPr>
            <w:r>
              <w:rPr>
                <w:rFonts w:ascii="Arial" w:hAnsi="Arial" w:cs="Arial"/>
                <w:sz w:val="16"/>
                <w:szCs w:val="16"/>
              </w:rPr>
              <w:t>115</w:t>
            </w:r>
          </w:p>
        </w:tc>
        <w:tc>
          <w:tcPr>
            <w:tcW w:w="144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5ABE7295" w14:textId="77777777" w:rsidR="005B7046" w:rsidRPr="00CA3E58" w:rsidRDefault="005B7046" w:rsidP="0001256C">
            <w:pPr>
              <w:jc w:val="both"/>
              <w:rPr>
                <w:rFonts w:ascii="Arial" w:hAnsi="Arial" w:cs="Arial"/>
                <w:sz w:val="16"/>
                <w:szCs w:val="16"/>
              </w:rPr>
            </w:pPr>
            <w:r w:rsidRPr="00CA3E58">
              <w:rPr>
                <w:rFonts w:ascii="Arial" w:hAnsi="Arial" w:cs="Arial"/>
                <w:sz w:val="16"/>
                <w:szCs w:val="16"/>
              </w:rPr>
              <w:t xml:space="preserve">261 </w:t>
            </w:r>
          </w:p>
        </w:tc>
        <w:tc>
          <w:tcPr>
            <w:tcW w:w="1752"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573EAC92" w14:textId="77777777" w:rsidR="005B7046" w:rsidRPr="009D01D8" w:rsidRDefault="00552C5F" w:rsidP="0001256C">
            <w:pPr>
              <w:jc w:val="both"/>
              <w:rPr>
                <w:rFonts w:ascii="Arial" w:hAnsi="Arial" w:cs="Arial"/>
                <w:sz w:val="16"/>
                <w:szCs w:val="16"/>
              </w:rPr>
            </w:pPr>
            <w:r>
              <w:rPr>
                <w:rFonts w:ascii="Arial" w:hAnsi="Arial" w:cs="Arial"/>
                <w:sz w:val="16"/>
                <w:szCs w:val="16"/>
              </w:rPr>
              <w:t>595</w:t>
            </w:r>
          </w:p>
        </w:tc>
        <w:tc>
          <w:tcPr>
            <w:tcW w:w="1523" w:type="dxa"/>
            <w:gridSpan w:val="3"/>
            <w:tcBorders>
              <w:top w:val="single" w:sz="4" w:space="0" w:color="auto"/>
              <w:left w:val="nil"/>
              <w:bottom w:val="single" w:sz="4" w:space="0" w:color="auto"/>
              <w:right w:val="single" w:sz="8" w:space="0" w:color="000000"/>
            </w:tcBorders>
            <w:shd w:val="clear" w:color="auto" w:fill="auto"/>
            <w:noWrap/>
            <w:vAlign w:val="center"/>
            <w:hideMark/>
          </w:tcPr>
          <w:p w14:paraId="1A6F5334" w14:textId="77777777" w:rsidR="005B7046" w:rsidRPr="009D01D8" w:rsidRDefault="00552C5F" w:rsidP="0001256C">
            <w:pPr>
              <w:jc w:val="both"/>
              <w:rPr>
                <w:rFonts w:ascii="Arial" w:hAnsi="Arial" w:cs="Arial"/>
                <w:sz w:val="16"/>
                <w:szCs w:val="16"/>
              </w:rPr>
            </w:pPr>
            <w:r>
              <w:rPr>
                <w:rFonts w:ascii="Arial" w:hAnsi="Arial" w:cs="Arial"/>
                <w:sz w:val="16"/>
                <w:szCs w:val="16"/>
              </w:rPr>
              <w:t>856</w:t>
            </w:r>
          </w:p>
        </w:tc>
      </w:tr>
      <w:tr w:rsidR="005B7046" w:rsidRPr="00CA3E58" w14:paraId="30AE6F82" w14:textId="77777777" w:rsidTr="00507E6F">
        <w:trPr>
          <w:trHeight w:val="300"/>
        </w:trPr>
        <w:tc>
          <w:tcPr>
            <w:tcW w:w="4536" w:type="dxa"/>
            <w:gridSpan w:val="2"/>
            <w:tcBorders>
              <w:top w:val="single" w:sz="4" w:space="0" w:color="auto"/>
              <w:left w:val="single" w:sz="4" w:space="0" w:color="auto"/>
              <w:bottom w:val="single" w:sz="4" w:space="0" w:color="auto"/>
              <w:right w:val="nil"/>
            </w:tcBorders>
            <w:shd w:val="clear" w:color="auto" w:fill="auto"/>
            <w:noWrap/>
            <w:vAlign w:val="bottom"/>
            <w:hideMark/>
          </w:tcPr>
          <w:p w14:paraId="5D821B34" w14:textId="77777777" w:rsidR="005B7046" w:rsidRPr="00CA3E58" w:rsidRDefault="005B7046" w:rsidP="0001256C">
            <w:pPr>
              <w:jc w:val="both"/>
              <w:rPr>
                <w:rFonts w:ascii="Arial" w:hAnsi="Arial" w:cs="Arial"/>
                <w:sz w:val="20"/>
                <w:szCs w:val="20"/>
              </w:rPr>
            </w:pPr>
            <w:r w:rsidRPr="00CA3E58">
              <w:rPr>
                <w:rFonts w:ascii="Arial" w:hAnsi="Arial" w:cs="Arial"/>
                <w:sz w:val="20"/>
                <w:szCs w:val="20"/>
              </w:rPr>
              <w:t>Number of grants closed out in FY</w:t>
            </w:r>
          </w:p>
        </w:tc>
        <w:tc>
          <w:tcPr>
            <w:tcW w:w="1452"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635A82A3" w14:textId="77777777" w:rsidR="005B7046" w:rsidRPr="00CA3E58" w:rsidRDefault="005B7046" w:rsidP="0001256C">
            <w:pPr>
              <w:jc w:val="both"/>
              <w:rPr>
                <w:rFonts w:ascii="Arial" w:hAnsi="Arial" w:cs="Arial"/>
                <w:sz w:val="16"/>
                <w:szCs w:val="16"/>
              </w:rPr>
            </w:pPr>
            <w:r w:rsidRPr="00CA3E58">
              <w:rPr>
                <w:rFonts w:ascii="Arial" w:hAnsi="Arial" w:cs="Arial"/>
                <w:sz w:val="16"/>
                <w:szCs w:val="16"/>
              </w:rPr>
              <w:t xml:space="preserve">900 </w:t>
            </w:r>
          </w:p>
        </w:tc>
        <w:tc>
          <w:tcPr>
            <w:tcW w:w="1316" w:type="dxa"/>
            <w:gridSpan w:val="2"/>
            <w:tcBorders>
              <w:top w:val="single" w:sz="4" w:space="0" w:color="auto"/>
              <w:left w:val="nil"/>
              <w:bottom w:val="single" w:sz="4" w:space="0" w:color="auto"/>
              <w:right w:val="single" w:sz="4" w:space="0" w:color="000000"/>
            </w:tcBorders>
            <w:shd w:val="clear" w:color="000000" w:fill="auto"/>
            <w:noWrap/>
            <w:vAlign w:val="center"/>
            <w:hideMark/>
          </w:tcPr>
          <w:p w14:paraId="2252A4DF" w14:textId="77777777" w:rsidR="005B7046" w:rsidRPr="00CA3E58" w:rsidRDefault="005B7046" w:rsidP="0001256C">
            <w:pPr>
              <w:jc w:val="both"/>
              <w:rPr>
                <w:rFonts w:ascii="Arial" w:hAnsi="Arial" w:cs="Arial"/>
                <w:sz w:val="16"/>
                <w:szCs w:val="16"/>
              </w:rPr>
            </w:pPr>
            <w:r>
              <w:rPr>
                <w:rFonts w:ascii="Arial" w:hAnsi="Arial" w:cs="Arial"/>
                <w:sz w:val="16"/>
                <w:szCs w:val="16"/>
              </w:rPr>
              <w:t>90</w:t>
            </w:r>
          </w:p>
        </w:tc>
        <w:tc>
          <w:tcPr>
            <w:tcW w:w="144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578BC9F0" w14:textId="77777777" w:rsidR="005B7046" w:rsidRPr="00CA3E58" w:rsidRDefault="005B7046" w:rsidP="0001256C">
            <w:pPr>
              <w:jc w:val="both"/>
              <w:rPr>
                <w:rFonts w:ascii="Arial" w:hAnsi="Arial" w:cs="Arial"/>
                <w:sz w:val="16"/>
                <w:szCs w:val="16"/>
              </w:rPr>
            </w:pPr>
            <w:r>
              <w:rPr>
                <w:rFonts w:ascii="Arial" w:hAnsi="Arial" w:cs="Arial"/>
                <w:sz w:val="16"/>
                <w:szCs w:val="16"/>
              </w:rPr>
              <w:t>7</w:t>
            </w:r>
            <w:r w:rsidRPr="00CA3E58">
              <w:rPr>
                <w:rFonts w:ascii="Arial" w:hAnsi="Arial" w:cs="Arial"/>
                <w:sz w:val="16"/>
                <w:szCs w:val="16"/>
              </w:rPr>
              <w:t xml:space="preserve">00 </w:t>
            </w:r>
          </w:p>
        </w:tc>
        <w:tc>
          <w:tcPr>
            <w:tcW w:w="1752"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28CEEE9B" w14:textId="77777777" w:rsidR="005B7046" w:rsidRPr="00CA3E58" w:rsidRDefault="005B7046" w:rsidP="0001256C">
            <w:pPr>
              <w:jc w:val="both"/>
              <w:rPr>
                <w:rFonts w:ascii="Arial" w:hAnsi="Arial" w:cs="Arial"/>
                <w:sz w:val="16"/>
                <w:szCs w:val="16"/>
              </w:rPr>
            </w:pPr>
            <w:r w:rsidRPr="00CA3E58">
              <w:rPr>
                <w:rFonts w:ascii="Arial" w:hAnsi="Arial" w:cs="Arial"/>
                <w:sz w:val="16"/>
                <w:szCs w:val="16"/>
              </w:rPr>
              <w:t>(</w:t>
            </w:r>
            <w:r>
              <w:rPr>
                <w:rFonts w:ascii="Arial" w:hAnsi="Arial" w:cs="Arial"/>
                <w:sz w:val="16"/>
                <w:szCs w:val="16"/>
              </w:rPr>
              <w:t>490</w:t>
            </w:r>
            <w:r w:rsidRPr="00CA3E58">
              <w:rPr>
                <w:rFonts w:ascii="Arial" w:hAnsi="Arial" w:cs="Arial"/>
                <w:sz w:val="16"/>
                <w:szCs w:val="16"/>
              </w:rPr>
              <w:t>)</w:t>
            </w:r>
          </w:p>
        </w:tc>
        <w:tc>
          <w:tcPr>
            <w:tcW w:w="1523" w:type="dxa"/>
            <w:gridSpan w:val="3"/>
            <w:tcBorders>
              <w:top w:val="single" w:sz="4" w:space="0" w:color="auto"/>
              <w:left w:val="nil"/>
              <w:bottom w:val="single" w:sz="4" w:space="0" w:color="auto"/>
              <w:right w:val="single" w:sz="8" w:space="0" w:color="000000"/>
            </w:tcBorders>
            <w:shd w:val="clear" w:color="auto" w:fill="auto"/>
            <w:noWrap/>
            <w:vAlign w:val="center"/>
            <w:hideMark/>
          </w:tcPr>
          <w:p w14:paraId="25A471CC" w14:textId="77777777" w:rsidR="005B7046" w:rsidRPr="00CA3E58" w:rsidRDefault="00F24A0F" w:rsidP="0001256C">
            <w:pPr>
              <w:jc w:val="both"/>
              <w:rPr>
                <w:rFonts w:ascii="Arial" w:hAnsi="Arial" w:cs="Arial"/>
                <w:sz w:val="16"/>
                <w:szCs w:val="16"/>
              </w:rPr>
            </w:pPr>
            <w:r>
              <w:rPr>
                <w:rFonts w:ascii="Arial" w:hAnsi="Arial" w:cs="Arial"/>
                <w:sz w:val="16"/>
                <w:szCs w:val="16"/>
              </w:rPr>
              <w:t>188</w:t>
            </w:r>
            <w:r w:rsidR="005B7046" w:rsidRPr="00CA3E58">
              <w:rPr>
                <w:rFonts w:ascii="Arial" w:hAnsi="Arial" w:cs="Arial"/>
                <w:sz w:val="16"/>
                <w:szCs w:val="16"/>
              </w:rPr>
              <w:t> </w:t>
            </w:r>
          </w:p>
        </w:tc>
      </w:tr>
      <w:tr w:rsidR="005B7046" w:rsidRPr="00CA3E58" w14:paraId="55115DA0" w14:textId="77777777" w:rsidTr="00507E6F">
        <w:trPr>
          <w:trHeight w:val="450"/>
        </w:trPr>
        <w:tc>
          <w:tcPr>
            <w:tcW w:w="4536" w:type="dxa"/>
            <w:gridSpan w:val="2"/>
            <w:vMerge w:val="restart"/>
            <w:tcBorders>
              <w:top w:val="single" w:sz="4" w:space="0" w:color="auto"/>
              <w:left w:val="single" w:sz="8" w:space="0" w:color="auto"/>
              <w:bottom w:val="single" w:sz="4" w:space="0" w:color="000000"/>
              <w:right w:val="nil"/>
            </w:tcBorders>
            <w:shd w:val="clear" w:color="auto" w:fill="auto"/>
            <w:hideMark/>
          </w:tcPr>
          <w:p w14:paraId="2EF8A43F" w14:textId="77777777" w:rsidR="005B7046" w:rsidRPr="00CA3E58" w:rsidRDefault="005B7046" w:rsidP="0001256C">
            <w:pPr>
              <w:jc w:val="both"/>
              <w:rPr>
                <w:rFonts w:ascii="Arial" w:hAnsi="Arial" w:cs="Arial"/>
                <w:b/>
                <w:bCs/>
                <w:sz w:val="20"/>
                <w:szCs w:val="20"/>
              </w:rPr>
            </w:pPr>
            <w:r w:rsidRPr="00CA3E58">
              <w:rPr>
                <w:rFonts w:ascii="Arial" w:hAnsi="Arial" w:cs="Arial"/>
                <w:b/>
                <w:bCs/>
                <w:sz w:val="20"/>
                <w:szCs w:val="20"/>
              </w:rPr>
              <w:t>Total Costs and FTE</w:t>
            </w:r>
            <w:r w:rsidRPr="00CA3E58">
              <w:rPr>
                <w:rFonts w:ascii="Arial" w:hAnsi="Arial" w:cs="Arial"/>
                <w:b/>
                <w:bCs/>
                <w:sz w:val="16"/>
                <w:szCs w:val="16"/>
              </w:rPr>
              <w:t xml:space="preserve">                                                                                                                                                                                                                                   (reimbursable FTE are included, but reimbursable costs are bracketed and not included in the total)</w:t>
            </w:r>
          </w:p>
        </w:tc>
        <w:tc>
          <w:tcPr>
            <w:tcW w:w="641" w:type="dxa"/>
            <w:tcBorders>
              <w:top w:val="nil"/>
              <w:left w:val="single" w:sz="8" w:space="0" w:color="auto"/>
              <w:bottom w:val="single" w:sz="4" w:space="0" w:color="auto"/>
              <w:right w:val="single" w:sz="4" w:space="0" w:color="auto"/>
            </w:tcBorders>
            <w:shd w:val="clear" w:color="auto" w:fill="auto"/>
            <w:vAlign w:val="bottom"/>
            <w:hideMark/>
          </w:tcPr>
          <w:p w14:paraId="13C1CC72" w14:textId="77777777" w:rsidR="005B7046" w:rsidRPr="00CA3E58" w:rsidRDefault="005B7046" w:rsidP="0001256C">
            <w:pPr>
              <w:jc w:val="both"/>
              <w:rPr>
                <w:rFonts w:ascii="Arial" w:hAnsi="Arial" w:cs="Arial"/>
                <w:b/>
                <w:bCs/>
                <w:sz w:val="16"/>
                <w:szCs w:val="16"/>
              </w:rPr>
            </w:pPr>
            <w:r w:rsidRPr="00CA3E58">
              <w:rPr>
                <w:rFonts w:ascii="Arial" w:hAnsi="Arial" w:cs="Arial"/>
                <w:b/>
                <w:bCs/>
                <w:sz w:val="16"/>
                <w:szCs w:val="16"/>
              </w:rPr>
              <w:t>FTE</w:t>
            </w:r>
          </w:p>
        </w:tc>
        <w:tc>
          <w:tcPr>
            <w:tcW w:w="811" w:type="dxa"/>
            <w:tcBorders>
              <w:top w:val="nil"/>
              <w:left w:val="nil"/>
              <w:bottom w:val="single" w:sz="4" w:space="0" w:color="auto"/>
              <w:right w:val="single" w:sz="4" w:space="0" w:color="auto"/>
            </w:tcBorders>
            <w:shd w:val="clear" w:color="auto" w:fill="auto"/>
            <w:vAlign w:val="bottom"/>
            <w:hideMark/>
          </w:tcPr>
          <w:p w14:paraId="0CCCF6CD" w14:textId="77777777" w:rsidR="005B7046" w:rsidRPr="00CA3E58" w:rsidRDefault="005B7046" w:rsidP="0001256C">
            <w:pPr>
              <w:jc w:val="both"/>
              <w:rPr>
                <w:rFonts w:ascii="Arial" w:hAnsi="Arial" w:cs="Arial"/>
                <w:b/>
                <w:bCs/>
                <w:sz w:val="16"/>
                <w:szCs w:val="16"/>
              </w:rPr>
            </w:pPr>
            <w:r w:rsidRPr="00CA3E58">
              <w:rPr>
                <w:rFonts w:ascii="Arial" w:hAnsi="Arial" w:cs="Arial"/>
                <w:b/>
                <w:bCs/>
                <w:sz w:val="16"/>
                <w:szCs w:val="16"/>
              </w:rPr>
              <w:t>$000</w:t>
            </w:r>
          </w:p>
        </w:tc>
        <w:tc>
          <w:tcPr>
            <w:tcW w:w="519" w:type="dxa"/>
            <w:tcBorders>
              <w:top w:val="nil"/>
              <w:left w:val="nil"/>
              <w:bottom w:val="single" w:sz="4" w:space="0" w:color="auto"/>
              <w:right w:val="nil"/>
            </w:tcBorders>
            <w:shd w:val="clear" w:color="000000" w:fill="auto"/>
            <w:noWrap/>
            <w:vAlign w:val="bottom"/>
            <w:hideMark/>
          </w:tcPr>
          <w:p w14:paraId="2E24D198" w14:textId="77777777" w:rsidR="005B7046" w:rsidRPr="00CA3E58" w:rsidRDefault="005B7046" w:rsidP="0001256C">
            <w:pPr>
              <w:jc w:val="both"/>
              <w:rPr>
                <w:rFonts w:ascii="Arial" w:hAnsi="Arial" w:cs="Arial"/>
                <w:b/>
                <w:bCs/>
                <w:sz w:val="16"/>
                <w:szCs w:val="16"/>
              </w:rPr>
            </w:pPr>
            <w:r w:rsidRPr="00CA3E58">
              <w:rPr>
                <w:rFonts w:ascii="Arial" w:hAnsi="Arial" w:cs="Arial"/>
                <w:b/>
                <w:bCs/>
                <w:sz w:val="16"/>
                <w:szCs w:val="16"/>
              </w:rPr>
              <w:t>FTE</w:t>
            </w:r>
          </w:p>
        </w:tc>
        <w:tc>
          <w:tcPr>
            <w:tcW w:w="797" w:type="dxa"/>
            <w:tcBorders>
              <w:top w:val="nil"/>
              <w:left w:val="nil"/>
              <w:bottom w:val="single" w:sz="4" w:space="0" w:color="auto"/>
              <w:right w:val="single" w:sz="4" w:space="0" w:color="auto"/>
            </w:tcBorders>
            <w:shd w:val="clear" w:color="000000" w:fill="auto"/>
            <w:vAlign w:val="bottom"/>
            <w:hideMark/>
          </w:tcPr>
          <w:p w14:paraId="558973C2" w14:textId="77777777" w:rsidR="005B7046" w:rsidRPr="00CA3E58" w:rsidRDefault="005B7046" w:rsidP="0001256C">
            <w:pPr>
              <w:jc w:val="both"/>
              <w:rPr>
                <w:rFonts w:ascii="Arial" w:hAnsi="Arial" w:cs="Arial"/>
                <w:b/>
                <w:bCs/>
                <w:sz w:val="16"/>
                <w:szCs w:val="16"/>
              </w:rPr>
            </w:pPr>
            <w:r w:rsidRPr="00CA3E58">
              <w:rPr>
                <w:rFonts w:ascii="Arial" w:hAnsi="Arial" w:cs="Arial"/>
                <w:b/>
                <w:bCs/>
                <w:sz w:val="16"/>
                <w:szCs w:val="16"/>
              </w:rPr>
              <w:t>$000</w:t>
            </w:r>
          </w:p>
        </w:tc>
        <w:tc>
          <w:tcPr>
            <w:tcW w:w="519" w:type="dxa"/>
            <w:tcBorders>
              <w:top w:val="nil"/>
              <w:left w:val="nil"/>
              <w:bottom w:val="single" w:sz="4" w:space="0" w:color="auto"/>
              <w:right w:val="single" w:sz="4" w:space="0" w:color="auto"/>
            </w:tcBorders>
            <w:shd w:val="clear" w:color="auto" w:fill="auto"/>
            <w:noWrap/>
            <w:vAlign w:val="bottom"/>
            <w:hideMark/>
          </w:tcPr>
          <w:p w14:paraId="152AB484" w14:textId="77777777" w:rsidR="005B7046" w:rsidRPr="00CA3E58" w:rsidRDefault="005B7046" w:rsidP="0001256C">
            <w:pPr>
              <w:jc w:val="both"/>
              <w:rPr>
                <w:rFonts w:ascii="Arial" w:hAnsi="Arial" w:cs="Arial"/>
                <w:b/>
                <w:bCs/>
                <w:sz w:val="16"/>
                <w:szCs w:val="16"/>
              </w:rPr>
            </w:pPr>
            <w:r w:rsidRPr="00CA3E58">
              <w:rPr>
                <w:rFonts w:ascii="Arial" w:hAnsi="Arial" w:cs="Arial"/>
                <w:b/>
                <w:bCs/>
                <w:sz w:val="16"/>
                <w:szCs w:val="16"/>
              </w:rPr>
              <w:t>FTE</w:t>
            </w:r>
          </w:p>
        </w:tc>
        <w:tc>
          <w:tcPr>
            <w:tcW w:w="921" w:type="dxa"/>
            <w:tcBorders>
              <w:top w:val="nil"/>
              <w:left w:val="nil"/>
              <w:bottom w:val="single" w:sz="4" w:space="0" w:color="auto"/>
              <w:right w:val="single" w:sz="4" w:space="0" w:color="auto"/>
            </w:tcBorders>
            <w:shd w:val="clear" w:color="auto" w:fill="auto"/>
            <w:vAlign w:val="bottom"/>
            <w:hideMark/>
          </w:tcPr>
          <w:p w14:paraId="225BFA08" w14:textId="77777777" w:rsidR="005B7046" w:rsidRPr="00CA3E58" w:rsidRDefault="005B7046" w:rsidP="0001256C">
            <w:pPr>
              <w:jc w:val="both"/>
              <w:rPr>
                <w:rFonts w:ascii="Arial" w:hAnsi="Arial" w:cs="Arial"/>
                <w:b/>
                <w:bCs/>
                <w:sz w:val="16"/>
                <w:szCs w:val="16"/>
              </w:rPr>
            </w:pPr>
            <w:r w:rsidRPr="00CA3E58">
              <w:rPr>
                <w:rFonts w:ascii="Arial" w:hAnsi="Arial" w:cs="Arial"/>
                <w:b/>
                <w:bCs/>
                <w:sz w:val="16"/>
                <w:szCs w:val="16"/>
              </w:rPr>
              <w:t>$000</w:t>
            </w:r>
          </w:p>
        </w:tc>
        <w:tc>
          <w:tcPr>
            <w:tcW w:w="519" w:type="dxa"/>
            <w:tcBorders>
              <w:top w:val="nil"/>
              <w:left w:val="nil"/>
              <w:bottom w:val="single" w:sz="4" w:space="0" w:color="auto"/>
              <w:right w:val="single" w:sz="4" w:space="0" w:color="auto"/>
            </w:tcBorders>
            <w:shd w:val="clear" w:color="auto" w:fill="auto"/>
            <w:noWrap/>
            <w:vAlign w:val="bottom"/>
            <w:hideMark/>
          </w:tcPr>
          <w:p w14:paraId="3D93C2B9" w14:textId="77777777" w:rsidR="005B7046" w:rsidRPr="00CA3E58" w:rsidRDefault="005B7046" w:rsidP="0001256C">
            <w:pPr>
              <w:jc w:val="both"/>
              <w:rPr>
                <w:rFonts w:ascii="Arial" w:hAnsi="Arial" w:cs="Arial"/>
                <w:b/>
                <w:bCs/>
                <w:sz w:val="16"/>
                <w:szCs w:val="16"/>
              </w:rPr>
            </w:pPr>
            <w:r w:rsidRPr="00CA3E58">
              <w:rPr>
                <w:rFonts w:ascii="Arial" w:hAnsi="Arial" w:cs="Arial"/>
                <w:b/>
                <w:bCs/>
                <w:sz w:val="16"/>
                <w:szCs w:val="16"/>
              </w:rPr>
              <w:t>FTE</w:t>
            </w:r>
          </w:p>
        </w:tc>
        <w:tc>
          <w:tcPr>
            <w:tcW w:w="1233" w:type="dxa"/>
            <w:tcBorders>
              <w:top w:val="nil"/>
              <w:left w:val="nil"/>
              <w:bottom w:val="single" w:sz="4" w:space="0" w:color="auto"/>
              <w:right w:val="single" w:sz="4" w:space="0" w:color="auto"/>
            </w:tcBorders>
            <w:shd w:val="clear" w:color="auto" w:fill="auto"/>
            <w:vAlign w:val="bottom"/>
            <w:hideMark/>
          </w:tcPr>
          <w:p w14:paraId="68A2076D" w14:textId="77777777" w:rsidR="005B7046" w:rsidRPr="00CA3E58" w:rsidRDefault="005B7046" w:rsidP="0001256C">
            <w:pPr>
              <w:jc w:val="both"/>
              <w:rPr>
                <w:rFonts w:ascii="Arial" w:hAnsi="Arial" w:cs="Arial"/>
                <w:b/>
                <w:bCs/>
                <w:sz w:val="16"/>
                <w:szCs w:val="16"/>
              </w:rPr>
            </w:pPr>
            <w:r w:rsidRPr="00CA3E58">
              <w:rPr>
                <w:rFonts w:ascii="Arial" w:hAnsi="Arial" w:cs="Arial"/>
                <w:b/>
                <w:bCs/>
                <w:sz w:val="16"/>
                <w:szCs w:val="16"/>
              </w:rPr>
              <w:t>$000</w:t>
            </w:r>
          </w:p>
        </w:tc>
        <w:tc>
          <w:tcPr>
            <w:tcW w:w="519" w:type="dxa"/>
            <w:tcBorders>
              <w:top w:val="nil"/>
              <w:left w:val="nil"/>
              <w:bottom w:val="single" w:sz="4" w:space="0" w:color="auto"/>
              <w:right w:val="single" w:sz="4" w:space="0" w:color="auto"/>
            </w:tcBorders>
            <w:shd w:val="clear" w:color="auto" w:fill="auto"/>
            <w:noWrap/>
            <w:vAlign w:val="bottom"/>
            <w:hideMark/>
          </w:tcPr>
          <w:p w14:paraId="2B03C0BB" w14:textId="77777777" w:rsidR="005B7046" w:rsidRPr="00CA3E58" w:rsidRDefault="005B7046" w:rsidP="0001256C">
            <w:pPr>
              <w:jc w:val="both"/>
              <w:rPr>
                <w:rFonts w:ascii="Arial" w:hAnsi="Arial" w:cs="Arial"/>
                <w:b/>
                <w:bCs/>
                <w:sz w:val="16"/>
                <w:szCs w:val="16"/>
              </w:rPr>
            </w:pPr>
            <w:r w:rsidRPr="00CA3E58">
              <w:rPr>
                <w:rFonts w:ascii="Arial" w:hAnsi="Arial" w:cs="Arial"/>
                <w:b/>
                <w:bCs/>
                <w:sz w:val="16"/>
                <w:szCs w:val="16"/>
              </w:rPr>
              <w:t>FTE</w:t>
            </w:r>
          </w:p>
        </w:tc>
        <w:tc>
          <w:tcPr>
            <w:tcW w:w="1004" w:type="dxa"/>
            <w:gridSpan w:val="2"/>
            <w:tcBorders>
              <w:top w:val="nil"/>
              <w:left w:val="nil"/>
              <w:bottom w:val="single" w:sz="4" w:space="0" w:color="auto"/>
              <w:right w:val="single" w:sz="8" w:space="0" w:color="auto"/>
            </w:tcBorders>
            <w:shd w:val="clear" w:color="auto" w:fill="auto"/>
            <w:vAlign w:val="bottom"/>
            <w:hideMark/>
          </w:tcPr>
          <w:p w14:paraId="4A05A17F" w14:textId="77777777" w:rsidR="005B7046" w:rsidRPr="00CA3E58" w:rsidRDefault="005B7046" w:rsidP="0001256C">
            <w:pPr>
              <w:jc w:val="both"/>
              <w:rPr>
                <w:rFonts w:ascii="Arial" w:hAnsi="Arial" w:cs="Arial"/>
                <w:b/>
                <w:bCs/>
                <w:sz w:val="16"/>
                <w:szCs w:val="16"/>
              </w:rPr>
            </w:pPr>
            <w:r w:rsidRPr="00CA3E58">
              <w:rPr>
                <w:rFonts w:ascii="Arial" w:hAnsi="Arial" w:cs="Arial"/>
                <w:b/>
                <w:bCs/>
                <w:sz w:val="16"/>
                <w:szCs w:val="16"/>
              </w:rPr>
              <w:t>$000</w:t>
            </w:r>
          </w:p>
        </w:tc>
      </w:tr>
      <w:tr w:rsidR="005B7046" w:rsidRPr="00CA3E58" w14:paraId="5EECF0EC" w14:textId="77777777" w:rsidTr="00507E6F">
        <w:trPr>
          <w:trHeight w:val="660"/>
        </w:trPr>
        <w:tc>
          <w:tcPr>
            <w:tcW w:w="4536" w:type="dxa"/>
            <w:gridSpan w:val="2"/>
            <w:vMerge/>
            <w:tcBorders>
              <w:top w:val="single" w:sz="4" w:space="0" w:color="auto"/>
              <w:left w:val="single" w:sz="8" w:space="0" w:color="auto"/>
              <w:bottom w:val="single" w:sz="4" w:space="0" w:color="000000"/>
              <w:right w:val="nil"/>
            </w:tcBorders>
            <w:vAlign w:val="center"/>
            <w:hideMark/>
          </w:tcPr>
          <w:p w14:paraId="1641B0D3" w14:textId="77777777" w:rsidR="005B7046" w:rsidRPr="00CA3E58" w:rsidRDefault="005B7046" w:rsidP="0001256C">
            <w:pPr>
              <w:jc w:val="both"/>
              <w:rPr>
                <w:rFonts w:ascii="Arial" w:hAnsi="Arial" w:cs="Arial"/>
                <w:b/>
                <w:bCs/>
                <w:sz w:val="20"/>
                <w:szCs w:val="20"/>
              </w:rPr>
            </w:pPr>
          </w:p>
        </w:tc>
        <w:tc>
          <w:tcPr>
            <w:tcW w:w="641" w:type="dxa"/>
            <w:tcBorders>
              <w:top w:val="nil"/>
              <w:left w:val="single" w:sz="8" w:space="0" w:color="auto"/>
              <w:bottom w:val="single" w:sz="8" w:space="0" w:color="auto"/>
              <w:right w:val="single" w:sz="4" w:space="0" w:color="auto"/>
            </w:tcBorders>
            <w:shd w:val="clear" w:color="auto" w:fill="auto"/>
            <w:vAlign w:val="bottom"/>
            <w:hideMark/>
          </w:tcPr>
          <w:p w14:paraId="71293F21" w14:textId="77777777" w:rsidR="005B7046" w:rsidRPr="00CA3E58" w:rsidRDefault="005B7046" w:rsidP="0001256C">
            <w:pPr>
              <w:jc w:val="both"/>
              <w:rPr>
                <w:rFonts w:ascii="Arial" w:hAnsi="Arial" w:cs="Arial"/>
                <w:b/>
                <w:bCs/>
                <w:sz w:val="16"/>
                <w:szCs w:val="16"/>
              </w:rPr>
            </w:pPr>
            <w:r>
              <w:rPr>
                <w:rFonts w:ascii="Arial" w:hAnsi="Arial" w:cs="Arial"/>
                <w:b/>
                <w:bCs/>
                <w:sz w:val="16"/>
                <w:szCs w:val="16"/>
              </w:rPr>
              <w:t>1</w:t>
            </w:r>
            <w:r w:rsidR="006C78A5">
              <w:rPr>
                <w:rFonts w:ascii="Arial" w:hAnsi="Arial" w:cs="Arial"/>
                <w:b/>
                <w:bCs/>
                <w:sz w:val="16"/>
                <w:szCs w:val="16"/>
              </w:rPr>
              <w:t>28</w:t>
            </w:r>
          </w:p>
        </w:tc>
        <w:tc>
          <w:tcPr>
            <w:tcW w:w="811" w:type="dxa"/>
            <w:tcBorders>
              <w:top w:val="nil"/>
              <w:left w:val="nil"/>
              <w:bottom w:val="single" w:sz="8" w:space="0" w:color="auto"/>
              <w:right w:val="single" w:sz="4" w:space="0" w:color="auto"/>
            </w:tcBorders>
            <w:shd w:val="clear" w:color="auto" w:fill="auto"/>
            <w:noWrap/>
            <w:vAlign w:val="bottom"/>
            <w:hideMark/>
          </w:tcPr>
          <w:p w14:paraId="5667C2D5" w14:textId="77777777" w:rsidR="005B7046" w:rsidRPr="00CA3E58" w:rsidRDefault="005B7046" w:rsidP="0001256C">
            <w:pPr>
              <w:jc w:val="both"/>
              <w:rPr>
                <w:rFonts w:ascii="Arial" w:hAnsi="Arial" w:cs="Arial"/>
                <w:sz w:val="16"/>
                <w:szCs w:val="16"/>
              </w:rPr>
            </w:pPr>
            <w:r>
              <w:rPr>
                <w:rFonts w:ascii="Arial" w:hAnsi="Arial" w:cs="Arial"/>
                <w:sz w:val="16"/>
                <w:szCs w:val="16"/>
              </w:rPr>
              <w:t>186,000</w:t>
            </w:r>
          </w:p>
        </w:tc>
        <w:tc>
          <w:tcPr>
            <w:tcW w:w="519" w:type="dxa"/>
            <w:tcBorders>
              <w:top w:val="nil"/>
              <w:left w:val="nil"/>
              <w:bottom w:val="single" w:sz="8" w:space="0" w:color="auto"/>
              <w:right w:val="nil"/>
            </w:tcBorders>
            <w:shd w:val="clear" w:color="000000" w:fill="auto"/>
            <w:noWrap/>
            <w:vAlign w:val="bottom"/>
            <w:hideMark/>
          </w:tcPr>
          <w:p w14:paraId="65AA4A4E" w14:textId="77777777" w:rsidR="005B7046" w:rsidRPr="00CA3E58" w:rsidRDefault="005B7046" w:rsidP="0001256C">
            <w:pPr>
              <w:jc w:val="both"/>
              <w:rPr>
                <w:rFonts w:ascii="Arial" w:hAnsi="Arial" w:cs="Arial"/>
                <w:sz w:val="16"/>
                <w:szCs w:val="16"/>
              </w:rPr>
            </w:pPr>
            <w:r w:rsidRPr="00CA3E58">
              <w:rPr>
                <w:rFonts w:ascii="Arial" w:hAnsi="Arial" w:cs="Arial"/>
                <w:sz w:val="16"/>
                <w:szCs w:val="16"/>
              </w:rPr>
              <w:t> </w:t>
            </w:r>
            <w:r>
              <w:rPr>
                <w:rFonts w:ascii="Arial" w:hAnsi="Arial" w:cs="Arial"/>
                <w:sz w:val="16"/>
                <w:szCs w:val="16"/>
              </w:rPr>
              <w:t>1</w:t>
            </w:r>
            <w:r w:rsidR="006C78A5">
              <w:rPr>
                <w:rFonts w:ascii="Arial" w:hAnsi="Arial" w:cs="Arial"/>
                <w:sz w:val="16"/>
                <w:szCs w:val="16"/>
              </w:rPr>
              <w:t>28</w:t>
            </w:r>
          </w:p>
        </w:tc>
        <w:tc>
          <w:tcPr>
            <w:tcW w:w="797" w:type="dxa"/>
            <w:tcBorders>
              <w:top w:val="nil"/>
              <w:left w:val="single" w:sz="4" w:space="0" w:color="auto"/>
              <w:bottom w:val="single" w:sz="8" w:space="0" w:color="auto"/>
              <w:right w:val="single" w:sz="4" w:space="0" w:color="auto"/>
            </w:tcBorders>
            <w:shd w:val="clear" w:color="000000" w:fill="auto"/>
            <w:noWrap/>
            <w:vAlign w:val="bottom"/>
            <w:hideMark/>
          </w:tcPr>
          <w:p w14:paraId="50F185E0" w14:textId="77777777" w:rsidR="005B7046" w:rsidRPr="00CA3E58" w:rsidRDefault="005B7046" w:rsidP="0001256C">
            <w:pPr>
              <w:jc w:val="both"/>
              <w:rPr>
                <w:rFonts w:ascii="Arial" w:hAnsi="Arial" w:cs="Arial"/>
                <w:sz w:val="16"/>
                <w:szCs w:val="16"/>
              </w:rPr>
            </w:pPr>
            <w:r>
              <w:rPr>
                <w:rFonts w:ascii="Arial" w:hAnsi="Arial" w:cs="Arial"/>
                <w:sz w:val="16"/>
                <w:szCs w:val="16"/>
              </w:rPr>
              <w:t>186,000</w:t>
            </w:r>
          </w:p>
        </w:tc>
        <w:tc>
          <w:tcPr>
            <w:tcW w:w="519" w:type="dxa"/>
            <w:tcBorders>
              <w:top w:val="nil"/>
              <w:left w:val="nil"/>
              <w:bottom w:val="single" w:sz="8" w:space="0" w:color="auto"/>
              <w:right w:val="single" w:sz="4" w:space="0" w:color="auto"/>
            </w:tcBorders>
            <w:shd w:val="clear" w:color="auto" w:fill="auto"/>
            <w:noWrap/>
            <w:vAlign w:val="bottom"/>
            <w:hideMark/>
          </w:tcPr>
          <w:p w14:paraId="5CA9BFA9" w14:textId="77777777" w:rsidR="005B7046" w:rsidRPr="00CA3E58" w:rsidRDefault="005B7046" w:rsidP="0001256C">
            <w:pPr>
              <w:jc w:val="both"/>
              <w:rPr>
                <w:rFonts w:ascii="Arial" w:hAnsi="Arial" w:cs="Arial"/>
                <w:sz w:val="16"/>
                <w:szCs w:val="16"/>
              </w:rPr>
            </w:pPr>
            <w:r w:rsidRPr="00CA3E58">
              <w:rPr>
                <w:rFonts w:ascii="Arial" w:hAnsi="Arial" w:cs="Arial"/>
                <w:sz w:val="16"/>
                <w:szCs w:val="16"/>
              </w:rPr>
              <w:t> </w:t>
            </w:r>
            <w:r>
              <w:rPr>
                <w:rFonts w:ascii="Arial" w:hAnsi="Arial" w:cs="Arial"/>
                <w:sz w:val="16"/>
                <w:szCs w:val="16"/>
              </w:rPr>
              <w:t>1</w:t>
            </w:r>
            <w:r w:rsidR="006C78A5">
              <w:rPr>
                <w:rFonts w:ascii="Arial" w:hAnsi="Arial" w:cs="Arial"/>
                <w:sz w:val="16"/>
                <w:szCs w:val="16"/>
              </w:rPr>
              <w:t>28</w:t>
            </w:r>
          </w:p>
        </w:tc>
        <w:tc>
          <w:tcPr>
            <w:tcW w:w="921" w:type="dxa"/>
            <w:tcBorders>
              <w:top w:val="nil"/>
              <w:left w:val="nil"/>
              <w:bottom w:val="single" w:sz="8" w:space="0" w:color="auto"/>
              <w:right w:val="single" w:sz="4" w:space="0" w:color="auto"/>
            </w:tcBorders>
            <w:shd w:val="clear" w:color="auto" w:fill="auto"/>
            <w:noWrap/>
            <w:vAlign w:val="bottom"/>
            <w:hideMark/>
          </w:tcPr>
          <w:p w14:paraId="772A95B3" w14:textId="77777777" w:rsidR="005B7046" w:rsidRPr="00CA3E58" w:rsidRDefault="00845945" w:rsidP="0001256C">
            <w:pPr>
              <w:jc w:val="both"/>
              <w:rPr>
                <w:rFonts w:ascii="Arial" w:hAnsi="Arial" w:cs="Arial"/>
                <w:sz w:val="16"/>
                <w:szCs w:val="16"/>
              </w:rPr>
            </w:pPr>
            <w:r>
              <w:rPr>
                <w:rFonts w:ascii="Arial" w:hAnsi="Arial" w:cs="Arial"/>
                <w:sz w:val="16"/>
                <w:szCs w:val="16"/>
              </w:rPr>
              <w:t>186,000</w:t>
            </w:r>
          </w:p>
        </w:tc>
        <w:tc>
          <w:tcPr>
            <w:tcW w:w="519" w:type="dxa"/>
            <w:tcBorders>
              <w:top w:val="nil"/>
              <w:left w:val="nil"/>
              <w:bottom w:val="single" w:sz="8" w:space="0" w:color="auto"/>
              <w:right w:val="single" w:sz="4" w:space="0" w:color="auto"/>
            </w:tcBorders>
            <w:shd w:val="clear" w:color="auto" w:fill="auto"/>
            <w:noWrap/>
            <w:vAlign w:val="bottom"/>
            <w:hideMark/>
          </w:tcPr>
          <w:p w14:paraId="37BDF607" w14:textId="77777777" w:rsidR="005B7046" w:rsidRPr="00CA3E58" w:rsidRDefault="009D3CE0" w:rsidP="0001256C">
            <w:pPr>
              <w:jc w:val="both"/>
              <w:rPr>
                <w:rFonts w:ascii="Arial" w:hAnsi="Arial" w:cs="Arial"/>
                <w:sz w:val="16"/>
                <w:szCs w:val="16"/>
              </w:rPr>
            </w:pPr>
            <w:r>
              <w:rPr>
                <w:rFonts w:ascii="Arial" w:hAnsi="Arial" w:cs="Arial"/>
                <w:sz w:val="16"/>
                <w:szCs w:val="16"/>
              </w:rPr>
              <w:t>0</w:t>
            </w:r>
          </w:p>
        </w:tc>
        <w:tc>
          <w:tcPr>
            <w:tcW w:w="1233" w:type="dxa"/>
            <w:tcBorders>
              <w:top w:val="nil"/>
              <w:left w:val="nil"/>
              <w:bottom w:val="single" w:sz="8" w:space="0" w:color="auto"/>
              <w:right w:val="single" w:sz="4" w:space="0" w:color="auto"/>
            </w:tcBorders>
            <w:shd w:val="clear" w:color="auto" w:fill="auto"/>
            <w:noWrap/>
            <w:vAlign w:val="bottom"/>
            <w:hideMark/>
          </w:tcPr>
          <w:p w14:paraId="0D944A14" w14:textId="77777777" w:rsidR="005B7046" w:rsidRPr="00CA3E58" w:rsidRDefault="00845945" w:rsidP="0001256C">
            <w:pPr>
              <w:jc w:val="both"/>
              <w:rPr>
                <w:rFonts w:ascii="Arial" w:hAnsi="Arial" w:cs="Arial"/>
                <w:sz w:val="16"/>
                <w:szCs w:val="16"/>
              </w:rPr>
            </w:pPr>
            <w:r>
              <w:rPr>
                <w:rFonts w:ascii="Arial" w:hAnsi="Arial" w:cs="Arial"/>
                <w:sz w:val="16"/>
                <w:szCs w:val="16"/>
              </w:rPr>
              <w:t>241,000</w:t>
            </w:r>
          </w:p>
        </w:tc>
        <w:tc>
          <w:tcPr>
            <w:tcW w:w="519" w:type="dxa"/>
            <w:tcBorders>
              <w:top w:val="nil"/>
              <w:left w:val="nil"/>
              <w:bottom w:val="single" w:sz="8" w:space="0" w:color="auto"/>
              <w:right w:val="single" w:sz="4" w:space="0" w:color="auto"/>
            </w:tcBorders>
            <w:shd w:val="clear" w:color="auto" w:fill="auto"/>
            <w:noWrap/>
            <w:vAlign w:val="bottom"/>
            <w:hideMark/>
          </w:tcPr>
          <w:p w14:paraId="0CEAAB73" w14:textId="77777777" w:rsidR="005B7046" w:rsidRPr="00CA3E58" w:rsidRDefault="00F24A0F" w:rsidP="0001256C">
            <w:pPr>
              <w:jc w:val="both"/>
              <w:rPr>
                <w:rFonts w:ascii="Arial" w:hAnsi="Arial" w:cs="Arial"/>
                <w:sz w:val="16"/>
                <w:szCs w:val="16"/>
              </w:rPr>
            </w:pPr>
            <w:r>
              <w:rPr>
                <w:rFonts w:ascii="Arial" w:hAnsi="Arial" w:cs="Arial"/>
                <w:sz w:val="16"/>
                <w:szCs w:val="16"/>
              </w:rPr>
              <w:t>128</w:t>
            </w:r>
          </w:p>
        </w:tc>
        <w:tc>
          <w:tcPr>
            <w:tcW w:w="1004" w:type="dxa"/>
            <w:gridSpan w:val="2"/>
            <w:tcBorders>
              <w:top w:val="nil"/>
              <w:left w:val="nil"/>
              <w:bottom w:val="single" w:sz="8" w:space="0" w:color="auto"/>
              <w:right w:val="single" w:sz="8" w:space="0" w:color="auto"/>
            </w:tcBorders>
            <w:shd w:val="clear" w:color="auto" w:fill="auto"/>
            <w:noWrap/>
            <w:vAlign w:val="bottom"/>
            <w:hideMark/>
          </w:tcPr>
          <w:p w14:paraId="21C00783" w14:textId="77777777" w:rsidR="005B7046" w:rsidRPr="00CA3E58" w:rsidRDefault="00845945" w:rsidP="0001256C">
            <w:pPr>
              <w:jc w:val="both"/>
              <w:rPr>
                <w:rFonts w:ascii="Arial" w:hAnsi="Arial" w:cs="Arial"/>
                <w:sz w:val="16"/>
                <w:szCs w:val="16"/>
              </w:rPr>
            </w:pPr>
            <w:r>
              <w:rPr>
                <w:rFonts w:ascii="Arial" w:hAnsi="Arial" w:cs="Arial"/>
                <w:sz w:val="16"/>
                <w:szCs w:val="16"/>
              </w:rPr>
              <w:t>427,000</w:t>
            </w:r>
          </w:p>
        </w:tc>
      </w:tr>
      <w:tr w:rsidR="005B7046" w:rsidRPr="00CA3E58" w14:paraId="76CAC9A5" w14:textId="77777777" w:rsidTr="00507E6F">
        <w:trPr>
          <w:trHeight w:val="435"/>
        </w:trPr>
        <w:tc>
          <w:tcPr>
            <w:tcW w:w="4536" w:type="dxa"/>
            <w:gridSpan w:val="2"/>
            <w:tcBorders>
              <w:top w:val="single" w:sz="8" w:space="0" w:color="auto"/>
              <w:left w:val="single" w:sz="8" w:space="0" w:color="auto"/>
              <w:bottom w:val="single" w:sz="4" w:space="0" w:color="auto"/>
              <w:right w:val="nil"/>
            </w:tcBorders>
            <w:shd w:val="clear" w:color="auto" w:fill="auto"/>
            <w:vAlign w:val="bottom"/>
            <w:hideMark/>
          </w:tcPr>
          <w:p w14:paraId="42E380C0" w14:textId="77777777" w:rsidR="005B7046" w:rsidRPr="00CA3E58" w:rsidRDefault="005B7046" w:rsidP="0001256C">
            <w:pPr>
              <w:jc w:val="both"/>
              <w:rPr>
                <w:rFonts w:ascii="Arial" w:hAnsi="Arial" w:cs="Arial"/>
                <w:b/>
                <w:bCs/>
                <w:sz w:val="20"/>
                <w:szCs w:val="20"/>
              </w:rPr>
            </w:pPr>
            <w:r w:rsidRPr="00CA3E58">
              <w:rPr>
                <w:rFonts w:ascii="Arial" w:hAnsi="Arial" w:cs="Arial"/>
                <w:b/>
                <w:bCs/>
                <w:sz w:val="20"/>
                <w:szCs w:val="20"/>
              </w:rPr>
              <w:t>RESOURCES</w:t>
            </w:r>
          </w:p>
        </w:tc>
        <w:tc>
          <w:tcPr>
            <w:tcW w:w="1452" w:type="dxa"/>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14:paraId="2CCF189F" w14:textId="77777777" w:rsidR="005B7046" w:rsidRPr="00CA3E58" w:rsidRDefault="005B7046" w:rsidP="0001256C">
            <w:pPr>
              <w:jc w:val="both"/>
              <w:rPr>
                <w:rFonts w:ascii="Arial" w:hAnsi="Arial" w:cs="Arial"/>
                <w:b/>
                <w:bCs/>
                <w:sz w:val="16"/>
                <w:szCs w:val="16"/>
              </w:rPr>
            </w:pPr>
            <w:r w:rsidRPr="00CA3E58">
              <w:rPr>
                <w:rFonts w:ascii="Arial" w:hAnsi="Arial" w:cs="Arial"/>
                <w:b/>
                <w:bCs/>
                <w:sz w:val="16"/>
                <w:szCs w:val="16"/>
              </w:rPr>
              <w:t>Target</w:t>
            </w:r>
          </w:p>
        </w:tc>
        <w:tc>
          <w:tcPr>
            <w:tcW w:w="1316" w:type="dxa"/>
            <w:gridSpan w:val="2"/>
            <w:tcBorders>
              <w:top w:val="single" w:sz="8" w:space="0" w:color="auto"/>
              <w:left w:val="nil"/>
              <w:bottom w:val="single" w:sz="4" w:space="0" w:color="auto"/>
              <w:right w:val="single" w:sz="4" w:space="0" w:color="000000"/>
            </w:tcBorders>
            <w:shd w:val="clear" w:color="000000" w:fill="auto"/>
            <w:vAlign w:val="center"/>
            <w:hideMark/>
          </w:tcPr>
          <w:p w14:paraId="1FF0618F" w14:textId="77777777" w:rsidR="005B7046" w:rsidRPr="00CA3E58" w:rsidRDefault="005B7046" w:rsidP="0001256C">
            <w:pPr>
              <w:jc w:val="both"/>
              <w:rPr>
                <w:rFonts w:ascii="Arial" w:hAnsi="Arial" w:cs="Arial"/>
                <w:b/>
                <w:bCs/>
                <w:sz w:val="16"/>
                <w:szCs w:val="16"/>
              </w:rPr>
            </w:pPr>
            <w:r w:rsidRPr="00CA3E58">
              <w:rPr>
                <w:rFonts w:ascii="Arial" w:hAnsi="Arial" w:cs="Arial"/>
                <w:b/>
                <w:bCs/>
                <w:sz w:val="16"/>
                <w:szCs w:val="16"/>
              </w:rPr>
              <w:t xml:space="preserve"> Actual</w:t>
            </w:r>
          </w:p>
        </w:tc>
        <w:tc>
          <w:tcPr>
            <w:tcW w:w="1440" w:type="dxa"/>
            <w:gridSpan w:val="2"/>
            <w:tcBorders>
              <w:top w:val="single" w:sz="8" w:space="0" w:color="auto"/>
              <w:left w:val="nil"/>
              <w:bottom w:val="single" w:sz="4" w:space="0" w:color="auto"/>
              <w:right w:val="single" w:sz="4" w:space="0" w:color="000000"/>
            </w:tcBorders>
            <w:shd w:val="clear" w:color="auto" w:fill="auto"/>
            <w:vAlign w:val="center"/>
            <w:hideMark/>
          </w:tcPr>
          <w:p w14:paraId="63DB5D99" w14:textId="77777777" w:rsidR="005B7046" w:rsidRPr="00CA3E58" w:rsidRDefault="005B7046" w:rsidP="0001256C">
            <w:pPr>
              <w:jc w:val="both"/>
              <w:rPr>
                <w:rFonts w:ascii="Arial" w:hAnsi="Arial" w:cs="Arial"/>
                <w:b/>
                <w:bCs/>
                <w:sz w:val="16"/>
                <w:szCs w:val="16"/>
              </w:rPr>
            </w:pPr>
            <w:r w:rsidRPr="00CA3E58">
              <w:rPr>
                <w:rFonts w:ascii="Arial" w:hAnsi="Arial" w:cs="Arial"/>
                <w:b/>
                <w:bCs/>
                <w:sz w:val="16"/>
                <w:szCs w:val="16"/>
              </w:rPr>
              <w:t>Projected</w:t>
            </w:r>
          </w:p>
        </w:tc>
        <w:tc>
          <w:tcPr>
            <w:tcW w:w="1752" w:type="dxa"/>
            <w:gridSpan w:val="2"/>
            <w:tcBorders>
              <w:top w:val="single" w:sz="8" w:space="0" w:color="auto"/>
              <w:left w:val="nil"/>
              <w:bottom w:val="single" w:sz="4" w:space="0" w:color="auto"/>
              <w:right w:val="single" w:sz="4" w:space="0" w:color="000000"/>
            </w:tcBorders>
            <w:shd w:val="clear" w:color="auto" w:fill="auto"/>
            <w:vAlign w:val="center"/>
            <w:hideMark/>
          </w:tcPr>
          <w:p w14:paraId="71A2AEB0" w14:textId="77777777" w:rsidR="005B7046" w:rsidRPr="00CA3E58" w:rsidRDefault="005B7046" w:rsidP="0001256C">
            <w:pPr>
              <w:jc w:val="both"/>
              <w:rPr>
                <w:rFonts w:ascii="Arial" w:hAnsi="Arial" w:cs="Arial"/>
                <w:b/>
                <w:bCs/>
                <w:sz w:val="16"/>
                <w:szCs w:val="16"/>
              </w:rPr>
            </w:pPr>
            <w:r w:rsidRPr="00CA3E58">
              <w:rPr>
                <w:rFonts w:ascii="Arial" w:hAnsi="Arial" w:cs="Arial"/>
                <w:b/>
                <w:bCs/>
                <w:sz w:val="16"/>
                <w:szCs w:val="16"/>
              </w:rPr>
              <w:t>Changes</w:t>
            </w:r>
          </w:p>
        </w:tc>
        <w:tc>
          <w:tcPr>
            <w:tcW w:w="1523" w:type="dxa"/>
            <w:gridSpan w:val="3"/>
            <w:tcBorders>
              <w:top w:val="single" w:sz="8" w:space="0" w:color="auto"/>
              <w:left w:val="nil"/>
              <w:bottom w:val="single" w:sz="4" w:space="0" w:color="auto"/>
              <w:right w:val="single" w:sz="8" w:space="0" w:color="000000"/>
            </w:tcBorders>
            <w:shd w:val="clear" w:color="auto" w:fill="auto"/>
            <w:vAlign w:val="center"/>
            <w:hideMark/>
          </w:tcPr>
          <w:p w14:paraId="09149CAA" w14:textId="77777777" w:rsidR="005B7046" w:rsidRPr="00CA3E58" w:rsidRDefault="005B7046" w:rsidP="0001256C">
            <w:pPr>
              <w:jc w:val="both"/>
              <w:rPr>
                <w:rFonts w:ascii="Arial" w:hAnsi="Arial" w:cs="Arial"/>
                <w:b/>
                <w:bCs/>
                <w:sz w:val="16"/>
                <w:szCs w:val="16"/>
              </w:rPr>
            </w:pPr>
            <w:r w:rsidRPr="00CA3E58">
              <w:rPr>
                <w:rFonts w:ascii="Arial" w:hAnsi="Arial" w:cs="Arial"/>
                <w:b/>
                <w:bCs/>
                <w:sz w:val="16"/>
                <w:szCs w:val="16"/>
              </w:rPr>
              <w:t>Requested (Total)</w:t>
            </w:r>
          </w:p>
        </w:tc>
      </w:tr>
      <w:tr w:rsidR="005B7046" w:rsidRPr="00CA3E58" w14:paraId="3F72CD85" w14:textId="77777777" w:rsidTr="00507E6F">
        <w:trPr>
          <w:trHeight w:val="960"/>
        </w:trPr>
        <w:tc>
          <w:tcPr>
            <w:tcW w:w="1356" w:type="dxa"/>
            <w:tcBorders>
              <w:top w:val="nil"/>
              <w:left w:val="single" w:sz="8" w:space="0" w:color="auto"/>
              <w:bottom w:val="single" w:sz="4" w:space="0" w:color="auto"/>
              <w:right w:val="nil"/>
            </w:tcBorders>
            <w:shd w:val="clear" w:color="auto" w:fill="auto"/>
            <w:vAlign w:val="center"/>
            <w:hideMark/>
          </w:tcPr>
          <w:p w14:paraId="5CA6BF5E" w14:textId="77777777" w:rsidR="005B7046" w:rsidRPr="00CA3E58" w:rsidRDefault="005B7046" w:rsidP="0001256C">
            <w:pPr>
              <w:jc w:val="both"/>
              <w:rPr>
                <w:rFonts w:ascii="Arial" w:hAnsi="Arial" w:cs="Arial"/>
                <w:b/>
                <w:bCs/>
                <w:sz w:val="16"/>
                <w:szCs w:val="16"/>
              </w:rPr>
            </w:pPr>
            <w:r w:rsidRPr="00CA3E58">
              <w:rPr>
                <w:rFonts w:ascii="Arial" w:hAnsi="Arial" w:cs="Arial"/>
                <w:b/>
                <w:bCs/>
                <w:sz w:val="16"/>
                <w:szCs w:val="16"/>
              </w:rPr>
              <w:t>TYPE/ STRATEGIC OBJECTIVE</w:t>
            </w:r>
          </w:p>
        </w:tc>
        <w:tc>
          <w:tcPr>
            <w:tcW w:w="3180" w:type="dxa"/>
            <w:tcBorders>
              <w:top w:val="nil"/>
              <w:left w:val="single" w:sz="4" w:space="0" w:color="auto"/>
              <w:bottom w:val="single" w:sz="4" w:space="0" w:color="auto"/>
              <w:right w:val="nil"/>
            </w:tcBorders>
            <w:shd w:val="clear" w:color="auto" w:fill="auto"/>
            <w:noWrap/>
            <w:vAlign w:val="center"/>
            <w:hideMark/>
          </w:tcPr>
          <w:p w14:paraId="04085FE1" w14:textId="77777777" w:rsidR="005B7046" w:rsidRPr="00CA3E58" w:rsidRDefault="005B7046" w:rsidP="0001256C">
            <w:pPr>
              <w:jc w:val="both"/>
              <w:rPr>
                <w:rFonts w:ascii="Arial" w:hAnsi="Arial" w:cs="Arial"/>
                <w:b/>
                <w:bCs/>
                <w:sz w:val="16"/>
                <w:szCs w:val="16"/>
              </w:rPr>
            </w:pPr>
            <w:r w:rsidRPr="00CA3E58">
              <w:rPr>
                <w:rFonts w:ascii="Arial" w:hAnsi="Arial" w:cs="Arial"/>
                <w:b/>
                <w:bCs/>
                <w:sz w:val="16"/>
                <w:szCs w:val="16"/>
              </w:rPr>
              <w:t>PERFORMANCE</w:t>
            </w:r>
          </w:p>
        </w:tc>
        <w:tc>
          <w:tcPr>
            <w:tcW w:w="1452"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5052EF56" w14:textId="77777777" w:rsidR="005B7046" w:rsidRPr="00CA3E58" w:rsidRDefault="005B7046" w:rsidP="0001256C">
            <w:pPr>
              <w:jc w:val="both"/>
              <w:rPr>
                <w:rFonts w:ascii="Arial" w:hAnsi="Arial" w:cs="Arial"/>
                <w:b/>
                <w:bCs/>
                <w:sz w:val="16"/>
                <w:szCs w:val="16"/>
              </w:rPr>
            </w:pPr>
            <w:r w:rsidRPr="00CA3E58">
              <w:rPr>
                <w:rFonts w:ascii="Arial" w:hAnsi="Arial" w:cs="Arial"/>
                <w:b/>
                <w:bCs/>
                <w:sz w:val="16"/>
                <w:szCs w:val="16"/>
              </w:rPr>
              <w:t>FY 2012</w:t>
            </w:r>
          </w:p>
        </w:tc>
        <w:tc>
          <w:tcPr>
            <w:tcW w:w="1316" w:type="dxa"/>
            <w:gridSpan w:val="2"/>
            <w:tcBorders>
              <w:top w:val="single" w:sz="4" w:space="0" w:color="auto"/>
              <w:left w:val="nil"/>
              <w:bottom w:val="single" w:sz="4" w:space="0" w:color="auto"/>
              <w:right w:val="single" w:sz="4" w:space="0" w:color="000000"/>
            </w:tcBorders>
            <w:shd w:val="clear" w:color="000000" w:fill="auto"/>
            <w:vAlign w:val="center"/>
            <w:hideMark/>
          </w:tcPr>
          <w:p w14:paraId="18B4A3B7" w14:textId="77777777" w:rsidR="005B7046" w:rsidRPr="00CA3E58" w:rsidRDefault="005B7046" w:rsidP="0001256C">
            <w:pPr>
              <w:jc w:val="both"/>
              <w:rPr>
                <w:rFonts w:ascii="Arial" w:hAnsi="Arial" w:cs="Arial"/>
                <w:b/>
                <w:bCs/>
                <w:sz w:val="16"/>
                <w:szCs w:val="16"/>
              </w:rPr>
            </w:pPr>
            <w:r w:rsidRPr="00CA3E58">
              <w:rPr>
                <w:rFonts w:ascii="Arial" w:hAnsi="Arial" w:cs="Arial"/>
                <w:b/>
                <w:bCs/>
                <w:sz w:val="16"/>
                <w:szCs w:val="16"/>
              </w:rPr>
              <w:t>FY 2012</w:t>
            </w:r>
          </w:p>
        </w:tc>
        <w:tc>
          <w:tcPr>
            <w:tcW w:w="1440" w:type="dxa"/>
            <w:gridSpan w:val="2"/>
            <w:tcBorders>
              <w:top w:val="single" w:sz="4" w:space="0" w:color="auto"/>
              <w:left w:val="nil"/>
              <w:bottom w:val="single" w:sz="4" w:space="0" w:color="auto"/>
              <w:right w:val="single" w:sz="4" w:space="0" w:color="000000"/>
            </w:tcBorders>
            <w:shd w:val="clear" w:color="auto" w:fill="auto"/>
            <w:vAlign w:val="center"/>
            <w:hideMark/>
          </w:tcPr>
          <w:p w14:paraId="64F9656A" w14:textId="77777777" w:rsidR="005B7046" w:rsidRPr="00CA3E58" w:rsidRDefault="005B7046" w:rsidP="0001256C">
            <w:pPr>
              <w:jc w:val="both"/>
              <w:rPr>
                <w:rFonts w:ascii="Arial" w:hAnsi="Arial" w:cs="Arial"/>
                <w:b/>
                <w:bCs/>
                <w:sz w:val="16"/>
                <w:szCs w:val="16"/>
              </w:rPr>
            </w:pPr>
            <w:r w:rsidRPr="00CA3E58">
              <w:rPr>
                <w:rFonts w:ascii="Arial" w:hAnsi="Arial" w:cs="Arial"/>
                <w:b/>
                <w:bCs/>
                <w:sz w:val="16"/>
                <w:szCs w:val="16"/>
              </w:rPr>
              <w:t>FY 2013</w:t>
            </w:r>
          </w:p>
        </w:tc>
        <w:tc>
          <w:tcPr>
            <w:tcW w:w="1752" w:type="dxa"/>
            <w:gridSpan w:val="2"/>
            <w:tcBorders>
              <w:top w:val="single" w:sz="4" w:space="0" w:color="auto"/>
              <w:left w:val="nil"/>
              <w:bottom w:val="single" w:sz="4" w:space="0" w:color="auto"/>
              <w:right w:val="single" w:sz="4" w:space="0" w:color="000000"/>
            </w:tcBorders>
            <w:shd w:val="clear" w:color="auto" w:fill="auto"/>
            <w:vAlign w:val="center"/>
            <w:hideMark/>
          </w:tcPr>
          <w:p w14:paraId="4EB48DB7" w14:textId="77777777" w:rsidR="005B7046" w:rsidRPr="00CA3E58" w:rsidRDefault="005B7046" w:rsidP="0001256C">
            <w:pPr>
              <w:jc w:val="both"/>
              <w:rPr>
                <w:rFonts w:ascii="Arial" w:hAnsi="Arial" w:cs="Arial"/>
                <w:b/>
                <w:bCs/>
                <w:sz w:val="16"/>
                <w:szCs w:val="16"/>
              </w:rPr>
            </w:pPr>
            <w:r w:rsidRPr="00CA3E58">
              <w:rPr>
                <w:rFonts w:ascii="Arial" w:hAnsi="Arial" w:cs="Arial"/>
                <w:b/>
                <w:bCs/>
                <w:sz w:val="16"/>
                <w:szCs w:val="16"/>
              </w:rPr>
              <w:t xml:space="preserve">Current Services Adjustments and FY 2014 Program Changes  </w:t>
            </w:r>
          </w:p>
        </w:tc>
        <w:tc>
          <w:tcPr>
            <w:tcW w:w="1523" w:type="dxa"/>
            <w:gridSpan w:val="3"/>
            <w:tcBorders>
              <w:top w:val="single" w:sz="4" w:space="0" w:color="auto"/>
              <w:left w:val="nil"/>
              <w:bottom w:val="single" w:sz="4" w:space="0" w:color="auto"/>
              <w:right w:val="single" w:sz="8" w:space="0" w:color="000000"/>
            </w:tcBorders>
            <w:shd w:val="clear" w:color="auto" w:fill="auto"/>
            <w:noWrap/>
            <w:vAlign w:val="center"/>
            <w:hideMark/>
          </w:tcPr>
          <w:p w14:paraId="7FAD8922" w14:textId="77777777" w:rsidR="005B7046" w:rsidRPr="00CA3E58" w:rsidRDefault="005B7046" w:rsidP="0001256C">
            <w:pPr>
              <w:jc w:val="both"/>
              <w:rPr>
                <w:rFonts w:ascii="Arial" w:hAnsi="Arial" w:cs="Arial"/>
                <w:b/>
                <w:bCs/>
                <w:sz w:val="16"/>
                <w:szCs w:val="16"/>
              </w:rPr>
            </w:pPr>
            <w:r w:rsidRPr="00CA3E58">
              <w:rPr>
                <w:rFonts w:ascii="Arial" w:hAnsi="Arial" w:cs="Arial"/>
                <w:b/>
                <w:bCs/>
                <w:sz w:val="16"/>
                <w:szCs w:val="16"/>
              </w:rPr>
              <w:t>FY 2014 Request</w:t>
            </w:r>
          </w:p>
        </w:tc>
      </w:tr>
      <w:tr w:rsidR="005B7046" w:rsidRPr="00CA3E58" w14:paraId="0002284D" w14:textId="77777777" w:rsidTr="00507E6F">
        <w:trPr>
          <w:trHeight w:val="450"/>
        </w:trPr>
        <w:tc>
          <w:tcPr>
            <w:tcW w:w="1356" w:type="dxa"/>
            <w:vMerge w:val="restart"/>
            <w:tcBorders>
              <w:top w:val="nil"/>
              <w:left w:val="single" w:sz="8" w:space="0" w:color="auto"/>
              <w:bottom w:val="single" w:sz="4" w:space="0" w:color="000000"/>
              <w:right w:val="single" w:sz="4" w:space="0" w:color="auto"/>
            </w:tcBorders>
            <w:shd w:val="clear" w:color="auto" w:fill="auto"/>
            <w:vAlign w:val="center"/>
            <w:hideMark/>
          </w:tcPr>
          <w:p w14:paraId="32433E02" w14:textId="77777777" w:rsidR="005B7046" w:rsidRDefault="005B7046" w:rsidP="0001256C">
            <w:pPr>
              <w:jc w:val="both"/>
              <w:rPr>
                <w:rFonts w:ascii="Arial" w:hAnsi="Arial" w:cs="Arial"/>
                <w:b/>
                <w:bCs/>
                <w:sz w:val="16"/>
                <w:szCs w:val="16"/>
              </w:rPr>
            </w:pPr>
          </w:p>
          <w:p w14:paraId="58AEB2A2" w14:textId="77777777" w:rsidR="005B7046" w:rsidRDefault="005B7046" w:rsidP="0001256C">
            <w:pPr>
              <w:jc w:val="both"/>
              <w:rPr>
                <w:rFonts w:ascii="Arial" w:hAnsi="Arial" w:cs="Arial"/>
                <w:b/>
                <w:bCs/>
                <w:sz w:val="16"/>
                <w:szCs w:val="16"/>
              </w:rPr>
            </w:pPr>
          </w:p>
          <w:p w14:paraId="4107DDDF" w14:textId="77777777" w:rsidR="005B7046" w:rsidRDefault="005B7046" w:rsidP="0001256C">
            <w:pPr>
              <w:jc w:val="both"/>
              <w:rPr>
                <w:rFonts w:ascii="Arial" w:hAnsi="Arial" w:cs="Arial"/>
                <w:b/>
                <w:bCs/>
                <w:sz w:val="16"/>
                <w:szCs w:val="16"/>
              </w:rPr>
            </w:pPr>
          </w:p>
          <w:p w14:paraId="65D798DD" w14:textId="77777777" w:rsidR="005B7046" w:rsidRPr="00CA3E58" w:rsidRDefault="005B7046" w:rsidP="0001256C">
            <w:pPr>
              <w:jc w:val="both"/>
              <w:rPr>
                <w:rFonts w:ascii="Arial" w:hAnsi="Arial" w:cs="Arial"/>
                <w:b/>
                <w:bCs/>
                <w:sz w:val="16"/>
                <w:szCs w:val="16"/>
              </w:rPr>
            </w:pPr>
            <w:r w:rsidRPr="00CA3E58">
              <w:rPr>
                <w:rFonts w:ascii="Arial" w:hAnsi="Arial" w:cs="Arial"/>
                <w:b/>
                <w:bCs/>
                <w:sz w:val="16"/>
                <w:szCs w:val="16"/>
              </w:rPr>
              <w:t>Program Activity</w:t>
            </w:r>
          </w:p>
        </w:tc>
        <w:tc>
          <w:tcPr>
            <w:tcW w:w="3180" w:type="dxa"/>
            <w:vMerge w:val="restart"/>
            <w:tcBorders>
              <w:top w:val="nil"/>
              <w:left w:val="single" w:sz="4" w:space="0" w:color="auto"/>
              <w:bottom w:val="single" w:sz="4" w:space="0" w:color="000000"/>
              <w:right w:val="nil"/>
            </w:tcBorders>
            <w:shd w:val="clear" w:color="auto" w:fill="auto"/>
            <w:vAlign w:val="bottom"/>
            <w:hideMark/>
          </w:tcPr>
          <w:p w14:paraId="1B1042DC" w14:textId="77777777" w:rsidR="005B7046" w:rsidRPr="00CA3E58" w:rsidRDefault="005B7046" w:rsidP="0001256C">
            <w:pPr>
              <w:jc w:val="both"/>
              <w:rPr>
                <w:rFonts w:ascii="Arial" w:hAnsi="Arial" w:cs="Arial"/>
                <w:b/>
                <w:bCs/>
                <w:sz w:val="16"/>
                <w:szCs w:val="16"/>
              </w:rPr>
            </w:pPr>
            <w:r w:rsidRPr="00CA3E58">
              <w:rPr>
                <w:rFonts w:ascii="Arial" w:hAnsi="Arial" w:cs="Arial"/>
                <w:b/>
                <w:bCs/>
                <w:sz w:val="16"/>
                <w:szCs w:val="16"/>
              </w:rPr>
              <w:t>Supporting Law Enforcement by Advancing Community Policing Through Grant Resources</w:t>
            </w:r>
          </w:p>
        </w:tc>
        <w:tc>
          <w:tcPr>
            <w:tcW w:w="641" w:type="dxa"/>
            <w:tcBorders>
              <w:top w:val="nil"/>
              <w:left w:val="single" w:sz="8" w:space="0" w:color="auto"/>
              <w:bottom w:val="single" w:sz="4" w:space="0" w:color="auto"/>
              <w:right w:val="single" w:sz="4" w:space="0" w:color="auto"/>
            </w:tcBorders>
            <w:shd w:val="clear" w:color="auto" w:fill="auto"/>
            <w:vAlign w:val="bottom"/>
            <w:hideMark/>
          </w:tcPr>
          <w:p w14:paraId="59E1ACF7" w14:textId="77777777" w:rsidR="005B7046" w:rsidRPr="00CA3E58" w:rsidRDefault="005B7046" w:rsidP="0001256C">
            <w:pPr>
              <w:jc w:val="both"/>
              <w:rPr>
                <w:rFonts w:ascii="Arial" w:hAnsi="Arial" w:cs="Arial"/>
                <w:b/>
                <w:bCs/>
                <w:sz w:val="16"/>
                <w:szCs w:val="16"/>
              </w:rPr>
            </w:pPr>
            <w:r w:rsidRPr="00CA3E58">
              <w:rPr>
                <w:rFonts w:ascii="Arial" w:hAnsi="Arial" w:cs="Arial"/>
                <w:b/>
                <w:bCs/>
                <w:sz w:val="16"/>
                <w:szCs w:val="16"/>
              </w:rPr>
              <w:t>FTE</w:t>
            </w:r>
          </w:p>
        </w:tc>
        <w:tc>
          <w:tcPr>
            <w:tcW w:w="811" w:type="dxa"/>
            <w:tcBorders>
              <w:top w:val="nil"/>
              <w:left w:val="nil"/>
              <w:bottom w:val="single" w:sz="4" w:space="0" w:color="auto"/>
              <w:right w:val="single" w:sz="4" w:space="0" w:color="auto"/>
            </w:tcBorders>
            <w:shd w:val="clear" w:color="auto" w:fill="auto"/>
            <w:vAlign w:val="bottom"/>
            <w:hideMark/>
          </w:tcPr>
          <w:p w14:paraId="41B55EAA" w14:textId="77777777" w:rsidR="005B7046" w:rsidRPr="00CA3E58" w:rsidRDefault="005B7046" w:rsidP="0001256C">
            <w:pPr>
              <w:jc w:val="both"/>
              <w:rPr>
                <w:rFonts w:ascii="Arial" w:hAnsi="Arial" w:cs="Arial"/>
                <w:b/>
                <w:bCs/>
                <w:sz w:val="16"/>
                <w:szCs w:val="16"/>
              </w:rPr>
            </w:pPr>
            <w:r w:rsidRPr="00CA3E58">
              <w:rPr>
                <w:rFonts w:ascii="Arial" w:hAnsi="Arial" w:cs="Arial"/>
                <w:b/>
                <w:bCs/>
                <w:sz w:val="16"/>
                <w:szCs w:val="16"/>
              </w:rPr>
              <w:t>$000</w:t>
            </w:r>
          </w:p>
        </w:tc>
        <w:tc>
          <w:tcPr>
            <w:tcW w:w="519" w:type="dxa"/>
            <w:tcBorders>
              <w:top w:val="nil"/>
              <w:left w:val="nil"/>
              <w:bottom w:val="single" w:sz="4" w:space="0" w:color="auto"/>
              <w:right w:val="nil"/>
            </w:tcBorders>
            <w:shd w:val="clear" w:color="000000" w:fill="auto"/>
            <w:noWrap/>
            <w:vAlign w:val="bottom"/>
            <w:hideMark/>
          </w:tcPr>
          <w:p w14:paraId="65FD7EEA" w14:textId="77777777" w:rsidR="005B7046" w:rsidRPr="00CA3E58" w:rsidRDefault="005B7046" w:rsidP="0001256C">
            <w:pPr>
              <w:jc w:val="both"/>
              <w:rPr>
                <w:rFonts w:ascii="Arial" w:hAnsi="Arial" w:cs="Arial"/>
                <w:b/>
                <w:bCs/>
                <w:sz w:val="16"/>
                <w:szCs w:val="16"/>
              </w:rPr>
            </w:pPr>
            <w:r w:rsidRPr="00CA3E58">
              <w:rPr>
                <w:rFonts w:ascii="Arial" w:hAnsi="Arial" w:cs="Arial"/>
                <w:b/>
                <w:bCs/>
                <w:sz w:val="16"/>
                <w:szCs w:val="16"/>
              </w:rPr>
              <w:t>FTE</w:t>
            </w:r>
          </w:p>
        </w:tc>
        <w:tc>
          <w:tcPr>
            <w:tcW w:w="797" w:type="dxa"/>
            <w:tcBorders>
              <w:top w:val="nil"/>
              <w:left w:val="nil"/>
              <w:bottom w:val="single" w:sz="4" w:space="0" w:color="auto"/>
              <w:right w:val="single" w:sz="4" w:space="0" w:color="auto"/>
            </w:tcBorders>
            <w:shd w:val="clear" w:color="000000" w:fill="auto"/>
            <w:vAlign w:val="bottom"/>
            <w:hideMark/>
          </w:tcPr>
          <w:p w14:paraId="48FACB12" w14:textId="77777777" w:rsidR="005B7046" w:rsidRPr="00CA3E58" w:rsidRDefault="005B7046" w:rsidP="0001256C">
            <w:pPr>
              <w:jc w:val="both"/>
              <w:rPr>
                <w:rFonts w:ascii="Arial" w:hAnsi="Arial" w:cs="Arial"/>
                <w:b/>
                <w:bCs/>
                <w:sz w:val="16"/>
                <w:szCs w:val="16"/>
              </w:rPr>
            </w:pPr>
            <w:r w:rsidRPr="00CA3E58">
              <w:rPr>
                <w:rFonts w:ascii="Arial" w:hAnsi="Arial" w:cs="Arial"/>
                <w:b/>
                <w:bCs/>
                <w:sz w:val="16"/>
                <w:szCs w:val="16"/>
              </w:rPr>
              <w:t>$000</w:t>
            </w:r>
          </w:p>
        </w:tc>
        <w:tc>
          <w:tcPr>
            <w:tcW w:w="519" w:type="dxa"/>
            <w:tcBorders>
              <w:top w:val="nil"/>
              <w:left w:val="nil"/>
              <w:bottom w:val="single" w:sz="4" w:space="0" w:color="auto"/>
              <w:right w:val="nil"/>
            </w:tcBorders>
            <w:shd w:val="clear" w:color="auto" w:fill="auto"/>
            <w:noWrap/>
            <w:vAlign w:val="bottom"/>
            <w:hideMark/>
          </w:tcPr>
          <w:p w14:paraId="584D593D" w14:textId="77777777" w:rsidR="005B7046" w:rsidRPr="00CA3E58" w:rsidRDefault="005B7046" w:rsidP="0001256C">
            <w:pPr>
              <w:jc w:val="both"/>
              <w:rPr>
                <w:rFonts w:ascii="Arial" w:hAnsi="Arial" w:cs="Arial"/>
                <w:b/>
                <w:bCs/>
                <w:sz w:val="16"/>
                <w:szCs w:val="16"/>
              </w:rPr>
            </w:pPr>
            <w:r w:rsidRPr="00CA3E58">
              <w:rPr>
                <w:rFonts w:ascii="Arial" w:hAnsi="Arial" w:cs="Arial"/>
                <w:b/>
                <w:bCs/>
                <w:sz w:val="16"/>
                <w:szCs w:val="16"/>
              </w:rPr>
              <w:t>FTE</w:t>
            </w:r>
          </w:p>
        </w:tc>
        <w:tc>
          <w:tcPr>
            <w:tcW w:w="921" w:type="dxa"/>
            <w:tcBorders>
              <w:top w:val="nil"/>
              <w:left w:val="nil"/>
              <w:bottom w:val="single" w:sz="4" w:space="0" w:color="auto"/>
              <w:right w:val="single" w:sz="4" w:space="0" w:color="auto"/>
            </w:tcBorders>
            <w:shd w:val="clear" w:color="auto" w:fill="auto"/>
            <w:vAlign w:val="bottom"/>
            <w:hideMark/>
          </w:tcPr>
          <w:p w14:paraId="2A6561FD" w14:textId="77777777" w:rsidR="005B7046" w:rsidRPr="00CA3E58" w:rsidRDefault="005B7046" w:rsidP="0001256C">
            <w:pPr>
              <w:jc w:val="both"/>
              <w:rPr>
                <w:rFonts w:ascii="Arial" w:hAnsi="Arial" w:cs="Arial"/>
                <w:b/>
                <w:bCs/>
                <w:sz w:val="16"/>
                <w:szCs w:val="16"/>
              </w:rPr>
            </w:pPr>
            <w:r w:rsidRPr="00CA3E58">
              <w:rPr>
                <w:rFonts w:ascii="Arial" w:hAnsi="Arial" w:cs="Arial"/>
                <w:b/>
                <w:bCs/>
                <w:sz w:val="16"/>
                <w:szCs w:val="16"/>
              </w:rPr>
              <w:t>$000</w:t>
            </w:r>
          </w:p>
        </w:tc>
        <w:tc>
          <w:tcPr>
            <w:tcW w:w="519" w:type="dxa"/>
            <w:tcBorders>
              <w:top w:val="nil"/>
              <w:left w:val="nil"/>
              <w:bottom w:val="single" w:sz="4" w:space="0" w:color="auto"/>
              <w:right w:val="single" w:sz="4" w:space="0" w:color="auto"/>
            </w:tcBorders>
            <w:shd w:val="clear" w:color="auto" w:fill="auto"/>
            <w:noWrap/>
            <w:vAlign w:val="bottom"/>
            <w:hideMark/>
          </w:tcPr>
          <w:p w14:paraId="0E6CDECF" w14:textId="77777777" w:rsidR="005B7046" w:rsidRPr="00CA3E58" w:rsidRDefault="005B7046" w:rsidP="0001256C">
            <w:pPr>
              <w:jc w:val="both"/>
              <w:rPr>
                <w:rFonts w:ascii="Arial" w:hAnsi="Arial" w:cs="Arial"/>
                <w:b/>
                <w:bCs/>
                <w:sz w:val="16"/>
                <w:szCs w:val="16"/>
              </w:rPr>
            </w:pPr>
            <w:r w:rsidRPr="00CA3E58">
              <w:rPr>
                <w:rFonts w:ascii="Arial" w:hAnsi="Arial" w:cs="Arial"/>
                <w:b/>
                <w:bCs/>
                <w:sz w:val="16"/>
                <w:szCs w:val="16"/>
              </w:rPr>
              <w:t xml:space="preserve">FTE </w:t>
            </w:r>
          </w:p>
        </w:tc>
        <w:tc>
          <w:tcPr>
            <w:tcW w:w="1233" w:type="dxa"/>
            <w:tcBorders>
              <w:top w:val="nil"/>
              <w:left w:val="nil"/>
              <w:bottom w:val="single" w:sz="4" w:space="0" w:color="auto"/>
              <w:right w:val="single" w:sz="4" w:space="0" w:color="auto"/>
            </w:tcBorders>
            <w:shd w:val="clear" w:color="auto" w:fill="auto"/>
            <w:vAlign w:val="bottom"/>
            <w:hideMark/>
          </w:tcPr>
          <w:p w14:paraId="01AC7203" w14:textId="77777777" w:rsidR="005B7046" w:rsidRPr="00CA3E58" w:rsidRDefault="005B7046" w:rsidP="0001256C">
            <w:pPr>
              <w:jc w:val="both"/>
              <w:rPr>
                <w:rFonts w:ascii="Arial" w:hAnsi="Arial" w:cs="Arial"/>
                <w:b/>
                <w:bCs/>
                <w:sz w:val="16"/>
                <w:szCs w:val="16"/>
              </w:rPr>
            </w:pPr>
            <w:r w:rsidRPr="00CA3E58">
              <w:rPr>
                <w:rFonts w:ascii="Arial" w:hAnsi="Arial" w:cs="Arial"/>
                <w:b/>
                <w:bCs/>
                <w:sz w:val="16"/>
                <w:szCs w:val="16"/>
              </w:rPr>
              <w:t>$000</w:t>
            </w:r>
          </w:p>
        </w:tc>
        <w:tc>
          <w:tcPr>
            <w:tcW w:w="519" w:type="dxa"/>
            <w:tcBorders>
              <w:top w:val="nil"/>
              <w:left w:val="nil"/>
              <w:bottom w:val="single" w:sz="4" w:space="0" w:color="auto"/>
              <w:right w:val="nil"/>
            </w:tcBorders>
            <w:shd w:val="clear" w:color="auto" w:fill="auto"/>
            <w:noWrap/>
            <w:vAlign w:val="bottom"/>
            <w:hideMark/>
          </w:tcPr>
          <w:p w14:paraId="4F9E8327" w14:textId="77777777" w:rsidR="005B7046" w:rsidRPr="00CA3E58" w:rsidRDefault="005B7046" w:rsidP="0001256C">
            <w:pPr>
              <w:jc w:val="both"/>
              <w:rPr>
                <w:rFonts w:ascii="Arial" w:hAnsi="Arial" w:cs="Arial"/>
                <w:b/>
                <w:bCs/>
                <w:sz w:val="16"/>
                <w:szCs w:val="16"/>
              </w:rPr>
            </w:pPr>
            <w:r w:rsidRPr="00CA3E58">
              <w:rPr>
                <w:rFonts w:ascii="Arial" w:hAnsi="Arial" w:cs="Arial"/>
                <w:b/>
                <w:bCs/>
                <w:sz w:val="16"/>
                <w:szCs w:val="16"/>
              </w:rPr>
              <w:t>FTE</w:t>
            </w:r>
          </w:p>
        </w:tc>
        <w:tc>
          <w:tcPr>
            <w:tcW w:w="1004" w:type="dxa"/>
            <w:gridSpan w:val="2"/>
            <w:tcBorders>
              <w:top w:val="nil"/>
              <w:left w:val="nil"/>
              <w:bottom w:val="single" w:sz="4" w:space="0" w:color="auto"/>
              <w:right w:val="single" w:sz="8" w:space="0" w:color="auto"/>
            </w:tcBorders>
            <w:shd w:val="clear" w:color="auto" w:fill="auto"/>
            <w:vAlign w:val="bottom"/>
            <w:hideMark/>
          </w:tcPr>
          <w:p w14:paraId="0F1A5381" w14:textId="77777777" w:rsidR="005B7046" w:rsidRPr="00CA3E58" w:rsidRDefault="005B7046" w:rsidP="0001256C">
            <w:pPr>
              <w:jc w:val="both"/>
              <w:rPr>
                <w:rFonts w:ascii="Arial" w:hAnsi="Arial" w:cs="Arial"/>
                <w:b/>
                <w:bCs/>
                <w:sz w:val="16"/>
                <w:szCs w:val="16"/>
              </w:rPr>
            </w:pPr>
            <w:r w:rsidRPr="00CA3E58">
              <w:rPr>
                <w:rFonts w:ascii="Arial" w:hAnsi="Arial" w:cs="Arial"/>
                <w:b/>
                <w:bCs/>
                <w:sz w:val="16"/>
                <w:szCs w:val="16"/>
              </w:rPr>
              <w:t>$000</w:t>
            </w:r>
          </w:p>
        </w:tc>
      </w:tr>
      <w:tr w:rsidR="005B7046" w:rsidRPr="00CA3E58" w14:paraId="54520896" w14:textId="77777777" w:rsidTr="00507E6F">
        <w:trPr>
          <w:trHeight w:val="735"/>
        </w:trPr>
        <w:tc>
          <w:tcPr>
            <w:tcW w:w="1356" w:type="dxa"/>
            <w:vMerge/>
            <w:tcBorders>
              <w:top w:val="nil"/>
              <w:left w:val="single" w:sz="8" w:space="0" w:color="auto"/>
              <w:bottom w:val="single" w:sz="4" w:space="0" w:color="000000"/>
              <w:right w:val="single" w:sz="4" w:space="0" w:color="auto"/>
            </w:tcBorders>
            <w:vAlign w:val="center"/>
            <w:hideMark/>
          </w:tcPr>
          <w:p w14:paraId="6DD0BA6E" w14:textId="77777777" w:rsidR="005B7046" w:rsidRPr="00CA3E58" w:rsidRDefault="005B7046" w:rsidP="0001256C">
            <w:pPr>
              <w:jc w:val="both"/>
              <w:rPr>
                <w:rFonts w:ascii="Arial" w:hAnsi="Arial" w:cs="Arial"/>
                <w:b/>
                <w:bCs/>
                <w:sz w:val="16"/>
                <w:szCs w:val="16"/>
              </w:rPr>
            </w:pPr>
          </w:p>
        </w:tc>
        <w:tc>
          <w:tcPr>
            <w:tcW w:w="3180" w:type="dxa"/>
            <w:vMerge/>
            <w:tcBorders>
              <w:top w:val="nil"/>
              <w:left w:val="single" w:sz="4" w:space="0" w:color="auto"/>
              <w:bottom w:val="single" w:sz="4" w:space="0" w:color="000000"/>
              <w:right w:val="nil"/>
            </w:tcBorders>
            <w:vAlign w:val="center"/>
            <w:hideMark/>
          </w:tcPr>
          <w:p w14:paraId="7B8D1175" w14:textId="77777777" w:rsidR="005B7046" w:rsidRPr="00CA3E58" w:rsidRDefault="005B7046" w:rsidP="0001256C">
            <w:pPr>
              <w:jc w:val="both"/>
              <w:rPr>
                <w:rFonts w:ascii="Arial" w:hAnsi="Arial" w:cs="Arial"/>
                <w:b/>
                <w:bCs/>
                <w:sz w:val="16"/>
                <w:szCs w:val="16"/>
              </w:rPr>
            </w:pPr>
          </w:p>
        </w:tc>
        <w:tc>
          <w:tcPr>
            <w:tcW w:w="641" w:type="dxa"/>
            <w:tcBorders>
              <w:top w:val="nil"/>
              <w:left w:val="single" w:sz="8" w:space="0" w:color="auto"/>
              <w:bottom w:val="single" w:sz="4" w:space="0" w:color="auto"/>
              <w:right w:val="nil"/>
            </w:tcBorders>
            <w:shd w:val="clear" w:color="auto" w:fill="auto"/>
            <w:noWrap/>
            <w:vAlign w:val="bottom"/>
            <w:hideMark/>
          </w:tcPr>
          <w:p w14:paraId="6DE3BB19" w14:textId="77777777" w:rsidR="005B7046" w:rsidRPr="00CA3E58" w:rsidRDefault="005B7046" w:rsidP="0001256C">
            <w:pPr>
              <w:jc w:val="both"/>
              <w:rPr>
                <w:rFonts w:ascii="Arial" w:hAnsi="Arial" w:cs="Arial"/>
                <w:sz w:val="16"/>
                <w:szCs w:val="16"/>
              </w:rPr>
            </w:pPr>
            <w:r w:rsidRPr="00CA3E58">
              <w:rPr>
                <w:rFonts w:ascii="Arial" w:hAnsi="Arial" w:cs="Arial"/>
                <w:sz w:val="16"/>
                <w:szCs w:val="16"/>
              </w:rPr>
              <w:t> </w:t>
            </w:r>
            <w:r>
              <w:rPr>
                <w:rFonts w:ascii="Arial" w:hAnsi="Arial" w:cs="Arial"/>
                <w:sz w:val="16"/>
                <w:szCs w:val="16"/>
              </w:rPr>
              <w:t>112</w:t>
            </w:r>
          </w:p>
        </w:tc>
        <w:tc>
          <w:tcPr>
            <w:tcW w:w="811" w:type="dxa"/>
            <w:tcBorders>
              <w:top w:val="nil"/>
              <w:left w:val="single" w:sz="4" w:space="0" w:color="auto"/>
              <w:bottom w:val="single" w:sz="4" w:space="0" w:color="auto"/>
              <w:right w:val="single" w:sz="4" w:space="0" w:color="auto"/>
            </w:tcBorders>
            <w:shd w:val="clear" w:color="auto" w:fill="auto"/>
            <w:noWrap/>
            <w:vAlign w:val="bottom"/>
            <w:hideMark/>
          </w:tcPr>
          <w:p w14:paraId="548DA930" w14:textId="77777777" w:rsidR="005B7046" w:rsidRPr="00CA3E58" w:rsidRDefault="005B7046" w:rsidP="0001256C">
            <w:pPr>
              <w:jc w:val="both"/>
              <w:rPr>
                <w:rFonts w:ascii="Arial" w:hAnsi="Arial" w:cs="Arial"/>
                <w:sz w:val="16"/>
                <w:szCs w:val="16"/>
              </w:rPr>
            </w:pPr>
            <w:r>
              <w:rPr>
                <w:rFonts w:ascii="Arial" w:hAnsi="Arial" w:cs="Arial"/>
                <w:sz w:val="16"/>
                <w:szCs w:val="16"/>
              </w:rPr>
              <w:t>163,</w:t>
            </w:r>
            <w:r w:rsidR="00845945">
              <w:rPr>
                <w:rFonts w:ascii="Arial" w:hAnsi="Arial" w:cs="Arial"/>
                <w:sz w:val="16"/>
                <w:szCs w:val="16"/>
              </w:rPr>
              <w:t>789</w:t>
            </w:r>
          </w:p>
        </w:tc>
        <w:tc>
          <w:tcPr>
            <w:tcW w:w="519" w:type="dxa"/>
            <w:tcBorders>
              <w:top w:val="nil"/>
              <w:left w:val="nil"/>
              <w:bottom w:val="single" w:sz="4" w:space="0" w:color="auto"/>
              <w:right w:val="nil"/>
            </w:tcBorders>
            <w:shd w:val="clear" w:color="000000" w:fill="auto"/>
            <w:noWrap/>
            <w:vAlign w:val="bottom"/>
            <w:hideMark/>
          </w:tcPr>
          <w:p w14:paraId="59A0810F" w14:textId="77777777" w:rsidR="005B7046" w:rsidRPr="00CA3E58" w:rsidRDefault="005B7046" w:rsidP="0001256C">
            <w:pPr>
              <w:jc w:val="both"/>
              <w:rPr>
                <w:rFonts w:ascii="Arial" w:hAnsi="Arial" w:cs="Arial"/>
                <w:sz w:val="16"/>
                <w:szCs w:val="16"/>
              </w:rPr>
            </w:pPr>
            <w:r w:rsidRPr="00CA3E58">
              <w:rPr>
                <w:rFonts w:ascii="Arial" w:hAnsi="Arial" w:cs="Arial"/>
                <w:sz w:val="16"/>
                <w:szCs w:val="16"/>
              </w:rPr>
              <w:t> </w:t>
            </w:r>
            <w:r w:rsidR="00634954">
              <w:rPr>
                <w:rFonts w:ascii="Arial" w:hAnsi="Arial" w:cs="Arial"/>
                <w:sz w:val="16"/>
                <w:szCs w:val="16"/>
              </w:rPr>
              <w:t>86</w:t>
            </w:r>
          </w:p>
        </w:tc>
        <w:tc>
          <w:tcPr>
            <w:tcW w:w="797" w:type="dxa"/>
            <w:tcBorders>
              <w:top w:val="nil"/>
              <w:left w:val="single" w:sz="4" w:space="0" w:color="auto"/>
              <w:bottom w:val="single" w:sz="4" w:space="0" w:color="auto"/>
              <w:right w:val="single" w:sz="4" w:space="0" w:color="auto"/>
            </w:tcBorders>
            <w:shd w:val="clear" w:color="000000" w:fill="auto"/>
            <w:noWrap/>
            <w:vAlign w:val="bottom"/>
            <w:hideMark/>
          </w:tcPr>
          <w:p w14:paraId="7D84087E" w14:textId="77777777" w:rsidR="005B7046" w:rsidRPr="00CA3E58" w:rsidRDefault="005B7046" w:rsidP="0001256C">
            <w:pPr>
              <w:jc w:val="both"/>
              <w:rPr>
                <w:rFonts w:ascii="Arial" w:hAnsi="Arial" w:cs="Arial"/>
                <w:sz w:val="16"/>
                <w:szCs w:val="16"/>
              </w:rPr>
            </w:pPr>
            <w:r>
              <w:rPr>
                <w:rFonts w:ascii="Arial" w:hAnsi="Arial" w:cs="Arial"/>
                <w:sz w:val="16"/>
                <w:szCs w:val="16"/>
              </w:rPr>
              <w:t>163,789</w:t>
            </w:r>
          </w:p>
        </w:tc>
        <w:tc>
          <w:tcPr>
            <w:tcW w:w="519" w:type="dxa"/>
            <w:tcBorders>
              <w:top w:val="nil"/>
              <w:left w:val="nil"/>
              <w:bottom w:val="single" w:sz="4" w:space="0" w:color="auto"/>
              <w:right w:val="single" w:sz="4" w:space="0" w:color="auto"/>
            </w:tcBorders>
            <w:shd w:val="clear" w:color="auto" w:fill="auto"/>
            <w:noWrap/>
            <w:vAlign w:val="bottom"/>
            <w:hideMark/>
          </w:tcPr>
          <w:p w14:paraId="4D46C721" w14:textId="77777777" w:rsidR="005B7046" w:rsidRPr="00CA3E58" w:rsidRDefault="00634954" w:rsidP="0001256C">
            <w:pPr>
              <w:jc w:val="both"/>
              <w:rPr>
                <w:rFonts w:ascii="Arial" w:hAnsi="Arial" w:cs="Arial"/>
                <w:sz w:val="16"/>
                <w:szCs w:val="16"/>
              </w:rPr>
            </w:pPr>
            <w:r>
              <w:rPr>
                <w:rFonts w:ascii="Arial" w:hAnsi="Arial" w:cs="Arial"/>
                <w:sz w:val="16"/>
                <w:szCs w:val="16"/>
              </w:rPr>
              <w:t>86</w:t>
            </w:r>
          </w:p>
        </w:tc>
        <w:tc>
          <w:tcPr>
            <w:tcW w:w="921" w:type="dxa"/>
            <w:tcBorders>
              <w:top w:val="nil"/>
              <w:left w:val="nil"/>
              <w:bottom w:val="single" w:sz="4" w:space="0" w:color="auto"/>
              <w:right w:val="single" w:sz="4" w:space="0" w:color="auto"/>
            </w:tcBorders>
            <w:shd w:val="clear" w:color="auto" w:fill="auto"/>
            <w:noWrap/>
            <w:vAlign w:val="bottom"/>
            <w:hideMark/>
          </w:tcPr>
          <w:p w14:paraId="2F52127C" w14:textId="77777777" w:rsidR="005B7046" w:rsidRPr="00CA3E58" w:rsidRDefault="001C2E48" w:rsidP="0001256C">
            <w:pPr>
              <w:jc w:val="both"/>
              <w:rPr>
                <w:rFonts w:ascii="Arial" w:hAnsi="Arial" w:cs="Arial"/>
                <w:sz w:val="16"/>
                <w:szCs w:val="16"/>
              </w:rPr>
            </w:pPr>
            <w:r>
              <w:rPr>
                <w:rFonts w:ascii="Arial" w:hAnsi="Arial" w:cs="Arial"/>
                <w:sz w:val="16"/>
                <w:szCs w:val="16"/>
              </w:rPr>
              <w:t>163,789</w:t>
            </w:r>
          </w:p>
        </w:tc>
        <w:tc>
          <w:tcPr>
            <w:tcW w:w="519" w:type="dxa"/>
            <w:tcBorders>
              <w:top w:val="nil"/>
              <w:left w:val="nil"/>
              <w:bottom w:val="single" w:sz="4" w:space="0" w:color="auto"/>
              <w:right w:val="single" w:sz="4" w:space="0" w:color="auto"/>
            </w:tcBorders>
            <w:shd w:val="clear" w:color="auto" w:fill="auto"/>
            <w:noWrap/>
            <w:vAlign w:val="bottom"/>
            <w:hideMark/>
          </w:tcPr>
          <w:p w14:paraId="7A9BDC2F" w14:textId="77777777" w:rsidR="005B7046" w:rsidRPr="00CA3E58" w:rsidRDefault="005B7046" w:rsidP="0001256C">
            <w:pPr>
              <w:jc w:val="both"/>
              <w:rPr>
                <w:rFonts w:ascii="Arial" w:hAnsi="Arial" w:cs="Arial"/>
                <w:sz w:val="16"/>
                <w:szCs w:val="16"/>
              </w:rPr>
            </w:pPr>
            <w:r w:rsidRPr="00CA3E58">
              <w:rPr>
                <w:rFonts w:ascii="Arial" w:hAnsi="Arial" w:cs="Arial"/>
                <w:sz w:val="16"/>
                <w:szCs w:val="16"/>
              </w:rPr>
              <w:t> </w:t>
            </w:r>
            <w:r w:rsidR="00634954">
              <w:rPr>
                <w:rFonts w:ascii="Arial" w:hAnsi="Arial" w:cs="Arial"/>
                <w:sz w:val="16"/>
                <w:szCs w:val="16"/>
              </w:rPr>
              <w:t>25</w:t>
            </w:r>
          </w:p>
        </w:tc>
        <w:tc>
          <w:tcPr>
            <w:tcW w:w="1233" w:type="dxa"/>
            <w:tcBorders>
              <w:top w:val="nil"/>
              <w:left w:val="nil"/>
              <w:bottom w:val="single" w:sz="4" w:space="0" w:color="auto"/>
              <w:right w:val="single" w:sz="4" w:space="0" w:color="auto"/>
            </w:tcBorders>
            <w:shd w:val="clear" w:color="auto" w:fill="auto"/>
            <w:noWrap/>
            <w:vAlign w:val="bottom"/>
            <w:hideMark/>
          </w:tcPr>
          <w:p w14:paraId="485AFFAB" w14:textId="77777777" w:rsidR="005B7046" w:rsidRPr="00CA3E58" w:rsidRDefault="001C2E48" w:rsidP="0001256C">
            <w:pPr>
              <w:jc w:val="both"/>
              <w:rPr>
                <w:rFonts w:ascii="Arial" w:hAnsi="Arial" w:cs="Arial"/>
                <w:sz w:val="16"/>
                <w:szCs w:val="16"/>
              </w:rPr>
            </w:pPr>
            <w:r>
              <w:rPr>
                <w:rFonts w:ascii="Arial" w:hAnsi="Arial" w:cs="Arial"/>
                <w:sz w:val="16"/>
                <w:szCs w:val="16"/>
              </w:rPr>
              <w:t>208,187</w:t>
            </w:r>
          </w:p>
        </w:tc>
        <w:tc>
          <w:tcPr>
            <w:tcW w:w="519" w:type="dxa"/>
            <w:tcBorders>
              <w:top w:val="nil"/>
              <w:left w:val="nil"/>
              <w:bottom w:val="single" w:sz="4" w:space="0" w:color="auto"/>
              <w:right w:val="nil"/>
            </w:tcBorders>
            <w:shd w:val="clear" w:color="auto" w:fill="auto"/>
            <w:noWrap/>
            <w:vAlign w:val="bottom"/>
            <w:hideMark/>
          </w:tcPr>
          <w:p w14:paraId="660F220E" w14:textId="77777777" w:rsidR="005B7046" w:rsidRPr="00CA3E58" w:rsidRDefault="005B7046" w:rsidP="0001256C">
            <w:pPr>
              <w:jc w:val="both"/>
              <w:rPr>
                <w:rFonts w:ascii="Arial" w:hAnsi="Arial" w:cs="Arial"/>
                <w:sz w:val="16"/>
                <w:szCs w:val="16"/>
              </w:rPr>
            </w:pPr>
            <w:r w:rsidRPr="00CA3E58">
              <w:rPr>
                <w:rFonts w:ascii="Arial" w:hAnsi="Arial" w:cs="Arial"/>
                <w:sz w:val="16"/>
                <w:szCs w:val="16"/>
              </w:rPr>
              <w:t> </w:t>
            </w:r>
            <w:r w:rsidR="00634954">
              <w:rPr>
                <w:rFonts w:ascii="Arial" w:hAnsi="Arial" w:cs="Arial"/>
                <w:sz w:val="16"/>
                <w:szCs w:val="16"/>
              </w:rPr>
              <w:t>111</w:t>
            </w:r>
          </w:p>
        </w:tc>
        <w:tc>
          <w:tcPr>
            <w:tcW w:w="1004" w:type="dxa"/>
            <w:gridSpan w:val="2"/>
            <w:tcBorders>
              <w:top w:val="nil"/>
              <w:left w:val="single" w:sz="4" w:space="0" w:color="auto"/>
              <w:bottom w:val="single" w:sz="4" w:space="0" w:color="auto"/>
              <w:right w:val="single" w:sz="8" w:space="0" w:color="auto"/>
            </w:tcBorders>
            <w:shd w:val="clear" w:color="auto" w:fill="auto"/>
            <w:noWrap/>
            <w:vAlign w:val="bottom"/>
            <w:hideMark/>
          </w:tcPr>
          <w:p w14:paraId="6D9A523E" w14:textId="77777777" w:rsidR="005B7046" w:rsidRPr="00CA3E58" w:rsidRDefault="001C2E48" w:rsidP="0001256C">
            <w:pPr>
              <w:jc w:val="both"/>
              <w:rPr>
                <w:rFonts w:ascii="Arial" w:hAnsi="Arial" w:cs="Arial"/>
                <w:sz w:val="16"/>
                <w:szCs w:val="16"/>
              </w:rPr>
            </w:pPr>
            <w:r>
              <w:rPr>
                <w:rFonts w:ascii="Arial" w:hAnsi="Arial" w:cs="Arial"/>
                <w:sz w:val="16"/>
                <w:szCs w:val="16"/>
              </w:rPr>
              <w:t>371,976</w:t>
            </w:r>
          </w:p>
        </w:tc>
      </w:tr>
      <w:tr w:rsidR="005B7046" w:rsidRPr="00CA3E58" w14:paraId="58B7D672" w14:textId="77777777" w:rsidTr="00507E6F">
        <w:trPr>
          <w:trHeight w:val="2230"/>
        </w:trPr>
        <w:tc>
          <w:tcPr>
            <w:tcW w:w="1356" w:type="dxa"/>
            <w:tcBorders>
              <w:top w:val="single" w:sz="8" w:space="0" w:color="auto"/>
              <w:left w:val="single" w:sz="8" w:space="0" w:color="auto"/>
              <w:bottom w:val="single" w:sz="8" w:space="0" w:color="auto"/>
              <w:right w:val="single" w:sz="8" w:space="0" w:color="auto"/>
            </w:tcBorders>
            <w:shd w:val="clear" w:color="auto" w:fill="auto"/>
            <w:vAlign w:val="bottom"/>
            <w:hideMark/>
          </w:tcPr>
          <w:p w14:paraId="6A204A44" w14:textId="77777777" w:rsidR="005B7046" w:rsidRPr="00CA3E58" w:rsidRDefault="005B7046" w:rsidP="0001256C">
            <w:pPr>
              <w:jc w:val="both"/>
              <w:rPr>
                <w:rFonts w:ascii="Arial" w:hAnsi="Arial" w:cs="Arial"/>
                <w:b/>
                <w:bCs/>
                <w:sz w:val="18"/>
                <w:szCs w:val="18"/>
              </w:rPr>
            </w:pPr>
            <w:r w:rsidRPr="00CA3E58">
              <w:rPr>
                <w:rFonts w:ascii="Arial" w:hAnsi="Arial" w:cs="Arial"/>
                <w:b/>
                <w:bCs/>
                <w:sz w:val="18"/>
                <w:szCs w:val="18"/>
              </w:rPr>
              <w:lastRenderedPageBreak/>
              <w:t>OUTCOME</w:t>
            </w:r>
          </w:p>
        </w:tc>
        <w:tc>
          <w:tcPr>
            <w:tcW w:w="3180" w:type="dxa"/>
            <w:tcBorders>
              <w:top w:val="single" w:sz="8" w:space="0" w:color="auto"/>
              <w:left w:val="nil"/>
              <w:bottom w:val="single" w:sz="8" w:space="0" w:color="auto"/>
              <w:right w:val="single" w:sz="8" w:space="0" w:color="auto"/>
            </w:tcBorders>
            <w:shd w:val="clear" w:color="auto" w:fill="auto"/>
            <w:vAlign w:val="bottom"/>
            <w:hideMark/>
          </w:tcPr>
          <w:p w14:paraId="73CE027E" w14:textId="77777777" w:rsidR="005B7046" w:rsidRPr="00CA3E58" w:rsidRDefault="005B7046" w:rsidP="0001256C">
            <w:pPr>
              <w:jc w:val="both"/>
              <w:rPr>
                <w:rFonts w:ascii="Arial" w:hAnsi="Arial" w:cs="Arial"/>
                <w:sz w:val="18"/>
                <w:szCs w:val="18"/>
              </w:rPr>
            </w:pPr>
            <w:r w:rsidRPr="00CA3E58">
              <w:rPr>
                <w:rFonts w:ascii="Arial" w:hAnsi="Arial" w:cs="Arial"/>
                <w:sz w:val="18"/>
                <w:szCs w:val="18"/>
              </w:rPr>
              <w:t xml:space="preserve">COPS Office-related contribution to a 3% rate of change over 36 months in homicide violent crime rates through the implementation of a comprehensive community policing strategy within targeted COPS-funded cities compared to the crime rates of cities of similar size and demographics that have not received COPS funding </w:t>
            </w:r>
          </w:p>
        </w:tc>
        <w:tc>
          <w:tcPr>
            <w:tcW w:w="1452"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41429C47" w14:textId="77777777" w:rsidR="005B7046" w:rsidRPr="00CA3E58" w:rsidRDefault="005B7046" w:rsidP="0001256C">
            <w:pPr>
              <w:jc w:val="both"/>
              <w:rPr>
                <w:rFonts w:ascii="Arial" w:hAnsi="Arial" w:cs="Arial"/>
                <w:sz w:val="16"/>
                <w:szCs w:val="16"/>
              </w:rPr>
            </w:pPr>
            <w:r w:rsidRPr="00CA3E58">
              <w:rPr>
                <w:rFonts w:ascii="Arial" w:hAnsi="Arial" w:cs="Arial"/>
                <w:sz w:val="16"/>
                <w:szCs w:val="16"/>
              </w:rPr>
              <w:t>New in FY13</w:t>
            </w:r>
          </w:p>
        </w:tc>
        <w:tc>
          <w:tcPr>
            <w:tcW w:w="1316" w:type="dxa"/>
            <w:gridSpan w:val="2"/>
            <w:tcBorders>
              <w:top w:val="single" w:sz="4" w:space="0" w:color="auto"/>
              <w:left w:val="nil"/>
              <w:bottom w:val="single" w:sz="4" w:space="0" w:color="auto"/>
              <w:right w:val="single" w:sz="4" w:space="0" w:color="000000"/>
            </w:tcBorders>
            <w:shd w:val="clear" w:color="000000" w:fill="auto"/>
            <w:noWrap/>
            <w:vAlign w:val="bottom"/>
            <w:hideMark/>
          </w:tcPr>
          <w:p w14:paraId="3372170D" w14:textId="77777777" w:rsidR="005B7046" w:rsidRPr="00CA3E58" w:rsidRDefault="005B7046" w:rsidP="0001256C">
            <w:pPr>
              <w:jc w:val="both"/>
              <w:rPr>
                <w:rFonts w:ascii="Arial" w:hAnsi="Arial" w:cs="Arial"/>
                <w:sz w:val="16"/>
                <w:szCs w:val="16"/>
              </w:rPr>
            </w:pPr>
            <w:r w:rsidRPr="00CA3E58">
              <w:rPr>
                <w:rFonts w:ascii="Arial" w:hAnsi="Arial" w:cs="Arial"/>
                <w:sz w:val="16"/>
                <w:szCs w:val="16"/>
              </w:rPr>
              <w:t>New in FY13</w:t>
            </w:r>
          </w:p>
        </w:tc>
        <w:tc>
          <w:tcPr>
            <w:tcW w:w="1440"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3AEB1D99" w14:textId="77777777" w:rsidR="005B7046" w:rsidRPr="00CA3E58" w:rsidRDefault="005B7046" w:rsidP="0001256C">
            <w:pPr>
              <w:jc w:val="both"/>
              <w:rPr>
                <w:rFonts w:ascii="Arial" w:hAnsi="Arial" w:cs="Arial"/>
                <w:sz w:val="16"/>
                <w:szCs w:val="16"/>
              </w:rPr>
            </w:pPr>
            <w:r w:rsidRPr="00CA3E58">
              <w:rPr>
                <w:rFonts w:ascii="Arial" w:hAnsi="Arial" w:cs="Arial"/>
                <w:sz w:val="16"/>
                <w:szCs w:val="16"/>
              </w:rPr>
              <w:t>0.5</w:t>
            </w:r>
          </w:p>
        </w:tc>
        <w:tc>
          <w:tcPr>
            <w:tcW w:w="1752"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68DB422F" w14:textId="77777777" w:rsidR="005B7046" w:rsidRPr="00CA3E58" w:rsidRDefault="005B7046" w:rsidP="0001256C">
            <w:pPr>
              <w:jc w:val="both"/>
              <w:rPr>
                <w:rFonts w:ascii="Arial" w:hAnsi="Arial" w:cs="Arial"/>
                <w:sz w:val="16"/>
                <w:szCs w:val="16"/>
              </w:rPr>
            </w:pPr>
            <w:r w:rsidRPr="00CA3E58">
              <w:rPr>
                <w:rFonts w:ascii="Arial" w:hAnsi="Arial" w:cs="Arial"/>
                <w:sz w:val="16"/>
                <w:szCs w:val="16"/>
              </w:rPr>
              <w:t>1.1</w:t>
            </w:r>
          </w:p>
        </w:tc>
        <w:tc>
          <w:tcPr>
            <w:tcW w:w="1523" w:type="dxa"/>
            <w:gridSpan w:val="3"/>
            <w:tcBorders>
              <w:top w:val="single" w:sz="4" w:space="0" w:color="auto"/>
              <w:left w:val="nil"/>
              <w:bottom w:val="single" w:sz="4" w:space="0" w:color="auto"/>
              <w:right w:val="single" w:sz="8" w:space="0" w:color="000000"/>
            </w:tcBorders>
            <w:shd w:val="clear" w:color="auto" w:fill="auto"/>
            <w:noWrap/>
            <w:vAlign w:val="bottom"/>
            <w:hideMark/>
          </w:tcPr>
          <w:p w14:paraId="3E86E97B" w14:textId="77777777" w:rsidR="005B7046" w:rsidRPr="00CA3E58" w:rsidRDefault="005B7046" w:rsidP="0001256C">
            <w:pPr>
              <w:jc w:val="both"/>
              <w:rPr>
                <w:rFonts w:ascii="Arial" w:hAnsi="Arial" w:cs="Arial"/>
                <w:sz w:val="16"/>
                <w:szCs w:val="16"/>
              </w:rPr>
            </w:pPr>
            <w:r w:rsidRPr="00CA3E58">
              <w:rPr>
                <w:rFonts w:ascii="Arial" w:hAnsi="Arial" w:cs="Arial"/>
                <w:sz w:val="16"/>
                <w:szCs w:val="16"/>
              </w:rPr>
              <w:t>1.6</w:t>
            </w:r>
          </w:p>
        </w:tc>
      </w:tr>
      <w:tr w:rsidR="005B7046" w:rsidRPr="00CA3E58" w14:paraId="67F49BD6" w14:textId="77777777" w:rsidTr="00507E6F">
        <w:trPr>
          <w:trHeight w:val="700"/>
        </w:trPr>
        <w:tc>
          <w:tcPr>
            <w:tcW w:w="1356" w:type="dxa"/>
            <w:tcBorders>
              <w:top w:val="nil"/>
              <w:left w:val="single" w:sz="8" w:space="0" w:color="auto"/>
              <w:bottom w:val="single" w:sz="8" w:space="0" w:color="auto"/>
              <w:right w:val="single" w:sz="8" w:space="0" w:color="auto"/>
            </w:tcBorders>
            <w:shd w:val="clear" w:color="auto" w:fill="auto"/>
            <w:vAlign w:val="bottom"/>
            <w:hideMark/>
          </w:tcPr>
          <w:p w14:paraId="1FAAA730" w14:textId="77777777" w:rsidR="005B7046" w:rsidRPr="00CA3E58" w:rsidRDefault="005B7046" w:rsidP="0001256C">
            <w:pPr>
              <w:jc w:val="both"/>
              <w:rPr>
                <w:rFonts w:ascii="Arial" w:hAnsi="Arial" w:cs="Arial"/>
                <w:b/>
                <w:bCs/>
                <w:sz w:val="18"/>
                <w:szCs w:val="18"/>
              </w:rPr>
            </w:pPr>
            <w:r w:rsidRPr="00CA3E58">
              <w:rPr>
                <w:rFonts w:ascii="Arial" w:hAnsi="Arial" w:cs="Arial"/>
                <w:b/>
                <w:bCs/>
                <w:sz w:val="18"/>
                <w:szCs w:val="18"/>
              </w:rPr>
              <w:t>OUTCOME</w:t>
            </w:r>
          </w:p>
        </w:tc>
        <w:tc>
          <w:tcPr>
            <w:tcW w:w="3180" w:type="dxa"/>
            <w:tcBorders>
              <w:top w:val="nil"/>
              <w:left w:val="nil"/>
              <w:bottom w:val="single" w:sz="8" w:space="0" w:color="auto"/>
              <w:right w:val="single" w:sz="8" w:space="0" w:color="auto"/>
            </w:tcBorders>
            <w:shd w:val="clear" w:color="auto" w:fill="auto"/>
            <w:vAlign w:val="bottom"/>
            <w:hideMark/>
          </w:tcPr>
          <w:p w14:paraId="70DC92C2" w14:textId="77777777" w:rsidR="005B7046" w:rsidRPr="00CA3E58" w:rsidRDefault="005B7046" w:rsidP="0001256C">
            <w:pPr>
              <w:jc w:val="both"/>
              <w:rPr>
                <w:rFonts w:ascii="Arial" w:hAnsi="Arial" w:cs="Arial"/>
                <w:sz w:val="18"/>
                <w:szCs w:val="18"/>
              </w:rPr>
            </w:pPr>
            <w:r w:rsidRPr="00CA3E58">
              <w:rPr>
                <w:rFonts w:ascii="Arial" w:hAnsi="Arial" w:cs="Arial"/>
                <w:sz w:val="18"/>
                <w:szCs w:val="18"/>
              </w:rPr>
              <w:t>Effectiveness rating of COPS grant resources in increasing community policing capacity of grantees</w:t>
            </w:r>
          </w:p>
        </w:tc>
        <w:tc>
          <w:tcPr>
            <w:tcW w:w="1452"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58F710C4" w14:textId="77777777" w:rsidR="005B7046" w:rsidRPr="00CA3E58" w:rsidRDefault="005B7046" w:rsidP="0001256C">
            <w:pPr>
              <w:jc w:val="both"/>
              <w:rPr>
                <w:rFonts w:ascii="Arial" w:hAnsi="Arial" w:cs="Arial"/>
                <w:sz w:val="16"/>
                <w:szCs w:val="16"/>
              </w:rPr>
            </w:pPr>
            <w:r w:rsidRPr="00CA3E58">
              <w:rPr>
                <w:rFonts w:ascii="Arial" w:hAnsi="Arial" w:cs="Arial"/>
                <w:sz w:val="16"/>
                <w:szCs w:val="16"/>
              </w:rPr>
              <w:t>74.8</w:t>
            </w:r>
          </w:p>
        </w:tc>
        <w:tc>
          <w:tcPr>
            <w:tcW w:w="1316" w:type="dxa"/>
            <w:gridSpan w:val="2"/>
            <w:tcBorders>
              <w:top w:val="single" w:sz="4" w:space="0" w:color="auto"/>
              <w:left w:val="nil"/>
              <w:bottom w:val="single" w:sz="4" w:space="0" w:color="auto"/>
              <w:right w:val="single" w:sz="4" w:space="0" w:color="000000"/>
            </w:tcBorders>
            <w:shd w:val="clear" w:color="000000" w:fill="auto"/>
            <w:noWrap/>
            <w:vAlign w:val="bottom"/>
            <w:hideMark/>
          </w:tcPr>
          <w:p w14:paraId="194B0573" w14:textId="77777777" w:rsidR="005B7046" w:rsidRPr="00CA3E58" w:rsidRDefault="005B7046" w:rsidP="0001256C">
            <w:pPr>
              <w:jc w:val="both"/>
              <w:rPr>
                <w:rFonts w:ascii="Arial" w:hAnsi="Arial" w:cs="Arial"/>
                <w:sz w:val="16"/>
                <w:szCs w:val="16"/>
              </w:rPr>
            </w:pPr>
            <w:r>
              <w:rPr>
                <w:rFonts w:ascii="Arial" w:hAnsi="Arial" w:cs="Arial"/>
                <w:sz w:val="16"/>
                <w:szCs w:val="16"/>
              </w:rPr>
              <w:t>79.0</w:t>
            </w:r>
          </w:p>
        </w:tc>
        <w:tc>
          <w:tcPr>
            <w:tcW w:w="1440" w:type="dxa"/>
            <w:gridSpan w:val="2"/>
            <w:tcBorders>
              <w:top w:val="single" w:sz="4" w:space="0" w:color="auto"/>
              <w:left w:val="nil"/>
              <w:bottom w:val="single" w:sz="4" w:space="0" w:color="auto"/>
              <w:right w:val="single" w:sz="4" w:space="0" w:color="000000"/>
            </w:tcBorders>
            <w:shd w:val="clear" w:color="auto" w:fill="auto"/>
            <w:vAlign w:val="bottom"/>
            <w:hideMark/>
          </w:tcPr>
          <w:p w14:paraId="6E1CC2E0" w14:textId="77777777" w:rsidR="005B7046" w:rsidRPr="00CA3E58" w:rsidRDefault="005B7046" w:rsidP="0001256C">
            <w:pPr>
              <w:jc w:val="both"/>
              <w:rPr>
                <w:rFonts w:ascii="Arial" w:hAnsi="Arial" w:cs="Arial"/>
                <w:sz w:val="16"/>
                <w:szCs w:val="16"/>
              </w:rPr>
            </w:pPr>
            <w:r w:rsidRPr="00CA3E58">
              <w:rPr>
                <w:rFonts w:ascii="Arial" w:hAnsi="Arial" w:cs="Arial"/>
                <w:sz w:val="16"/>
                <w:szCs w:val="16"/>
              </w:rPr>
              <w:t xml:space="preserve">Discontinued </w:t>
            </w:r>
            <w:r>
              <w:rPr>
                <w:rFonts w:ascii="Arial" w:hAnsi="Arial" w:cs="Arial"/>
                <w:sz w:val="16"/>
                <w:szCs w:val="16"/>
              </w:rPr>
              <w:t xml:space="preserve">    </w:t>
            </w:r>
            <w:r w:rsidRPr="00CA3E58">
              <w:rPr>
                <w:rFonts w:ascii="Arial" w:hAnsi="Arial" w:cs="Arial"/>
                <w:sz w:val="16"/>
                <w:szCs w:val="16"/>
              </w:rPr>
              <w:t>in FY13</w:t>
            </w:r>
          </w:p>
        </w:tc>
        <w:tc>
          <w:tcPr>
            <w:tcW w:w="1752" w:type="dxa"/>
            <w:gridSpan w:val="2"/>
            <w:tcBorders>
              <w:top w:val="single" w:sz="4" w:space="0" w:color="auto"/>
              <w:left w:val="nil"/>
              <w:bottom w:val="single" w:sz="4" w:space="0" w:color="auto"/>
              <w:right w:val="single" w:sz="4" w:space="0" w:color="000000"/>
            </w:tcBorders>
            <w:shd w:val="clear" w:color="auto" w:fill="auto"/>
            <w:vAlign w:val="bottom"/>
            <w:hideMark/>
          </w:tcPr>
          <w:p w14:paraId="606CEAC2" w14:textId="77777777" w:rsidR="005B7046" w:rsidRPr="00CA3E58" w:rsidRDefault="005B7046" w:rsidP="0001256C">
            <w:pPr>
              <w:jc w:val="both"/>
              <w:rPr>
                <w:rFonts w:ascii="Arial" w:hAnsi="Arial" w:cs="Arial"/>
                <w:sz w:val="16"/>
                <w:szCs w:val="16"/>
              </w:rPr>
            </w:pPr>
            <w:r w:rsidRPr="00CA3E58">
              <w:rPr>
                <w:rFonts w:ascii="Arial" w:hAnsi="Arial" w:cs="Arial"/>
                <w:sz w:val="16"/>
                <w:szCs w:val="16"/>
              </w:rPr>
              <w:t xml:space="preserve">Discontinued </w:t>
            </w:r>
            <w:r>
              <w:rPr>
                <w:rFonts w:ascii="Arial" w:hAnsi="Arial" w:cs="Arial"/>
                <w:sz w:val="16"/>
                <w:szCs w:val="16"/>
              </w:rPr>
              <w:t xml:space="preserve">            </w:t>
            </w:r>
            <w:r w:rsidRPr="00CA3E58">
              <w:rPr>
                <w:rFonts w:ascii="Arial" w:hAnsi="Arial" w:cs="Arial"/>
                <w:sz w:val="16"/>
                <w:szCs w:val="16"/>
              </w:rPr>
              <w:t>in</w:t>
            </w:r>
            <w:r>
              <w:rPr>
                <w:rFonts w:ascii="Arial" w:hAnsi="Arial" w:cs="Arial"/>
                <w:sz w:val="16"/>
                <w:szCs w:val="16"/>
              </w:rPr>
              <w:t xml:space="preserve"> </w:t>
            </w:r>
            <w:r w:rsidRPr="00CA3E58">
              <w:rPr>
                <w:rFonts w:ascii="Arial" w:hAnsi="Arial" w:cs="Arial"/>
                <w:sz w:val="16"/>
                <w:szCs w:val="16"/>
              </w:rPr>
              <w:t xml:space="preserve"> FY13</w:t>
            </w:r>
          </w:p>
        </w:tc>
        <w:tc>
          <w:tcPr>
            <w:tcW w:w="1523" w:type="dxa"/>
            <w:gridSpan w:val="3"/>
            <w:tcBorders>
              <w:top w:val="single" w:sz="4" w:space="0" w:color="auto"/>
              <w:left w:val="nil"/>
              <w:bottom w:val="single" w:sz="4" w:space="0" w:color="auto"/>
              <w:right w:val="single" w:sz="8" w:space="0" w:color="000000"/>
            </w:tcBorders>
            <w:shd w:val="clear" w:color="auto" w:fill="auto"/>
            <w:vAlign w:val="bottom"/>
            <w:hideMark/>
          </w:tcPr>
          <w:p w14:paraId="4D76F728" w14:textId="77777777" w:rsidR="005B7046" w:rsidRPr="00CA3E58" w:rsidRDefault="005B7046" w:rsidP="0001256C">
            <w:pPr>
              <w:jc w:val="both"/>
              <w:rPr>
                <w:rFonts w:ascii="Arial" w:hAnsi="Arial" w:cs="Arial"/>
                <w:sz w:val="16"/>
                <w:szCs w:val="16"/>
              </w:rPr>
            </w:pPr>
            <w:r w:rsidRPr="00CA3E58">
              <w:rPr>
                <w:rFonts w:ascii="Arial" w:hAnsi="Arial" w:cs="Arial"/>
                <w:sz w:val="16"/>
                <w:szCs w:val="16"/>
              </w:rPr>
              <w:t>Discontinued</w:t>
            </w:r>
            <w:r>
              <w:rPr>
                <w:rFonts w:ascii="Arial" w:hAnsi="Arial" w:cs="Arial"/>
                <w:sz w:val="16"/>
                <w:szCs w:val="16"/>
              </w:rPr>
              <w:t xml:space="preserve">            </w:t>
            </w:r>
            <w:r w:rsidRPr="00CA3E58">
              <w:rPr>
                <w:rFonts w:ascii="Arial" w:hAnsi="Arial" w:cs="Arial"/>
                <w:sz w:val="16"/>
                <w:szCs w:val="16"/>
              </w:rPr>
              <w:t xml:space="preserve"> in FY13</w:t>
            </w:r>
          </w:p>
        </w:tc>
      </w:tr>
      <w:tr w:rsidR="005B7046" w:rsidRPr="00CA3E58" w14:paraId="21DAD939" w14:textId="77777777" w:rsidTr="00507E6F">
        <w:trPr>
          <w:trHeight w:val="315"/>
        </w:trPr>
        <w:tc>
          <w:tcPr>
            <w:tcW w:w="1356" w:type="dxa"/>
            <w:tcBorders>
              <w:top w:val="nil"/>
              <w:left w:val="single" w:sz="8" w:space="0" w:color="auto"/>
              <w:bottom w:val="single" w:sz="8" w:space="0" w:color="auto"/>
              <w:right w:val="single" w:sz="8" w:space="0" w:color="auto"/>
            </w:tcBorders>
            <w:shd w:val="clear" w:color="auto" w:fill="auto"/>
            <w:vAlign w:val="bottom"/>
            <w:hideMark/>
          </w:tcPr>
          <w:p w14:paraId="2E0B4692" w14:textId="77777777" w:rsidR="005B7046" w:rsidRPr="00CA3E58" w:rsidRDefault="005B7046" w:rsidP="0001256C">
            <w:pPr>
              <w:jc w:val="both"/>
              <w:rPr>
                <w:rFonts w:ascii="Arial" w:hAnsi="Arial" w:cs="Arial"/>
                <w:b/>
                <w:bCs/>
                <w:sz w:val="18"/>
                <w:szCs w:val="18"/>
              </w:rPr>
            </w:pPr>
            <w:r w:rsidRPr="00CA3E58">
              <w:rPr>
                <w:rFonts w:ascii="Arial" w:hAnsi="Arial" w:cs="Arial"/>
                <w:b/>
                <w:bCs/>
                <w:sz w:val="18"/>
                <w:szCs w:val="18"/>
              </w:rPr>
              <w:t>OUTPUT</w:t>
            </w:r>
          </w:p>
        </w:tc>
        <w:tc>
          <w:tcPr>
            <w:tcW w:w="3180" w:type="dxa"/>
            <w:tcBorders>
              <w:top w:val="nil"/>
              <w:left w:val="nil"/>
              <w:bottom w:val="single" w:sz="8" w:space="0" w:color="auto"/>
              <w:right w:val="single" w:sz="8" w:space="0" w:color="auto"/>
            </w:tcBorders>
            <w:shd w:val="clear" w:color="auto" w:fill="auto"/>
            <w:vAlign w:val="bottom"/>
            <w:hideMark/>
          </w:tcPr>
          <w:p w14:paraId="019F231D" w14:textId="77777777" w:rsidR="005B7046" w:rsidRPr="00CA3E58" w:rsidRDefault="005B7046" w:rsidP="0001256C">
            <w:pPr>
              <w:jc w:val="both"/>
              <w:rPr>
                <w:rFonts w:ascii="Arial" w:hAnsi="Arial" w:cs="Arial"/>
                <w:sz w:val="18"/>
                <w:szCs w:val="18"/>
              </w:rPr>
            </w:pPr>
            <w:r w:rsidRPr="00CA3E58">
              <w:rPr>
                <w:rFonts w:ascii="Arial" w:hAnsi="Arial" w:cs="Arial"/>
                <w:sz w:val="18"/>
                <w:szCs w:val="18"/>
              </w:rPr>
              <w:t>Number of officers funded</w:t>
            </w:r>
          </w:p>
        </w:tc>
        <w:tc>
          <w:tcPr>
            <w:tcW w:w="1452"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5112BB5E" w14:textId="77777777" w:rsidR="005B7046" w:rsidRPr="00CA3E58" w:rsidRDefault="005B7046" w:rsidP="0001256C">
            <w:pPr>
              <w:jc w:val="both"/>
              <w:rPr>
                <w:rFonts w:ascii="Arial" w:hAnsi="Arial" w:cs="Arial"/>
                <w:sz w:val="16"/>
                <w:szCs w:val="16"/>
              </w:rPr>
            </w:pPr>
            <w:r w:rsidRPr="00CA3E58">
              <w:rPr>
                <w:rFonts w:ascii="Arial" w:hAnsi="Arial" w:cs="Arial"/>
                <w:sz w:val="16"/>
                <w:szCs w:val="16"/>
              </w:rPr>
              <w:t>7,843</w:t>
            </w:r>
          </w:p>
        </w:tc>
        <w:tc>
          <w:tcPr>
            <w:tcW w:w="1316" w:type="dxa"/>
            <w:gridSpan w:val="2"/>
            <w:tcBorders>
              <w:top w:val="single" w:sz="4" w:space="0" w:color="auto"/>
              <w:left w:val="nil"/>
              <w:bottom w:val="single" w:sz="4" w:space="0" w:color="auto"/>
              <w:right w:val="single" w:sz="4" w:space="0" w:color="000000"/>
            </w:tcBorders>
            <w:shd w:val="clear" w:color="000000" w:fill="auto"/>
            <w:noWrap/>
            <w:vAlign w:val="bottom"/>
            <w:hideMark/>
          </w:tcPr>
          <w:p w14:paraId="56AAE8F4" w14:textId="77777777" w:rsidR="005B7046" w:rsidRPr="00CA3E58" w:rsidRDefault="005B7046" w:rsidP="0001256C">
            <w:pPr>
              <w:jc w:val="both"/>
              <w:rPr>
                <w:rFonts w:ascii="Arial" w:hAnsi="Arial" w:cs="Arial"/>
                <w:sz w:val="16"/>
                <w:szCs w:val="16"/>
              </w:rPr>
            </w:pPr>
            <w:r>
              <w:rPr>
                <w:rFonts w:ascii="Arial" w:hAnsi="Arial" w:cs="Arial"/>
                <w:sz w:val="16"/>
                <w:szCs w:val="16"/>
              </w:rPr>
              <w:t>7,805</w:t>
            </w:r>
          </w:p>
        </w:tc>
        <w:tc>
          <w:tcPr>
            <w:tcW w:w="1440" w:type="dxa"/>
            <w:gridSpan w:val="2"/>
            <w:tcBorders>
              <w:top w:val="single" w:sz="4" w:space="0" w:color="auto"/>
              <w:left w:val="nil"/>
              <w:bottom w:val="nil"/>
              <w:right w:val="single" w:sz="4" w:space="0" w:color="000000"/>
            </w:tcBorders>
            <w:shd w:val="clear" w:color="auto" w:fill="auto"/>
            <w:noWrap/>
            <w:vAlign w:val="bottom"/>
            <w:hideMark/>
          </w:tcPr>
          <w:p w14:paraId="75B7BBD8" w14:textId="77777777" w:rsidR="005B7046" w:rsidRPr="00CA3E58" w:rsidRDefault="00507E6F" w:rsidP="0001256C">
            <w:pPr>
              <w:jc w:val="both"/>
              <w:rPr>
                <w:rFonts w:ascii="Arial" w:hAnsi="Arial" w:cs="Arial"/>
                <w:sz w:val="16"/>
                <w:szCs w:val="16"/>
              </w:rPr>
            </w:pPr>
            <w:r>
              <w:rPr>
                <w:rFonts w:ascii="Arial" w:hAnsi="Arial" w:cs="Arial"/>
                <w:sz w:val="16"/>
                <w:szCs w:val="16"/>
              </w:rPr>
              <w:t>8,776</w:t>
            </w:r>
            <w:r w:rsidR="005B7046" w:rsidRPr="00CA3E58">
              <w:rPr>
                <w:rFonts w:ascii="Arial" w:hAnsi="Arial" w:cs="Arial"/>
                <w:sz w:val="16"/>
                <w:szCs w:val="16"/>
              </w:rPr>
              <w:t xml:space="preserve"> </w:t>
            </w:r>
          </w:p>
        </w:tc>
        <w:tc>
          <w:tcPr>
            <w:tcW w:w="1752" w:type="dxa"/>
            <w:gridSpan w:val="2"/>
            <w:tcBorders>
              <w:top w:val="single" w:sz="4" w:space="0" w:color="auto"/>
              <w:left w:val="nil"/>
              <w:bottom w:val="nil"/>
              <w:right w:val="single" w:sz="4" w:space="0" w:color="000000"/>
            </w:tcBorders>
            <w:shd w:val="clear" w:color="auto" w:fill="auto"/>
            <w:noWrap/>
            <w:vAlign w:val="bottom"/>
            <w:hideMark/>
          </w:tcPr>
          <w:p w14:paraId="24AE3A31" w14:textId="77777777" w:rsidR="005B7046" w:rsidRPr="00CA3E58" w:rsidRDefault="005B7046" w:rsidP="007B4A48">
            <w:pPr>
              <w:jc w:val="both"/>
              <w:rPr>
                <w:rFonts w:ascii="Arial" w:hAnsi="Arial" w:cs="Arial"/>
                <w:sz w:val="16"/>
                <w:szCs w:val="16"/>
              </w:rPr>
            </w:pPr>
            <w:r>
              <w:rPr>
                <w:rFonts w:ascii="Arial" w:hAnsi="Arial" w:cs="Arial"/>
                <w:sz w:val="16"/>
                <w:szCs w:val="16"/>
              </w:rPr>
              <w:t>1,</w:t>
            </w:r>
            <w:r w:rsidR="007B4A48">
              <w:rPr>
                <w:rFonts w:ascii="Arial" w:hAnsi="Arial" w:cs="Arial"/>
                <w:sz w:val="16"/>
                <w:szCs w:val="16"/>
              </w:rPr>
              <w:t>429</w:t>
            </w:r>
          </w:p>
        </w:tc>
        <w:tc>
          <w:tcPr>
            <w:tcW w:w="1523" w:type="dxa"/>
            <w:gridSpan w:val="3"/>
            <w:tcBorders>
              <w:top w:val="single" w:sz="4" w:space="0" w:color="auto"/>
              <w:left w:val="nil"/>
              <w:bottom w:val="nil"/>
              <w:right w:val="single" w:sz="8" w:space="0" w:color="000000"/>
            </w:tcBorders>
            <w:shd w:val="clear" w:color="auto" w:fill="auto"/>
            <w:noWrap/>
            <w:vAlign w:val="bottom"/>
            <w:hideMark/>
          </w:tcPr>
          <w:p w14:paraId="4AFB32DB" w14:textId="77777777" w:rsidR="005B7046" w:rsidRPr="00CA3E58" w:rsidRDefault="00507E6F" w:rsidP="0001256C">
            <w:pPr>
              <w:jc w:val="both"/>
              <w:rPr>
                <w:rFonts w:ascii="Arial" w:hAnsi="Arial" w:cs="Arial"/>
                <w:sz w:val="16"/>
                <w:szCs w:val="16"/>
              </w:rPr>
            </w:pPr>
            <w:r>
              <w:rPr>
                <w:rFonts w:ascii="Arial" w:hAnsi="Arial" w:cs="Arial"/>
                <w:sz w:val="16"/>
                <w:szCs w:val="16"/>
              </w:rPr>
              <w:t>10</w:t>
            </w:r>
            <w:r w:rsidR="008C647E">
              <w:rPr>
                <w:rFonts w:ascii="Arial" w:hAnsi="Arial" w:cs="Arial"/>
                <w:sz w:val="16"/>
                <w:szCs w:val="16"/>
              </w:rPr>
              <w:t>,205</w:t>
            </w:r>
          </w:p>
        </w:tc>
      </w:tr>
      <w:tr w:rsidR="005B7046" w:rsidRPr="00CA3E58" w14:paraId="41B0D156" w14:textId="77777777" w:rsidTr="00507E6F">
        <w:trPr>
          <w:trHeight w:val="300"/>
        </w:trPr>
        <w:tc>
          <w:tcPr>
            <w:tcW w:w="1356" w:type="dxa"/>
            <w:tcBorders>
              <w:top w:val="nil"/>
              <w:left w:val="single" w:sz="8" w:space="0" w:color="auto"/>
              <w:bottom w:val="single" w:sz="8" w:space="0" w:color="auto"/>
              <w:right w:val="single" w:sz="8" w:space="0" w:color="auto"/>
            </w:tcBorders>
            <w:shd w:val="clear" w:color="auto" w:fill="auto"/>
            <w:vAlign w:val="bottom"/>
            <w:hideMark/>
          </w:tcPr>
          <w:p w14:paraId="63CC1521" w14:textId="77777777" w:rsidR="005B7046" w:rsidRPr="00CA3E58" w:rsidRDefault="005B7046" w:rsidP="0001256C">
            <w:pPr>
              <w:jc w:val="both"/>
              <w:rPr>
                <w:rFonts w:ascii="Arial" w:hAnsi="Arial" w:cs="Arial"/>
                <w:b/>
                <w:bCs/>
                <w:sz w:val="18"/>
                <w:szCs w:val="18"/>
              </w:rPr>
            </w:pPr>
            <w:r w:rsidRPr="00CA3E58">
              <w:rPr>
                <w:rFonts w:ascii="Arial" w:hAnsi="Arial" w:cs="Arial"/>
                <w:b/>
                <w:bCs/>
                <w:sz w:val="18"/>
                <w:szCs w:val="18"/>
              </w:rPr>
              <w:t>OUTPUT</w:t>
            </w:r>
          </w:p>
        </w:tc>
        <w:tc>
          <w:tcPr>
            <w:tcW w:w="3180" w:type="dxa"/>
            <w:tcBorders>
              <w:top w:val="nil"/>
              <w:left w:val="nil"/>
              <w:bottom w:val="single" w:sz="8" w:space="0" w:color="auto"/>
              <w:right w:val="single" w:sz="8" w:space="0" w:color="auto"/>
            </w:tcBorders>
            <w:shd w:val="clear" w:color="auto" w:fill="auto"/>
            <w:vAlign w:val="bottom"/>
            <w:hideMark/>
          </w:tcPr>
          <w:p w14:paraId="27538063" w14:textId="77777777" w:rsidR="005B7046" w:rsidRPr="00CA3E58" w:rsidRDefault="005B7046" w:rsidP="0001256C">
            <w:pPr>
              <w:jc w:val="both"/>
              <w:rPr>
                <w:rFonts w:ascii="Arial" w:hAnsi="Arial" w:cs="Arial"/>
                <w:sz w:val="18"/>
                <w:szCs w:val="18"/>
              </w:rPr>
            </w:pPr>
            <w:r w:rsidRPr="00CA3E58">
              <w:rPr>
                <w:rFonts w:ascii="Arial" w:hAnsi="Arial" w:cs="Arial"/>
                <w:sz w:val="18"/>
                <w:szCs w:val="18"/>
              </w:rPr>
              <w:t>Number of officers hired</w:t>
            </w:r>
          </w:p>
        </w:tc>
        <w:tc>
          <w:tcPr>
            <w:tcW w:w="1452"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497110EF" w14:textId="77777777" w:rsidR="005B7046" w:rsidRPr="00CA3E58" w:rsidRDefault="005B7046" w:rsidP="0001256C">
            <w:pPr>
              <w:jc w:val="both"/>
              <w:rPr>
                <w:rFonts w:ascii="Arial" w:hAnsi="Arial" w:cs="Arial"/>
                <w:sz w:val="16"/>
                <w:szCs w:val="16"/>
              </w:rPr>
            </w:pPr>
            <w:r w:rsidRPr="00CA3E58">
              <w:rPr>
                <w:rFonts w:ascii="Arial" w:hAnsi="Arial" w:cs="Arial"/>
                <w:sz w:val="16"/>
                <w:szCs w:val="16"/>
              </w:rPr>
              <w:t>5,669</w:t>
            </w:r>
          </w:p>
        </w:tc>
        <w:tc>
          <w:tcPr>
            <w:tcW w:w="1316" w:type="dxa"/>
            <w:gridSpan w:val="2"/>
            <w:tcBorders>
              <w:top w:val="nil"/>
              <w:left w:val="nil"/>
              <w:bottom w:val="single" w:sz="4" w:space="0" w:color="auto"/>
              <w:right w:val="single" w:sz="4" w:space="0" w:color="000000"/>
            </w:tcBorders>
            <w:shd w:val="clear" w:color="000000" w:fill="auto"/>
            <w:noWrap/>
            <w:vAlign w:val="bottom"/>
            <w:hideMark/>
          </w:tcPr>
          <w:p w14:paraId="11A378CB" w14:textId="77777777" w:rsidR="005B7046" w:rsidRPr="00CA3E58" w:rsidRDefault="005B7046" w:rsidP="0001256C">
            <w:pPr>
              <w:jc w:val="both"/>
              <w:rPr>
                <w:rFonts w:ascii="Arial" w:hAnsi="Arial" w:cs="Arial"/>
                <w:sz w:val="16"/>
                <w:szCs w:val="16"/>
              </w:rPr>
            </w:pPr>
            <w:r>
              <w:rPr>
                <w:rFonts w:ascii="Arial" w:hAnsi="Arial" w:cs="Arial"/>
                <w:sz w:val="16"/>
                <w:szCs w:val="16"/>
              </w:rPr>
              <w:t>5,930</w:t>
            </w:r>
          </w:p>
        </w:tc>
        <w:tc>
          <w:tcPr>
            <w:tcW w:w="1440"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475DC0AA" w14:textId="77777777" w:rsidR="005B7046" w:rsidRPr="00CA3E58" w:rsidRDefault="00507E6F" w:rsidP="0001256C">
            <w:pPr>
              <w:jc w:val="both"/>
              <w:rPr>
                <w:rFonts w:ascii="Arial" w:hAnsi="Arial" w:cs="Arial"/>
                <w:sz w:val="16"/>
                <w:szCs w:val="16"/>
              </w:rPr>
            </w:pPr>
            <w:r>
              <w:rPr>
                <w:rFonts w:ascii="Arial" w:hAnsi="Arial" w:cs="Arial"/>
                <w:sz w:val="16"/>
                <w:szCs w:val="16"/>
              </w:rPr>
              <w:t>7,479</w:t>
            </w:r>
            <w:r w:rsidR="005B7046" w:rsidRPr="00CA3E58">
              <w:rPr>
                <w:rFonts w:ascii="Arial" w:hAnsi="Arial" w:cs="Arial"/>
                <w:sz w:val="16"/>
                <w:szCs w:val="16"/>
              </w:rPr>
              <w:t xml:space="preserve"> </w:t>
            </w:r>
          </w:p>
        </w:tc>
        <w:tc>
          <w:tcPr>
            <w:tcW w:w="1752"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72B50715" w14:textId="77777777" w:rsidR="005B7046" w:rsidRPr="00CA3E58" w:rsidRDefault="00507E6F" w:rsidP="0001256C">
            <w:pPr>
              <w:jc w:val="both"/>
              <w:rPr>
                <w:rFonts w:ascii="Arial" w:hAnsi="Arial" w:cs="Arial"/>
                <w:sz w:val="16"/>
                <w:szCs w:val="16"/>
              </w:rPr>
            </w:pPr>
            <w:r>
              <w:rPr>
                <w:rFonts w:ascii="Arial" w:hAnsi="Arial" w:cs="Arial"/>
                <w:sz w:val="16"/>
                <w:szCs w:val="16"/>
              </w:rPr>
              <w:t>831</w:t>
            </w:r>
          </w:p>
        </w:tc>
        <w:tc>
          <w:tcPr>
            <w:tcW w:w="1523" w:type="dxa"/>
            <w:gridSpan w:val="3"/>
            <w:tcBorders>
              <w:top w:val="single" w:sz="4" w:space="0" w:color="auto"/>
              <w:left w:val="nil"/>
              <w:bottom w:val="single" w:sz="4" w:space="0" w:color="auto"/>
              <w:right w:val="single" w:sz="8" w:space="0" w:color="000000"/>
            </w:tcBorders>
            <w:shd w:val="clear" w:color="auto" w:fill="auto"/>
            <w:noWrap/>
            <w:vAlign w:val="bottom"/>
            <w:hideMark/>
          </w:tcPr>
          <w:p w14:paraId="25DD9BDA" w14:textId="77777777" w:rsidR="005B7046" w:rsidRPr="00CA3E58" w:rsidRDefault="00507E6F" w:rsidP="0001256C">
            <w:pPr>
              <w:jc w:val="both"/>
              <w:rPr>
                <w:rFonts w:ascii="Arial" w:hAnsi="Arial" w:cs="Arial"/>
                <w:sz w:val="16"/>
                <w:szCs w:val="16"/>
              </w:rPr>
            </w:pPr>
            <w:r>
              <w:rPr>
                <w:rFonts w:ascii="Arial" w:hAnsi="Arial" w:cs="Arial"/>
                <w:sz w:val="16"/>
                <w:szCs w:val="16"/>
              </w:rPr>
              <w:t>8,310</w:t>
            </w:r>
          </w:p>
        </w:tc>
      </w:tr>
      <w:tr w:rsidR="005B7046" w:rsidRPr="00CA3E58" w14:paraId="12AD8DE9" w14:textId="77777777" w:rsidTr="00507E6F">
        <w:trPr>
          <w:trHeight w:val="450"/>
        </w:trPr>
        <w:tc>
          <w:tcPr>
            <w:tcW w:w="1356" w:type="dxa"/>
            <w:vMerge w:val="restart"/>
            <w:tcBorders>
              <w:top w:val="single" w:sz="4" w:space="0" w:color="auto"/>
              <w:left w:val="single" w:sz="8" w:space="0" w:color="auto"/>
              <w:bottom w:val="single" w:sz="4" w:space="0" w:color="000000"/>
              <w:right w:val="single" w:sz="4" w:space="0" w:color="auto"/>
            </w:tcBorders>
            <w:shd w:val="clear" w:color="auto" w:fill="auto"/>
            <w:vAlign w:val="center"/>
            <w:hideMark/>
          </w:tcPr>
          <w:p w14:paraId="375BB399" w14:textId="77777777" w:rsidR="005B7046" w:rsidRDefault="005B7046" w:rsidP="0001256C">
            <w:pPr>
              <w:jc w:val="both"/>
              <w:rPr>
                <w:rFonts w:ascii="Arial" w:hAnsi="Arial" w:cs="Arial"/>
                <w:b/>
                <w:bCs/>
                <w:sz w:val="16"/>
                <w:szCs w:val="16"/>
              </w:rPr>
            </w:pPr>
          </w:p>
          <w:p w14:paraId="5405C8E0" w14:textId="77777777" w:rsidR="005B7046" w:rsidRDefault="005B7046" w:rsidP="0001256C">
            <w:pPr>
              <w:jc w:val="both"/>
              <w:rPr>
                <w:rFonts w:ascii="Arial" w:hAnsi="Arial" w:cs="Arial"/>
                <w:b/>
                <w:bCs/>
                <w:sz w:val="16"/>
                <w:szCs w:val="16"/>
              </w:rPr>
            </w:pPr>
          </w:p>
          <w:p w14:paraId="7CF82079" w14:textId="77777777" w:rsidR="005B7046" w:rsidRDefault="005B7046" w:rsidP="0001256C">
            <w:pPr>
              <w:jc w:val="both"/>
              <w:rPr>
                <w:rFonts w:ascii="Arial" w:hAnsi="Arial" w:cs="Arial"/>
                <w:b/>
                <w:bCs/>
                <w:sz w:val="16"/>
                <w:szCs w:val="16"/>
              </w:rPr>
            </w:pPr>
          </w:p>
          <w:p w14:paraId="5602BFC3" w14:textId="77777777" w:rsidR="005B7046" w:rsidRPr="00CA3E58" w:rsidRDefault="005B7046" w:rsidP="0001256C">
            <w:pPr>
              <w:jc w:val="both"/>
              <w:rPr>
                <w:rFonts w:ascii="Arial" w:hAnsi="Arial" w:cs="Arial"/>
                <w:b/>
                <w:bCs/>
                <w:sz w:val="16"/>
                <w:szCs w:val="16"/>
              </w:rPr>
            </w:pPr>
            <w:r w:rsidRPr="00CA3E58">
              <w:rPr>
                <w:rFonts w:ascii="Arial" w:hAnsi="Arial" w:cs="Arial"/>
                <w:b/>
                <w:bCs/>
                <w:sz w:val="16"/>
                <w:szCs w:val="16"/>
              </w:rPr>
              <w:t>Program Activity</w:t>
            </w:r>
          </w:p>
        </w:tc>
        <w:tc>
          <w:tcPr>
            <w:tcW w:w="3180" w:type="dxa"/>
            <w:vMerge w:val="restart"/>
            <w:tcBorders>
              <w:top w:val="single" w:sz="4" w:space="0" w:color="auto"/>
              <w:left w:val="single" w:sz="4" w:space="0" w:color="auto"/>
              <w:bottom w:val="single" w:sz="4" w:space="0" w:color="000000"/>
              <w:right w:val="nil"/>
            </w:tcBorders>
            <w:shd w:val="clear" w:color="auto" w:fill="auto"/>
            <w:vAlign w:val="bottom"/>
            <w:hideMark/>
          </w:tcPr>
          <w:p w14:paraId="428374C8" w14:textId="77777777" w:rsidR="005B7046" w:rsidRPr="00CA3E58" w:rsidRDefault="005B7046" w:rsidP="0001256C">
            <w:pPr>
              <w:jc w:val="both"/>
              <w:rPr>
                <w:rFonts w:ascii="Arial" w:hAnsi="Arial" w:cs="Arial"/>
                <w:b/>
                <w:bCs/>
                <w:sz w:val="16"/>
                <w:szCs w:val="16"/>
              </w:rPr>
            </w:pPr>
            <w:r w:rsidRPr="00CA3E58">
              <w:rPr>
                <w:rFonts w:ascii="Arial" w:hAnsi="Arial" w:cs="Arial"/>
                <w:b/>
                <w:bCs/>
                <w:sz w:val="16"/>
                <w:szCs w:val="16"/>
              </w:rPr>
              <w:t>Supporting Law Enforcement by Advancing Community Policing Through Knowledge Resources</w:t>
            </w:r>
          </w:p>
        </w:tc>
        <w:tc>
          <w:tcPr>
            <w:tcW w:w="641" w:type="dxa"/>
            <w:tcBorders>
              <w:top w:val="nil"/>
              <w:left w:val="single" w:sz="8" w:space="0" w:color="auto"/>
              <w:bottom w:val="single" w:sz="4" w:space="0" w:color="auto"/>
              <w:right w:val="single" w:sz="4" w:space="0" w:color="auto"/>
            </w:tcBorders>
            <w:shd w:val="clear" w:color="auto" w:fill="auto"/>
            <w:vAlign w:val="bottom"/>
            <w:hideMark/>
          </w:tcPr>
          <w:p w14:paraId="4823E76F" w14:textId="77777777" w:rsidR="005B7046" w:rsidRPr="00CA3E58" w:rsidRDefault="005B7046" w:rsidP="0001256C">
            <w:pPr>
              <w:jc w:val="both"/>
              <w:rPr>
                <w:rFonts w:ascii="Arial" w:hAnsi="Arial" w:cs="Arial"/>
                <w:b/>
                <w:bCs/>
                <w:sz w:val="16"/>
                <w:szCs w:val="16"/>
              </w:rPr>
            </w:pPr>
            <w:r w:rsidRPr="00CA3E58">
              <w:rPr>
                <w:rFonts w:ascii="Arial" w:hAnsi="Arial" w:cs="Arial"/>
                <w:b/>
                <w:bCs/>
                <w:sz w:val="16"/>
                <w:szCs w:val="16"/>
              </w:rPr>
              <w:t>FTE</w:t>
            </w:r>
          </w:p>
        </w:tc>
        <w:tc>
          <w:tcPr>
            <w:tcW w:w="811" w:type="dxa"/>
            <w:tcBorders>
              <w:top w:val="nil"/>
              <w:left w:val="nil"/>
              <w:bottom w:val="single" w:sz="4" w:space="0" w:color="auto"/>
              <w:right w:val="single" w:sz="4" w:space="0" w:color="auto"/>
            </w:tcBorders>
            <w:shd w:val="clear" w:color="auto" w:fill="auto"/>
            <w:vAlign w:val="bottom"/>
            <w:hideMark/>
          </w:tcPr>
          <w:p w14:paraId="247271CE" w14:textId="77777777" w:rsidR="005B7046" w:rsidRPr="00CA3E58" w:rsidRDefault="005B7046" w:rsidP="0001256C">
            <w:pPr>
              <w:jc w:val="both"/>
              <w:rPr>
                <w:rFonts w:ascii="Arial" w:hAnsi="Arial" w:cs="Arial"/>
                <w:b/>
                <w:bCs/>
                <w:sz w:val="16"/>
                <w:szCs w:val="16"/>
              </w:rPr>
            </w:pPr>
            <w:r w:rsidRPr="00CA3E58">
              <w:rPr>
                <w:rFonts w:ascii="Arial" w:hAnsi="Arial" w:cs="Arial"/>
                <w:b/>
                <w:bCs/>
                <w:sz w:val="16"/>
                <w:szCs w:val="16"/>
              </w:rPr>
              <w:t>$000</w:t>
            </w:r>
          </w:p>
        </w:tc>
        <w:tc>
          <w:tcPr>
            <w:tcW w:w="519" w:type="dxa"/>
            <w:tcBorders>
              <w:top w:val="nil"/>
              <w:left w:val="nil"/>
              <w:bottom w:val="single" w:sz="4" w:space="0" w:color="auto"/>
              <w:right w:val="nil"/>
            </w:tcBorders>
            <w:shd w:val="clear" w:color="000000" w:fill="auto"/>
            <w:noWrap/>
            <w:vAlign w:val="bottom"/>
            <w:hideMark/>
          </w:tcPr>
          <w:p w14:paraId="5584B590" w14:textId="77777777" w:rsidR="005B7046" w:rsidRPr="00CA3E58" w:rsidRDefault="005B7046" w:rsidP="0001256C">
            <w:pPr>
              <w:jc w:val="both"/>
              <w:rPr>
                <w:rFonts w:ascii="Arial" w:hAnsi="Arial" w:cs="Arial"/>
                <w:b/>
                <w:bCs/>
                <w:sz w:val="16"/>
                <w:szCs w:val="16"/>
              </w:rPr>
            </w:pPr>
            <w:r w:rsidRPr="00CA3E58">
              <w:rPr>
                <w:rFonts w:ascii="Arial" w:hAnsi="Arial" w:cs="Arial"/>
                <w:b/>
                <w:bCs/>
                <w:sz w:val="16"/>
                <w:szCs w:val="16"/>
              </w:rPr>
              <w:t>FTE</w:t>
            </w:r>
          </w:p>
        </w:tc>
        <w:tc>
          <w:tcPr>
            <w:tcW w:w="797" w:type="dxa"/>
            <w:tcBorders>
              <w:top w:val="nil"/>
              <w:left w:val="nil"/>
              <w:bottom w:val="single" w:sz="4" w:space="0" w:color="auto"/>
              <w:right w:val="single" w:sz="4" w:space="0" w:color="auto"/>
            </w:tcBorders>
            <w:shd w:val="clear" w:color="000000" w:fill="auto"/>
            <w:vAlign w:val="bottom"/>
            <w:hideMark/>
          </w:tcPr>
          <w:p w14:paraId="5F364B53" w14:textId="77777777" w:rsidR="005B7046" w:rsidRPr="00CA3E58" w:rsidRDefault="005B7046" w:rsidP="0001256C">
            <w:pPr>
              <w:jc w:val="both"/>
              <w:rPr>
                <w:rFonts w:ascii="Arial" w:hAnsi="Arial" w:cs="Arial"/>
                <w:b/>
                <w:bCs/>
                <w:sz w:val="16"/>
                <w:szCs w:val="16"/>
              </w:rPr>
            </w:pPr>
            <w:r w:rsidRPr="00CA3E58">
              <w:rPr>
                <w:rFonts w:ascii="Arial" w:hAnsi="Arial" w:cs="Arial"/>
                <w:b/>
                <w:bCs/>
                <w:sz w:val="16"/>
                <w:szCs w:val="16"/>
              </w:rPr>
              <w:t>$000</w:t>
            </w:r>
          </w:p>
        </w:tc>
        <w:tc>
          <w:tcPr>
            <w:tcW w:w="519" w:type="dxa"/>
            <w:tcBorders>
              <w:top w:val="nil"/>
              <w:left w:val="nil"/>
              <w:bottom w:val="single" w:sz="4" w:space="0" w:color="auto"/>
              <w:right w:val="nil"/>
            </w:tcBorders>
            <w:shd w:val="clear" w:color="auto" w:fill="auto"/>
            <w:noWrap/>
            <w:vAlign w:val="bottom"/>
            <w:hideMark/>
          </w:tcPr>
          <w:p w14:paraId="40F48C37" w14:textId="77777777" w:rsidR="005B7046" w:rsidRPr="00CA3E58" w:rsidRDefault="005B7046" w:rsidP="0001256C">
            <w:pPr>
              <w:jc w:val="both"/>
              <w:rPr>
                <w:rFonts w:ascii="Arial" w:hAnsi="Arial" w:cs="Arial"/>
                <w:b/>
                <w:bCs/>
                <w:sz w:val="16"/>
                <w:szCs w:val="16"/>
              </w:rPr>
            </w:pPr>
            <w:r w:rsidRPr="00CA3E58">
              <w:rPr>
                <w:rFonts w:ascii="Arial" w:hAnsi="Arial" w:cs="Arial"/>
                <w:b/>
                <w:bCs/>
                <w:sz w:val="16"/>
                <w:szCs w:val="16"/>
              </w:rPr>
              <w:t>FTE</w:t>
            </w:r>
          </w:p>
        </w:tc>
        <w:tc>
          <w:tcPr>
            <w:tcW w:w="921" w:type="dxa"/>
            <w:tcBorders>
              <w:top w:val="nil"/>
              <w:left w:val="nil"/>
              <w:bottom w:val="single" w:sz="4" w:space="0" w:color="auto"/>
              <w:right w:val="single" w:sz="4" w:space="0" w:color="auto"/>
            </w:tcBorders>
            <w:shd w:val="clear" w:color="auto" w:fill="auto"/>
            <w:vAlign w:val="bottom"/>
            <w:hideMark/>
          </w:tcPr>
          <w:p w14:paraId="00B3E463" w14:textId="77777777" w:rsidR="005B7046" w:rsidRPr="00CA3E58" w:rsidRDefault="005B7046" w:rsidP="0001256C">
            <w:pPr>
              <w:jc w:val="both"/>
              <w:rPr>
                <w:rFonts w:ascii="Arial" w:hAnsi="Arial" w:cs="Arial"/>
                <w:b/>
                <w:bCs/>
                <w:sz w:val="16"/>
                <w:szCs w:val="16"/>
              </w:rPr>
            </w:pPr>
            <w:r w:rsidRPr="00CA3E58">
              <w:rPr>
                <w:rFonts w:ascii="Arial" w:hAnsi="Arial" w:cs="Arial"/>
                <w:b/>
                <w:bCs/>
                <w:sz w:val="16"/>
                <w:szCs w:val="16"/>
              </w:rPr>
              <w:t>$000</w:t>
            </w:r>
          </w:p>
        </w:tc>
        <w:tc>
          <w:tcPr>
            <w:tcW w:w="519" w:type="dxa"/>
            <w:tcBorders>
              <w:top w:val="nil"/>
              <w:left w:val="nil"/>
              <w:bottom w:val="single" w:sz="4" w:space="0" w:color="auto"/>
              <w:right w:val="single" w:sz="4" w:space="0" w:color="auto"/>
            </w:tcBorders>
            <w:shd w:val="clear" w:color="auto" w:fill="auto"/>
            <w:noWrap/>
            <w:vAlign w:val="bottom"/>
            <w:hideMark/>
          </w:tcPr>
          <w:p w14:paraId="104D6B9B" w14:textId="77777777" w:rsidR="005B7046" w:rsidRPr="00CA3E58" w:rsidRDefault="005B7046" w:rsidP="0001256C">
            <w:pPr>
              <w:jc w:val="both"/>
              <w:rPr>
                <w:rFonts w:ascii="Arial" w:hAnsi="Arial" w:cs="Arial"/>
                <w:b/>
                <w:bCs/>
                <w:sz w:val="16"/>
                <w:szCs w:val="16"/>
              </w:rPr>
            </w:pPr>
            <w:r w:rsidRPr="00CA3E58">
              <w:rPr>
                <w:rFonts w:ascii="Arial" w:hAnsi="Arial" w:cs="Arial"/>
                <w:b/>
                <w:bCs/>
                <w:sz w:val="16"/>
                <w:szCs w:val="16"/>
              </w:rPr>
              <w:t xml:space="preserve">FTE </w:t>
            </w:r>
          </w:p>
        </w:tc>
        <w:tc>
          <w:tcPr>
            <w:tcW w:w="1233" w:type="dxa"/>
            <w:tcBorders>
              <w:top w:val="nil"/>
              <w:left w:val="nil"/>
              <w:bottom w:val="single" w:sz="4" w:space="0" w:color="auto"/>
              <w:right w:val="single" w:sz="4" w:space="0" w:color="auto"/>
            </w:tcBorders>
            <w:shd w:val="clear" w:color="auto" w:fill="auto"/>
            <w:vAlign w:val="bottom"/>
            <w:hideMark/>
          </w:tcPr>
          <w:p w14:paraId="0525D149" w14:textId="77777777" w:rsidR="005B7046" w:rsidRPr="00CA3E58" w:rsidRDefault="005B7046" w:rsidP="0001256C">
            <w:pPr>
              <w:jc w:val="both"/>
              <w:rPr>
                <w:rFonts w:ascii="Arial" w:hAnsi="Arial" w:cs="Arial"/>
                <w:b/>
                <w:bCs/>
                <w:sz w:val="16"/>
                <w:szCs w:val="16"/>
              </w:rPr>
            </w:pPr>
            <w:r w:rsidRPr="00CA3E58">
              <w:rPr>
                <w:rFonts w:ascii="Arial" w:hAnsi="Arial" w:cs="Arial"/>
                <w:b/>
                <w:bCs/>
                <w:sz w:val="16"/>
                <w:szCs w:val="16"/>
              </w:rPr>
              <w:t>$000</w:t>
            </w:r>
          </w:p>
        </w:tc>
        <w:tc>
          <w:tcPr>
            <w:tcW w:w="519" w:type="dxa"/>
            <w:tcBorders>
              <w:top w:val="nil"/>
              <w:left w:val="nil"/>
              <w:bottom w:val="single" w:sz="4" w:space="0" w:color="auto"/>
              <w:right w:val="nil"/>
            </w:tcBorders>
            <w:shd w:val="clear" w:color="auto" w:fill="auto"/>
            <w:noWrap/>
            <w:vAlign w:val="bottom"/>
            <w:hideMark/>
          </w:tcPr>
          <w:p w14:paraId="16DA9070" w14:textId="77777777" w:rsidR="005B7046" w:rsidRPr="00CA3E58" w:rsidRDefault="005B7046" w:rsidP="0001256C">
            <w:pPr>
              <w:jc w:val="both"/>
              <w:rPr>
                <w:rFonts w:ascii="Arial" w:hAnsi="Arial" w:cs="Arial"/>
                <w:b/>
                <w:bCs/>
                <w:sz w:val="16"/>
                <w:szCs w:val="16"/>
              </w:rPr>
            </w:pPr>
            <w:r w:rsidRPr="00CA3E58">
              <w:rPr>
                <w:rFonts w:ascii="Arial" w:hAnsi="Arial" w:cs="Arial"/>
                <w:b/>
                <w:bCs/>
                <w:sz w:val="16"/>
                <w:szCs w:val="16"/>
              </w:rPr>
              <w:t>FTE</w:t>
            </w:r>
          </w:p>
        </w:tc>
        <w:tc>
          <w:tcPr>
            <w:tcW w:w="1004" w:type="dxa"/>
            <w:gridSpan w:val="2"/>
            <w:tcBorders>
              <w:top w:val="nil"/>
              <w:left w:val="nil"/>
              <w:bottom w:val="single" w:sz="4" w:space="0" w:color="auto"/>
              <w:right w:val="single" w:sz="8" w:space="0" w:color="auto"/>
            </w:tcBorders>
            <w:shd w:val="clear" w:color="auto" w:fill="auto"/>
            <w:vAlign w:val="bottom"/>
            <w:hideMark/>
          </w:tcPr>
          <w:p w14:paraId="59E3C947" w14:textId="77777777" w:rsidR="005B7046" w:rsidRPr="00CA3E58" w:rsidRDefault="005B7046" w:rsidP="0001256C">
            <w:pPr>
              <w:jc w:val="both"/>
              <w:rPr>
                <w:rFonts w:ascii="Arial" w:hAnsi="Arial" w:cs="Arial"/>
                <w:b/>
                <w:bCs/>
                <w:sz w:val="16"/>
                <w:szCs w:val="16"/>
              </w:rPr>
            </w:pPr>
            <w:r w:rsidRPr="00CA3E58">
              <w:rPr>
                <w:rFonts w:ascii="Arial" w:hAnsi="Arial" w:cs="Arial"/>
                <w:b/>
                <w:bCs/>
                <w:sz w:val="16"/>
                <w:szCs w:val="16"/>
              </w:rPr>
              <w:t>$000</w:t>
            </w:r>
          </w:p>
        </w:tc>
      </w:tr>
      <w:tr w:rsidR="005B7046" w:rsidRPr="00CA3E58" w14:paraId="2CDEB217" w14:textId="77777777" w:rsidTr="00507E6F">
        <w:trPr>
          <w:trHeight w:val="735"/>
        </w:trPr>
        <w:tc>
          <w:tcPr>
            <w:tcW w:w="1356" w:type="dxa"/>
            <w:vMerge/>
            <w:tcBorders>
              <w:top w:val="single" w:sz="4" w:space="0" w:color="auto"/>
              <w:left w:val="single" w:sz="8" w:space="0" w:color="auto"/>
              <w:bottom w:val="single" w:sz="4" w:space="0" w:color="000000"/>
              <w:right w:val="single" w:sz="4" w:space="0" w:color="auto"/>
            </w:tcBorders>
            <w:vAlign w:val="center"/>
            <w:hideMark/>
          </w:tcPr>
          <w:p w14:paraId="2729EF06" w14:textId="77777777" w:rsidR="005B7046" w:rsidRPr="00CA3E58" w:rsidRDefault="005B7046" w:rsidP="0001256C">
            <w:pPr>
              <w:jc w:val="both"/>
              <w:rPr>
                <w:rFonts w:ascii="Arial" w:hAnsi="Arial" w:cs="Arial"/>
                <w:b/>
                <w:bCs/>
                <w:sz w:val="16"/>
                <w:szCs w:val="16"/>
              </w:rPr>
            </w:pPr>
          </w:p>
        </w:tc>
        <w:tc>
          <w:tcPr>
            <w:tcW w:w="3180" w:type="dxa"/>
            <w:vMerge/>
            <w:tcBorders>
              <w:top w:val="single" w:sz="4" w:space="0" w:color="auto"/>
              <w:left w:val="single" w:sz="4" w:space="0" w:color="auto"/>
              <w:bottom w:val="single" w:sz="4" w:space="0" w:color="000000"/>
              <w:right w:val="nil"/>
            </w:tcBorders>
            <w:vAlign w:val="center"/>
            <w:hideMark/>
          </w:tcPr>
          <w:p w14:paraId="0EC388AF" w14:textId="77777777" w:rsidR="005B7046" w:rsidRPr="00CA3E58" w:rsidRDefault="005B7046" w:rsidP="0001256C">
            <w:pPr>
              <w:jc w:val="both"/>
              <w:rPr>
                <w:rFonts w:ascii="Arial" w:hAnsi="Arial" w:cs="Arial"/>
                <w:b/>
                <w:bCs/>
                <w:sz w:val="16"/>
                <w:szCs w:val="16"/>
              </w:rPr>
            </w:pPr>
          </w:p>
        </w:tc>
        <w:tc>
          <w:tcPr>
            <w:tcW w:w="641" w:type="dxa"/>
            <w:tcBorders>
              <w:top w:val="nil"/>
              <w:left w:val="single" w:sz="8" w:space="0" w:color="auto"/>
              <w:bottom w:val="single" w:sz="4" w:space="0" w:color="auto"/>
              <w:right w:val="nil"/>
            </w:tcBorders>
            <w:shd w:val="clear" w:color="auto" w:fill="auto"/>
            <w:noWrap/>
            <w:vAlign w:val="bottom"/>
            <w:hideMark/>
          </w:tcPr>
          <w:p w14:paraId="7E5F4A55" w14:textId="77777777" w:rsidR="005B7046" w:rsidRPr="00CA3E58" w:rsidRDefault="005B7046" w:rsidP="0001256C">
            <w:pPr>
              <w:jc w:val="both"/>
              <w:rPr>
                <w:rFonts w:ascii="Arial" w:hAnsi="Arial" w:cs="Arial"/>
                <w:sz w:val="16"/>
                <w:szCs w:val="16"/>
              </w:rPr>
            </w:pPr>
            <w:r w:rsidRPr="00CA3E58">
              <w:rPr>
                <w:rFonts w:ascii="Arial" w:hAnsi="Arial" w:cs="Arial"/>
                <w:sz w:val="16"/>
                <w:szCs w:val="16"/>
              </w:rPr>
              <w:t> </w:t>
            </w:r>
            <w:r>
              <w:rPr>
                <w:rFonts w:ascii="Arial" w:hAnsi="Arial" w:cs="Arial"/>
                <w:sz w:val="16"/>
                <w:szCs w:val="16"/>
              </w:rPr>
              <w:t>55</w:t>
            </w:r>
          </w:p>
        </w:tc>
        <w:tc>
          <w:tcPr>
            <w:tcW w:w="811" w:type="dxa"/>
            <w:tcBorders>
              <w:top w:val="nil"/>
              <w:left w:val="single" w:sz="4" w:space="0" w:color="auto"/>
              <w:bottom w:val="single" w:sz="4" w:space="0" w:color="auto"/>
              <w:right w:val="single" w:sz="4" w:space="0" w:color="auto"/>
            </w:tcBorders>
            <w:shd w:val="clear" w:color="auto" w:fill="auto"/>
            <w:noWrap/>
            <w:vAlign w:val="bottom"/>
            <w:hideMark/>
          </w:tcPr>
          <w:p w14:paraId="28B397E4" w14:textId="77777777" w:rsidR="005B7046" w:rsidRPr="00CA3E58" w:rsidRDefault="005B7046" w:rsidP="0001256C">
            <w:pPr>
              <w:jc w:val="both"/>
              <w:rPr>
                <w:rFonts w:ascii="Arial" w:hAnsi="Arial" w:cs="Arial"/>
                <w:sz w:val="16"/>
                <w:szCs w:val="16"/>
              </w:rPr>
            </w:pPr>
            <w:r>
              <w:rPr>
                <w:rFonts w:ascii="Arial" w:hAnsi="Arial" w:cs="Arial"/>
                <w:sz w:val="16"/>
                <w:szCs w:val="16"/>
              </w:rPr>
              <w:t>22,211</w:t>
            </w:r>
          </w:p>
        </w:tc>
        <w:tc>
          <w:tcPr>
            <w:tcW w:w="519" w:type="dxa"/>
            <w:tcBorders>
              <w:top w:val="nil"/>
              <w:left w:val="nil"/>
              <w:bottom w:val="single" w:sz="4" w:space="0" w:color="auto"/>
              <w:right w:val="nil"/>
            </w:tcBorders>
            <w:shd w:val="clear" w:color="000000" w:fill="auto"/>
            <w:noWrap/>
            <w:vAlign w:val="bottom"/>
            <w:hideMark/>
          </w:tcPr>
          <w:p w14:paraId="0CD6C6CB" w14:textId="77777777" w:rsidR="005B7046" w:rsidRPr="00CA3E58" w:rsidRDefault="00634954" w:rsidP="0001256C">
            <w:pPr>
              <w:jc w:val="both"/>
              <w:rPr>
                <w:rFonts w:ascii="Arial" w:hAnsi="Arial" w:cs="Arial"/>
                <w:sz w:val="16"/>
                <w:szCs w:val="16"/>
              </w:rPr>
            </w:pPr>
            <w:r>
              <w:rPr>
                <w:rFonts w:ascii="Arial" w:hAnsi="Arial" w:cs="Arial"/>
                <w:sz w:val="16"/>
                <w:szCs w:val="16"/>
              </w:rPr>
              <w:t>42</w:t>
            </w:r>
          </w:p>
        </w:tc>
        <w:tc>
          <w:tcPr>
            <w:tcW w:w="797" w:type="dxa"/>
            <w:tcBorders>
              <w:top w:val="nil"/>
              <w:left w:val="single" w:sz="4" w:space="0" w:color="auto"/>
              <w:bottom w:val="single" w:sz="4" w:space="0" w:color="auto"/>
              <w:right w:val="single" w:sz="4" w:space="0" w:color="auto"/>
            </w:tcBorders>
            <w:shd w:val="clear" w:color="000000" w:fill="auto"/>
            <w:noWrap/>
            <w:vAlign w:val="bottom"/>
            <w:hideMark/>
          </w:tcPr>
          <w:p w14:paraId="26951FBB" w14:textId="77777777" w:rsidR="005B7046" w:rsidRPr="00CA3E58" w:rsidRDefault="005B7046" w:rsidP="0001256C">
            <w:pPr>
              <w:jc w:val="both"/>
              <w:rPr>
                <w:rFonts w:ascii="Arial" w:hAnsi="Arial" w:cs="Arial"/>
                <w:sz w:val="16"/>
                <w:szCs w:val="16"/>
              </w:rPr>
            </w:pPr>
            <w:r>
              <w:rPr>
                <w:rFonts w:ascii="Arial" w:hAnsi="Arial" w:cs="Arial"/>
                <w:sz w:val="16"/>
                <w:szCs w:val="16"/>
              </w:rPr>
              <w:t>22,211</w:t>
            </w:r>
          </w:p>
        </w:tc>
        <w:tc>
          <w:tcPr>
            <w:tcW w:w="519" w:type="dxa"/>
            <w:tcBorders>
              <w:top w:val="nil"/>
              <w:left w:val="nil"/>
              <w:bottom w:val="single" w:sz="4" w:space="0" w:color="auto"/>
              <w:right w:val="single" w:sz="4" w:space="0" w:color="auto"/>
            </w:tcBorders>
            <w:shd w:val="clear" w:color="auto" w:fill="auto"/>
            <w:noWrap/>
            <w:vAlign w:val="bottom"/>
            <w:hideMark/>
          </w:tcPr>
          <w:p w14:paraId="41EF1570" w14:textId="77777777" w:rsidR="005B7046" w:rsidRPr="00CA3E58" w:rsidRDefault="005B7046" w:rsidP="0001256C">
            <w:pPr>
              <w:jc w:val="both"/>
              <w:rPr>
                <w:rFonts w:ascii="Arial" w:hAnsi="Arial" w:cs="Arial"/>
                <w:sz w:val="16"/>
                <w:szCs w:val="16"/>
              </w:rPr>
            </w:pPr>
            <w:r w:rsidRPr="00CA3E58">
              <w:rPr>
                <w:rFonts w:ascii="Arial" w:hAnsi="Arial" w:cs="Arial"/>
                <w:sz w:val="16"/>
                <w:szCs w:val="16"/>
              </w:rPr>
              <w:t> </w:t>
            </w:r>
            <w:r w:rsidR="00634954">
              <w:rPr>
                <w:rFonts w:ascii="Arial" w:hAnsi="Arial" w:cs="Arial"/>
                <w:sz w:val="16"/>
                <w:szCs w:val="16"/>
              </w:rPr>
              <w:t>42</w:t>
            </w:r>
          </w:p>
        </w:tc>
        <w:tc>
          <w:tcPr>
            <w:tcW w:w="921" w:type="dxa"/>
            <w:tcBorders>
              <w:top w:val="nil"/>
              <w:left w:val="nil"/>
              <w:bottom w:val="single" w:sz="4" w:space="0" w:color="auto"/>
              <w:right w:val="single" w:sz="4" w:space="0" w:color="auto"/>
            </w:tcBorders>
            <w:shd w:val="clear" w:color="auto" w:fill="auto"/>
            <w:noWrap/>
            <w:vAlign w:val="bottom"/>
            <w:hideMark/>
          </w:tcPr>
          <w:p w14:paraId="0C162EA0" w14:textId="77777777" w:rsidR="005B7046" w:rsidRPr="00CA3E58" w:rsidRDefault="00376C11" w:rsidP="0001256C">
            <w:pPr>
              <w:jc w:val="both"/>
              <w:rPr>
                <w:rFonts w:ascii="Arial" w:hAnsi="Arial" w:cs="Arial"/>
                <w:sz w:val="16"/>
                <w:szCs w:val="16"/>
              </w:rPr>
            </w:pPr>
            <w:r>
              <w:rPr>
                <w:rFonts w:ascii="Arial" w:hAnsi="Arial" w:cs="Arial"/>
                <w:sz w:val="16"/>
                <w:szCs w:val="16"/>
              </w:rPr>
              <w:t>22,211</w:t>
            </w:r>
          </w:p>
        </w:tc>
        <w:tc>
          <w:tcPr>
            <w:tcW w:w="519" w:type="dxa"/>
            <w:tcBorders>
              <w:top w:val="nil"/>
              <w:left w:val="nil"/>
              <w:bottom w:val="single" w:sz="4" w:space="0" w:color="auto"/>
              <w:right w:val="single" w:sz="4" w:space="0" w:color="auto"/>
            </w:tcBorders>
            <w:shd w:val="clear" w:color="auto" w:fill="auto"/>
            <w:noWrap/>
            <w:vAlign w:val="bottom"/>
            <w:hideMark/>
          </w:tcPr>
          <w:p w14:paraId="4A0767CC" w14:textId="77777777" w:rsidR="005B7046" w:rsidRPr="00CA3E58" w:rsidRDefault="00634954" w:rsidP="0001256C">
            <w:pPr>
              <w:jc w:val="both"/>
              <w:rPr>
                <w:rFonts w:ascii="Arial" w:hAnsi="Arial" w:cs="Arial"/>
                <w:sz w:val="16"/>
                <w:szCs w:val="16"/>
              </w:rPr>
            </w:pPr>
            <w:r>
              <w:rPr>
                <w:rFonts w:ascii="Arial" w:hAnsi="Arial" w:cs="Arial"/>
                <w:sz w:val="16"/>
                <w:szCs w:val="16"/>
              </w:rPr>
              <w:t>(25)</w:t>
            </w:r>
          </w:p>
        </w:tc>
        <w:tc>
          <w:tcPr>
            <w:tcW w:w="1233" w:type="dxa"/>
            <w:tcBorders>
              <w:top w:val="nil"/>
              <w:left w:val="nil"/>
              <w:bottom w:val="single" w:sz="4" w:space="0" w:color="auto"/>
              <w:right w:val="single" w:sz="4" w:space="0" w:color="auto"/>
            </w:tcBorders>
            <w:shd w:val="clear" w:color="auto" w:fill="auto"/>
            <w:noWrap/>
            <w:vAlign w:val="bottom"/>
            <w:hideMark/>
          </w:tcPr>
          <w:p w14:paraId="1925D561" w14:textId="77777777" w:rsidR="005B7046" w:rsidRPr="00CA3E58" w:rsidRDefault="00376C11" w:rsidP="0001256C">
            <w:pPr>
              <w:jc w:val="both"/>
              <w:rPr>
                <w:rFonts w:ascii="Arial" w:hAnsi="Arial" w:cs="Arial"/>
                <w:sz w:val="16"/>
                <w:szCs w:val="16"/>
              </w:rPr>
            </w:pPr>
            <w:r>
              <w:rPr>
                <w:rFonts w:ascii="Arial" w:hAnsi="Arial" w:cs="Arial"/>
                <w:sz w:val="16"/>
                <w:szCs w:val="16"/>
              </w:rPr>
              <w:t>32,813</w:t>
            </w:r>
          </w:p>
        </w:tc>
        <w:tc>
          <w:tcPr>
            <w:tcW w:w="519" w:type="dxa"/>
            <w:tcBorders>
              <w:top w:val="nil"/>
              <w:left w:val="nil"/>
              <w:bottom w:val="single" w:sz="4" w:space="0" w:color="auto"/>
              <w:right w:val="nil"/>
            </w:tcBorders>
            <w:shd w:val="clear" w:color="auto" w:fill="auto"/>
            <w:noWrap/>
            <w:vAlign w:val="bottom"/>
            <w:hideMark/>
          </w:tcPr>
          <w:p w14:paraId="5B779CAA" w14:textId="77777777" w:rsidR="005B7046" w:rsidRPr="00CA3E58" w:rsidRDefault="005B7046" w:rsidP="0001256C">
            <w:pPr>
              <w:jc w:val="both"/>
              <w:rPr>
                <w:rFonts w:ascii="Arial" w:hAnsi="Arial" w:cs="Arial"/>
                <w:sz w:val="16"/>
                <w:szCs w:val="16"/>
              </w:rPr>
            </w:pPr>
            <w:r w:rsidRPr="00CA3E58">
              <w:rPr>
                <w:rFonts w:ascii="Arial" w:hAnsi="Arial" w:cs="Arial"/>
                <w:sz w:val="16"/>
                <w:szCs w:val="16"/>
              </w:rPr>
              <w:t> </w:t>
            </w:r>
            <w:r w:rsidR="00634954">
              <w:rPr>
                <w:rFonts w:ascii="Arial" w:hAnsi="Arial" w:cs="Arial"/>
                <w:sz w:val="16"/>
                <w:szCs w:val="16"/>
              </w:rPr>
              <w:t>17</w:t>
            </w:r>
          </w:p>
        </w:tc>
        <w:tc>
          <w:tcPr>
            <w:tcW w:w="1004" w:type="dxa"/>
            <w:gridSpan w:val="2"/>
            <w:tcBorders>
              <w:top w:val="nil"/>
              <w:left w:val="single" w:sz="4" w:space="0" w:color="auto"/>
              <w:bottom w:val="single" w:sz="4" w:space="0" w:color="auto"/>
              <w:right w:val="single" w:sz="8" w:space="0" w:color="auto"/>
            </w:tcBorders>
            <w:shd w:val="clear" w:color="auto" w:fill="auto"/>
            <w:noWrap/>
            <w:vAlign w:val="bottom"/>
            <w:hideMark/>
          </w:tcPr>
          <w:p w14:paraId="16C208F7" w14:textId="77777777" w:rsidR="005B7046" w:rsidRPr="00CA3E58" w:rsidRDefault="00376C11" w:rsidP="0001256C">
            <w:pPr>
              <w:jc w:val="both"/>
              <w:rPr>
                <w:rFonts w:ascii="Arial" w:hAnsi="Arial" w:cs="Arial"/>
                <w:sz w:val="16"/>
                <w:szCs w:val="16"/>
              </w:rPr>
            </w:pPr>
            <w:r>
              <w:rPr>
                <w:rFonts w:ascii="Arial" w:hAnsi="Arial" w:cs="Arial"/>
                <w:sz w:val="16"/>
                <w:szCs w:val="16"/>
              </w:rPr>
              <w:t>55,024</w:t>
            </w:r>
          </w:p>
        </w:tc>
      </w:tr>
      <w:tr w:rsidR="005B7046" w:rsidRPr="00CA3E58" w14:paraId="04A714B8" w14:textId="77777777" w:rsidTr="00507E6F">
        <w:trPr>
          <w:trHeight w:val="917"/>
        </w:trPr>
        <w:tc>
          <w:tcPr>
            <w:tcW w:w="1356" w:type="dxa"/>
            <w:tcBorders>
              <w:top w:val="nil"/>
              <w:left w:val="single" w:sz="8" w:space="0" w:color="auto"/>
              <w:bottom w:val="single" w:sz="8" w:space="0" w:color="auto"/>
              <w:right w:val="single" w:sz="8" w:space="0" w:color="auto"/>
            </w:tcBorders>
            <w:shd w:val="clear" w:color="auto" w:fill="auto"/>
            <w:vAlign w:val="bottom"/>
            <w:hideMark/>
          </w:tcPr>
          <w:p w14:paraId="7662E555" w14:textId="77777777" w:rsidR="005B7046" w:rsidRPr="00CA3E58" w:rsidRDefault="005B7046" w:rsidP="0001256C">
            <w:pPr>
              <w:jc w:val="both"/>
              <w:rPr>
                <w:rFonts w:ascii="Arial" w:hAnsi="Arial" w:cs="Arial"/>
                <w:b/>
                <w:bCs/>
                <w:sz w:val="18"/>
                <w:szCs w:val="18"/>
              </w:rPr>
            </w:pPr>
            <w:r w:rsidRPr="00CA3E58">
              <w:rPr>
                <w:rFonts w:ascii="Arial" w:hAnsi="Arial" w:cs="Arial"/>
                <w:b/>
                <w:bCs/>
                <w:sz w:val="18"/>
                <w:szCs w:val="18"/>
              </w:rPr>
              <w:t>OUTCOME</w:t>
            </w:r>
          </w:p>
        </w:tc>
        <w:tc>
          <w:tcPr>
            <w:tcW w:w="3180" w:type="dxa"/>
            <w:tcBorders>
              <w:top w:val="nil"/>
              <w:left w:val="nil"/>
              <w:bottom w:val="single" w:sz="8" w:space="0" w:color="auto"/>
              <w:right w:val="single" w:sz="8" w:space="0" w:color="auto"/>
            </w:tcBorders>
            <w:shd w:val="clear" w:color="auto" w:fill="auto"/>
            <w:vAlign w:val="bottom"/>
            <w:hideMark/>
          </w:tcPr>
          <w:p w14:paraId="4B04EAEF" w14:textId="77777777" w:rsidR="005B7046" w:rsidRPr="00CA3E58" w:rsidRDefault="005B7046" w:rsidP="0001256C">
            <w:pPr>
              <w:jc w:val="both"/>
              <w:rPr>
                <w:rFonts w:ascii="Arial" w:hAnsi="Arial" w:cs="Arial"/>
                <w:sz w:val="18"/>
                <w:szCs w:val="18"/>
              </w:rPr>
            </w:pPr>
            <w:r w:rsidRPr="00CA3E58">
              <w:rPr>
                <w:rFonts w:ascii="Arial" w:hAnsi="Arial" w:cs="Arial"/>
                <w:sz w:val="18"/>
                <w:szCs w:val="18"/>
              </w:rPr>
              <w:t>Effectiveness rating of COPS knowledge resources (e.g., training, publications) in increasing community policing capacity</w:t>
            </w:r>
          </w:p>
        </w:tc>
        <w:tc>
          <w:tcPr>
            <w:tcW w:w="1452"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16B5B2CF" w14:textId="77777777" w:rsidR="005B7046" w:rsidRPr="00CA3E58" w:rsidRDefault="005B7046" w:rsidP="0001256C">
            <w:pPr>
              <w:jc w:val="both"/>
              <w:rPr>
                <w:rFonts w:ascii="Arial" w:hAnsi="Arial" w:cs="Arial"/>
                <w:sz w:val="16"/>
                <w:szCs w:val="16"/>
              </w:rPr>
            </w:pPr>
            <w:r w:rsidRPr="00CA3E58">
              <w:rPr>
                <w:rFonts w:ascii="Arial" w:hAnsi="Arial" w:cs="Arial"/>
                <w:sz w:val="16"/>
                <w:szCs w:val="16"/>
              </w:rPr>
              <w:t>76</w:t>
            </w:r>
          </w:p>
        </w:tc>
        <w:tc>
          <w:tcPr>
            <w:tcW w:w="1316" w:type="dxa"/>
            <w:gridSpan w:val="2"/>
            <w:tcBorders>
              <w:top w:val="single" w:sz="4" w:space="0" w:color="auto"/>
              <w:left w:val="nil"/>
              <w:bottom w:val="single" w:sz="4" w:space="0" w:color="auto"/>
              <w:right w:val="single" w:sz="4" w:space="0" w:color="000000"/>
            </w:tcBorders>
            <w:shd w:val="clear" w:color="000000" w:fill="auto"/>
            <w:noWrap/>
            <w:vAlign w:val="bottom"/>
            <w:hideMark/>
          </w:tcPr>
          <w:p w14:paraId="53997CD3" w14:textId="77777777" w:rsidR="005B7046" w:rsidRPr="00CA3E58" w:rsidRDefault="005B7046" w:rsidP="0001256C">
            <w:pPr>
              <w:jc w:val="both"/>
              <w:rPr>
                <w:rFonts w:ascii="Arial" w:hAnsi="Arial" w:cs="Arial"/>
                <w:sz w:val="16"/>
                <w:szCs w:val="16"/>
              </w:rPr>
            </w:pPr>
            <w:r>
              <w:rPr>
                <w:rFonts w:ascii="Arial" w:hAnsi="Arial" w:cs="Arial"/>
                <w:sz w:val="16"/>
                <w:szCs w:val="16"/>
              </w:rPr>
              <w:t>81.0</w:t>
            </w:r>
          </w:p>
        </w:tc>
        <w:tc>
          <w:tcPr>
            <w:tcW w:w="1440" w:type="dxa"/>
            <w:gridSpan w:val="2"/>
            <w:tcBorders>
              <w:top w:val="single" w:sz="4" w:space="0" w:color="auto"/>
              <w:left w:val="nil"/>
              <w:bottom w:val="single" w:sz="4" w:space="0" w:color="auto"/>
              <w:right w:val="single" w:sz="4" w:space="0" w:color="000000"/>
            </w:tcBorders>
            <w:shd w:val="clear" w:color="auto" w:fill="auto"/>
            <w:vAlign w:val="bottom"/>
            <w:hideMark/>
          </w:tcPr>
          <w:p w14:paraId="42568B63" w14:textId="77777777" w:rsidR="005B7046" w:rsidRPr="00CA3E58" w:rsidRDefault="005B7046" w:rsidP="0001256C">
            <w:pPr>
              <w:jc w:val="both"/>
              <w:rPr>
                <w:rFonts w:ascii="Arial" w:hAnsi="Arial" w:cs="Arial"/>
                <w:sz w:val="16"/>
                <w:szCs w:val="16"/>
              </w:rPr>
            </w:pPr>
            <w:r w:rsidRPr="00DB5758">
              <w:rPr>
                <w:rFonts w:ascii="Arial" w:hAnsi="Arial" w:cs="Arial"/>
                <w:sz w:val="16"/>
                <w:szCs w:val="16"/>
              </w:rPr>
              <w:t>Discontinued     in FY13</w:t>
            </w:r>
          </w:p>
        </w:tc>
        <w:tc>
          <w:tcPr>
            <w:tcW w:w="1752"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0D2E1B8D" w14:textId="77777777" w:rsidR="005B7046" w:rsidRPr="00CA3E58" w:rsidRDefault="005B7046" w:rsidP="0001256C">
            <w:pPr>
              <w:jc w:val="both"/>
              <w:rPr>
                <w:rFonts w:ascii="Arial" w:hAnsi="Arial" w:cs="Arial"/>
                <w:sz w:val="16"/>
                <w:szCs w:val="16"/>
              </w:rPr>
            </w:pPr>
            <w:r w:rsidRPr="00CA3E58">
              <w:rPr>
                <w:rFonts w:ascii="Arial" w:hAnsi="Arial" w:cs="Arial"/>
                <w:sz w:val="16"/>
                <w:szCs w:val="16"/>
              </w:rPr>
              <w:t xml:space="preserve">Discontinued </w:t>
            </w:r>
            <w:r>
              <w:rPr>
                <w:rFonts w:ascii="Arial" w:hAnsi="Arial" w:cs="Arial"/>
                <w:sz w:val="16"/>
                <w:szCs w:val="16"/>
              </w:rPr>
              <w:t xml:space="preserve">                  </w:t>
            </w:r>
            <w:r w:rsidRPr="00CA3E58">
              <w:rPr>
                <w:rFonts w:ascii="Arial" w:hAnsi="Arial" w:cs="Arial"/>
                <w:sz w:val="16"/>
                <w:szCs w:val="16"/>
              </w:rPr>
              <w:t>in FY13</w:t>
            </w:r>
          </w:p>
        </w:tc>
        <w:tc>
          <w:tcPr>
            <w:tcW w:w="1523" w:type="dxa"/>
            <w:gridSpan w:val="3"/>
            <w:tcBorders>
              <w:top w:val="single" w:sz="4" w:space="0" w:color="auto"/>
              <w:left w:val="nil"/>
              <w:bottom w:val="single" w:sz="4" w:space="0" w:color="auto"/>
              <w:right w:val="single" w:sz="8" w:space="0" w:color="000000"/>
            </w:tcBorders>
            <w:shd w:val="clear" w:color="auto" w:fill="auto"/>
            <w:vAlign w:val="bottom"/>
            <w:hideMark/>
          </w:tcPr>
          <w:p w14:paraId="3CE3A7BF" w14:textId="77777777" w:rsidR="005B7046" w:rsidRPr="00CA3E58" w:rsidRDefault="005B7046" w:rsidP="0001256C">
            <w:pPr>
              <w:jc w:val="both"/>
              <w:rPr>
                <w:rFonts w:ascii="Arial" w:hAnsi="Arial" w:cs="Arial"/>
                <w:sz w:val="16"/>
                <w:szCs w:val="16"/>
              </w:rPr>
            </w:pPr>
            <w:r w:rsidRPr="00CA3E58">
              <w:rPr>
                <w:rFonts w:ascii="Arial" w:hAnsi="Arial" w:cs="Arial"/>
                <w:sz w:val="16"/>
                <w:szCs w:val="16"/>
              </w:rPr>
              <w:t>Discontinued</w:t>
            </w:r>
            <w:r>
              <w:rPr>
                <w:rFonts w:ascii="Arial" w:hAnsi="Arial" w:cs="Arial"/>
                <w:sz w:val="16"/>
                <w:szCs w:val="16"/>
              </w:rPr>
              <w:t xml:space="preserve">            </w:t>
            </w:r>
            <w:r w:rsidRPr="00CA3E58">
              <w:rPr>
                <w:rFonts w:ascii="Arial" w:hAnsi="Arial" w:cs="Arial"/>
                <w:sz w:val="16"/>
                <w:szCs w:val="16"/>
              </w:rPr>
              <w:t xml:space="preserve"> in FY13</w:t>
            </w:r>
          </w:p>
        </w:tc>
      </w:tr>
      <w:tr w:rsidR="005B7046" w:rsidRPr="00CA3E58" w14:paraId="4CC5ACD3" w14:textId="77777777" w:rsidTr="00507E6F">
        <w:trPr>
          <w:trHeight w:val="510"/>
        </w:trPr>
        <w:tc>
          <w:tcPr>
            <w:tcW w:w="1356" w:type="dxa"/>
            <w:tcBorders>
              <w:top w:val="nil"/>
              <w:left w:val="single" w:sz="8" w:space="0" w:color="auto"/>
              <w:bottom w:val="single" w:sz="8" w:space="0" w:color="auto"/>
              <w:right w:val="single" w:sz="8" w:space="0" w:color="auto"/>
            </w:tcBorders>
            <w:shd w:val="clear" w:color="auto" w:fill="auto"/>
            <w:vAlign w:val="bottom"/>
            <w:hideMark/>
          </w:tcPr>
          <w:p w14:paraId="18D29184" w14:textId="77777777" w:rsidR="005B7046" w:rsidRPr="00CA3E58" w:rsidRDefault="005B7046" w:rsidP="0001256C">
            <w:pPr>
              <w:jc w:val="both"/>
              <w:rPr>
                <w:rFonts w:ascii="Arial" w:hAnsi="Arial" w:cs="Arial"/>
                <w:b/>
                <w:bCs/>
                <w:sz w:val="18"/>
                <w:szCs w:val="18"/>
              </w:rPr>
            </w:pPr>
            <w:r w:rsidRPr="00CA3E58">
              <w:rPr>
                <w:rFonts w:ascii="Arial" w:hAnsi="Arial" w:cs="Arial"/>
                <w:b/>
                <w:bCs/>
                <w:sz w:val="18"/>
                <w:szCs w:val="18"/>
              </w:rPr>
              <w:t>OUTCOME</w:t>
            </w:r>
          </w:p>
        </w:tc>
        <w:tc>
          <w:tcPr>
            <w:tcW w:w="3180" w:type="dxa"/>
            <w:tcBorders>
              <w:top w:val="nil"/>
              <w:left w:val="nil"/>
              <w:bottom w:val="single" w:sz="8" w:space="0" w:color="auto"/>
              <w:right w:val="single" w:sz="8" w:space="0" w:color="auto"/>
            </w:tcBorders>
            <w:shd w:val="clear" w:color="auto" w:fill="auto"/>
            <w:vAlign w:val="bottom"/>
            <w:hideMark/>
          </w:tcPr>
          <w:p w14:paraId="6125310B" w14:textId="77777777" w:rsidR="005B7046" w:rsidRPr="00CA3E58" w:rsidRDefault="005B7046" w:rsidP="0001256C">
            <w:pPr>
              <w:jc w:val="both"/>
              <w:rPr>
                <w:rFonts w:ascii="Arial" w:hAnsi="Arial" w:cs="Arial"/>
                <w:sz w:val="18"/>
                <w:szCs w:val="18"/>
              </w:rPr>
            </w:pPr>
            <w:r w:rsidRPr="00CA3E58">
              <w:rPr>
                <w:rFonts w:ascii="Arial" w:hAnsi="Arial" w:cs="Arial"/>
                <w:sz w:val="18"/>
                <w:szCs w:val="18"/>
              </w:rPr>
              <w:t>Improve knowledge resource recipient satisfactions rating</w:t>
            </w:r>
          </w:p>
        </w:tc>
        <w:tc>
          <w:tcPr>
            <w:tcW w:w="1452"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6AD766C2" w14:textId="77777777" w:rsidR="005B7046" w:rsidRPr="00CA3E58" w:rsidRDefault="005B7046" w:rsidP="0001256C">
            <w:pPr>
              <w:jc w:val="both"/>
              <w:rPr>
                <w:rFonts w:ascii="Arial" w:hAnsi="Arial" w:cs="Arial"/>
                <w:sz w:val="16"/>
                <w:szCs w:val="16"/>
              </w:rPr>
            </w:pPr>
            <w:r w:rsidRPr="00CA3E58">
              <w:rPr>
                <w:rFonts w:ascii="Arial" w:hAnsi="Arial" w:cs="Arial"/>
                <w:sz w:val="16"/>
                <w:szCs w:val="16"/>
              </w:rPr>
              <w:t>70.7</w:t>
            </w:r>
          </w:p>
        </w:tc>
        <w:tc>
          <w:tcPr>
            <w:tcW w:w="1316" w:type="dxa"/>
            <w:gridSpan w:val="2"/>
            <w:tcBorders>
              <w:top w:val="single" w:sz="4" w:space="0" w:color="auto"/>
              <w:left w:val="nil"/>
              <w:bottom w:val="single" w:sz="4" w:space="0" w:color="auto"/>
              <w:right w:val="single" w:sz="4" w:space="0" w:color="000000"/>
            </w:tcBorders>
            <w:shd w:val="clear" w:color="000000" w:fill="auto"/>
            <w:noWrap/>
            <w:vAlign w:val="bottom"/>
            <w:hideMark/>
          </w:tcPr>
          <w:p w14:paraId="648E12AA" w14:textId="77777777" w:rsidR="005B7046" w:rsidRPr="00CA3E58" w:rsidRDefault="005B7046" w:rsidP="0001256C">
            <w:pPr>
              <w:jc w:val="both"/>
              <w:rPr>
                <w:rFonts w:ascii="Arial" w:hAnsi="Arial" w:cs="Arial"/>
                <w:sz w:val="16"/>
                <w:szCs w:val="16"/>
              </w:rPr>
            </w:pPr>
            <w:r>
              <w:rPr>
                <w:rFonts w:ascii="Arial" w:hAnsi="Arial" w:cs="Arial"/>
                <w:sz w:val="16"/>
                <w:szCs w:val="16"/>
              </w:rPr>
              <w:t>84.0</w:t>
            </w:r>
          </w:p>
        </w:tc>
        <w:tc>
          <w:tcPr>
            <w:tcW w:w="1440" w:type="dxa"/>
            <w:gridSpan w:val="2"/>
            <w:tcBorders>
              <w:top w:val="single" w:sz="4" w:space="0" w:color="auto"/>
              <w:left w:val="nil"/>
              <w:bottom w:val="single" w:sz="4" w:space="0" w:color="auto"/>
              <w:right w:val="single" w:sz="4" w:space="0" w:color="000000"/>
            </w:tcBorders>
            <w:shd w:val="clear" w:color="auto" w:fill="auto"/>
            <w:vAlign w:val="bottom"/>
            <w:hideMark/>
          </w:tcPr>
          <w:p w14:paraId="396EFD11" w14:textId="77777777" w:rsidR="005B7046" w:rsidRPr="00CA3E58" w:rsidRDefault="005B7046" w:rsidP="0001256C">
            <w:pPr>
              <w:jc w:val="both"/>
              <w:rPr>
                <w:rFonts w:ascii="Arial" w:hAnsi="Arial" w:cs="Arial"/>
                <w:sz w:val="16"/>
                <w:szCs w:val="16"/>
              </w:rPr>
            </w:pPr>
            <w:r w:rsidRPr="00CA3E58">
              <w:rPr>
                <w:rFonts w:ascii="Arial" w:hAnsi="Arial" w:cs="Arial"/>
                <w:sz w:val="16"/>
                <w:szCs w:val="16"/>
              </w:rPr>
              <w:t>Discontinued</w:t>
            </w:r>
            <w:r>
              <w:rPr>
                <w:rFonts w:ascii="Arial" w:hAnsi="Arial" w:cs="Arial"/>
                <w:sz w:val="16"/>
                <w:szCs w:val="16"/>
              </w:rPr>
              <w:t xml:space="preserve">    </w:t>
            </w:r>
            <w:r w:rsidRPr="00CA3E58">
              <w:rPr>
                <w:rFonts w:ascii="Arial" w:hAnsi="Arial" w:cs="Arial"/>
                <w:sz w:val="16"/>
                <w:szCs w:val="16"/>
              </w:rPr>
              <w:t xml:space="preserve"> in FY13</w:t>
            </w:r>
          </w:p>
        </w:tc>
        <w:tc>
          <w:tcPr>
            <w:tcW w:w="1752"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71EF51EF" w14:textId="77777777" w:rsidR="005B7046" w:rsidRPr="00CA3E58" w:rsidRDefault="005B7046" w:rsidP="0001256C">
            <w:pPr>
              <w:jc w:val="both"/>
              <w:rPr>
                <w:rFonts w:ascii="Arial" w:hAnsi="Arial" w:cs="Arial"/>
                <w:sz w:val="16"/>
                <w:szCs w:val="16"/>
              </w:rPr>
            </w:pPr>
            <w:r w:rsidRPr="00CA3E58">
              <w:rPr>
                <w:rFonts w:ascii="Arial" w:hAnsi="Arial" w:cs="Arial"/>
                <w:sz w:val="16"/>
                <w:szCs w:val="16"/>
              </w:rPr>
              <w:t>Discontinued</w:t>
            </w:r>
            <w:r>
              <w:rPr>
                <w:rFonts w:ascii="Arial" w:hAnsi="Arial" w:cs="Arial"/>
                <w:sz w:val="16"/>
                <w:szCs w:val="16"/>
              </w:rPr>
              <w:t xml:space="preserve">                </w:t>
            </w:r>
            <w:r w:rsidRPr="00CA3E58">
              <w:rPr>
                <w:rFonts w:ascii="Arial" w:hAnsi="Arial" w:cs="Arial"/>
                <w:sz w:val="16"/>
                <w:szCs w:val="16"/>
              </w:rPr>
              <w:t xml:space="preserve"> in FY13</w:t>
            </w:r>
          </w:p>
        </w:tc>
        <w:tc>
          <w:tcPr>
            <w:tcW w:w="1523" w:type="dxa"/>
            <w:gridSpan w:val="3"/>
            <w:tcBorders>
              <w:top w:val="single" w:sz="4" w:space="0" w:color="auto"/>
              <w:left w:val="nil"/>
              <w:bottom w:val="single" w:sz="4" w:space="0" w:color="auto"/>
              <w:right w:val="single" w:sz="8" w:space="0" w:color="000000"/>
            </w:tcBorders>
            <w:shd w:val="clear" w:color="auto" w:fill="auto"/>
            <w:vAlign w:val="bottom"/>
            <w:hideMark/>
          </w:tcPr>
          <w:p w14:paraId="05273916" w14:textId="77777777" w:rsidR="005B7046" w:rsidRPr="00CA3E58" w:rsidRDefault="005B7046" w:rsidP="0001256C">
            <w:pPr>
              <w:jc w:val="both"/>
              <w:rPr>
                <w:rFonts w:ascii="Arial" w:hAnsi="Arial" w:cs="Arial"/>
                <w:sz w:val="16"/>
                <w:szCs w:val="16"/>
              </w:rPr>
            </w:pPr>
            <w:r w:rsidRPr="00CA3E58">
              <w:rPr>
                <w:rFonts w:ascii="Arial" w:hAnsi="Arial" w:cs="Arial"/>
                <w:sz w:val="16"/>
                <w:szCs w:val="16"/>
              </w:rPr>
              <w:t>Discontinued</w:t>
            </w:r>
            <w:r>
              <w:rPr>
                <w:rFonts w:ascii="Arial" w:hAnsi="Arial" w:cs="Arial"/>
                <w:sz w:val="16"/>
                <w:szCs w:val="16"/>
              </w:rPr>
              <w:t xml:space="preserve">                  </w:t>
            </w:r>
            <w:r w:rsidRPr="00CA3E58">
              <w:rPr>
                <w:rFonts w:ascii="Arial" w:hAnsi="Arial" w:cs="Arial"/>
                <w:sz w:val="16"/>
                <w:szCs w:val="16"/>
              </w:rPr>
              <w:t xml:space="preserve"> in FY13</w:t>
            </w:r>
          </w:p>
        </w:tc>
      </w:tr>
      <w:tr w:rsidR="005B7046" w:rsidRPr="00CA3E58" w14:paraId="175AF484" w14:textId="77777777" w:rsidTr="00507E6F">
        <w:trPr>
          <w:trHeight w:val="540"/>
        </w:trPr>
        <w:tc>
          <w:tcPr>
            <w:tcW w:w="1356" w:type="dxa"/>
            <w:tcBorders>
              <w:top w:val="nil"/>
              <w:left w:val="single" w:sz="8" w:space="0" w:color="auto"/>
              <w:bottom w:val="single" w:sz="8" w:space="0" w:color="auto"/>
              <w:right w:val="single" w:sz="8" w:space="0" w:color="auto"/>
            </w:tcBorders>
            <w:shd w:val="clear" w:color="auto" w:fill="auto"/>
            <w:vAlign w:val="bottom"/>
            <w:hideMark/>
          </w:tcPr>
          <w:p w14:paraId="5683FE75" w14:textId="77777777" w:rsidR="005B7046" w:rsidRPr="00CA3E58" w:rsidRDefault="005B7046" w:rsidP="0001256C">
            <w:pPr>
              <w:jc w:val="both"/>
              <w:rPr>
                <w:rFonts w:ascii="Arial" w:hAnsi="Arial" w:cs="Arial"/>
                <w:b/>
                <w:bCs/>
                <w:sz w:val="18"/>
                <w:szCs w:val="18"/>
              </w:rPr>
            </w:pPr>
            <w:r w:rsidRPr="00CA3E58">
              <w:rPr>
                <w:rFonts w:ascii="Arial" w:hAnsi="Arial" w:cs="Arial"/>
                <w:b/>
                <w:bCs/>
                <w:sz w:val="18"/>
                <w:szCs w:val="18"/>
              </w:rPr>
              <w:t>OUTPUT</w:t>
            </w:r>
          </w:p>
        </w:tc>
        <w:tc>
          <w:tcPr>
            <w:tcW w:w="3180" w:type="dxa"/>
            <w:tcBorders>
              <w:top w:val="nil"/>
              <w:left w:val="nil"/>
              <w:bottom w:val="single" w:sz="8" w:space="0" w:color="auto"/>
              <w:right w:val="single" w:sz="8" w:space="0" w:color="auto"/>
            </w:tcBorders>
            <w:shd w:val="clear" w:color="auto" w:fill="auto"/>
            <w:vAlign w:val="bottom"/>
            <w:hideMark/>
          </w:tcPr>
          <w:p w14:paraId="20C5A63F" w14:textId="77777777" w:rsidR="005B7046" w:rsidRPr="00CA3E58" w:rsidRDefault="005B7046" w:rsidP="0001256C">
            <w:pPr>
              <w:jc w:val="both"/>
              <w:rPr>
                <w:rFonts w:ascii="Arial" w:hAnsi="Arial" w:cs="Arial"/>
                <w:sz w:val="18"/>
                <w:szCs w:val="18"/>
              </w:rPr>
            </w:pPr>
            <w:r w:rsidRPr="00CA3E58">
              <w:rPr>
                <w:rFonts w:ascii="Arial" w:hAnsi="Arial" w:cs="Arial"/>
                <w:sz w:val="18"/>
                <w:szCs w:val="18"/>
              </w:rPr>
              <w:t xml:space="preserve">Number of COPS knowledge resource products distributed </w:t>
            </w:r>
          </w:p>
        </w:tc>
        <w:tc>
          <w:tcPr>
            <w:tcW w:w="1452"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59878D43" w14:textId="77777777" w:rsidR="005B7046" w:rsidRPr="00CA3E58" w:rsidRDefault="005B7046" w:rsidP="0001256C">
            <w:pPr>
              <w:jc w:val="both"/>
              <w:rPr>
                <w:rFonts w:ascii="Arial" w:hAnsi="Arial" w:cs="Arial"/>
                <w:sz w:val="16"/>
                <w:szCs w:val="16"/>
              </w:rPr>
            </w:pPr>
            <w:r w:rsidRPr="00CA3E58">
              <w:rPr>
                <w:rFonts w:ascii="Arial" w:hAnsi="Arial" w:cs="Arial"/>
                <w:sz w:val="16"/>
                <w:szCs w:val="16"/>
              </w:rPr>
              <w:t>2,200,000</w:t>
            </w:r>
          </w:p>
        </w:tc>
        <w:tc>
          <w:tcPr>
            <w:tcW w:w="1316" w:type="dxa"/>
            <w:gridSpan w:val="2"/>
            <w:tcBorders>
              <w:top w:val="single" w:sz="4" w:space="0" w:color="auto"/>
              <w:left w:val="nil"/>
              <w:bottom w:val="single" w:sz="4" w:space="0" w:color="auto"/>
              <w:right w:val="single" w:sz="4" w:space="0" w:color="000000"/>
            </w:tcBorders>
            <w:shd w:val="clear" w:color="000000" w:fill="auto"/>
            <w:noWrap/>
            <w:vAlign w:val="bottom"/>
            <w:hideMark/>
          </w:tcPr>
          <w:p w14:paraId="40431D08" w14:textId="77777777" w:rsidR="005B7046" w:rsidRPr="00CA3E58" w:rsidRDefault="005B7046" w:rsidP="0001256C">
            <w:pPr>
              <w:jc w:val="both"/>
              <w:rPr>
                <w:rFonts w:ascii="Arial" w:hAnsi="Arial" w:cs="Arial"/>
                <w:sz w:val="16"/>
                <w:szCs w:val="16"/>
              </w:rPr>
            </w:pPr>
            <w:r>
              <w:rPr>
                <w:rFonts w:ascii="Arial" w:hAnsi="Arial" w:cs="Arial"/>
                <w:sz w:val="16"/>
                <w:szCs w:val="16"/>
              </w:rPr>
              <w:t>1,970,576</w:t>
            </w:r>
          </w:p>
        </w:tc>
        <w:tc>
          <w:tcPr>
            <w:tcW w:w="1440"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69BD7FA4" w14:textId="77777777" w:rsidR="005B7046" w:rsidRPr="00CA3E58" w:rsidRDefault="005B7046" w:rsidP="0001256C">
            <w:pPr>
              <w:jc w:val="both"/>
              <w:rPr>
                <w:rFonts w:ascii="Arial" w:hAnsi="Arial" w:cs="Arial"/>
                <w:sz w:val="16"/>
                <w:szCs w:val="16"/>
              </w:rPr>
            </w:pPr>
            <w:r w:rsidRPr="00CA3E58">
              <w:rPr>
                <w:rFonts w:ascii="Arial" w:hAnsi="Arial" w:cs="Arial"/>
                <w:sz w:val="16"/>
                <w:szCs w:val="16"/>
              </w:rPr>
              <w:t xml:space="preserve">2,200,000 </w:t>
            </w:r>
          </w:p>
        </w:tc>
        <w:tc>
          <w:tcPr>
            <w:tcW w:w="1752"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25D69836" w14:textId="77777777" w:rsidR="005B7046" w:rsidRPr="00CA3E58" w:rsidRDefault="005B7046" w:rsidP="0001256C">
            <w:pPr>
              <w:jc w:val="both"/>
              <w:rPr>
                <w:rFonts w:ascii="Arial" w:hAnsi="Arial" w:cs="Arial"/>
                <w:sz w:val="16"/>
                <w:szCs w:val="16"/>
              </w:rPr>
            </w:pPr>
            <w:r>
              <w:rPr>
                <w:rFonts w:ascii="Arial" w:hAnsi="Arial" w:cs="Arial"/>
                <w:sz w:val="16"/>
                <w:szCs w:val="16"/>
              </w:rPr>
              <w:t>0</w:t>
            </w:r>
          </w:p>
        </w:tc>
        <w:tc>
          <w:tcPr>
            <w:tcW w:w="1523" w:type="dxa"/>
            <w:gridSpan w:val="3"/>
            <w:tcBorders>
              <w:top w:val="single" w:sz="4" w:space="0" w:color="auto"/>
              <w:left w:val="nil"/>
              <w:bottom w:val="single" w:sz="4" w:space="0" w:color="auto"/>
              <w:right w:val="single" w:sz="8" w:space="0" w:color="000000"/>
            </w:tcBorders>
            <w:shd w:val="clear" w:color="auto" w:fill="auto"/>
            <w:noWrap/>
            <w:vAlign w:val="bottom"/>
            <w:hideMark/>
          </w:tcPr>
          <w:p w14:paraId="349A1D18" w14:textId="77777777" w:rsidR="005B7046" w:rsidRPr="00CA3E58" w:rsidRDefault="005B7046" w:rsidP="0001256C">
            <w:pPr>
              <w:jc w:val="both"/>
              <w:rPr>
                <w:rFonts w:ascii="Arial" w:hAnsi="Arial" w:cs="Arial"/>
                <w:sz w:val="16"/>
                <w:szCs w:val="16"/>
              </w:rPr>
            </w:pPr>
            <w:r>
              <w:rPr>
                <w:rFonts w:ascii="Arial" w:hAnsi="Arial" w:cs="Arial"/>
                <w:sz w:val="16"/>
                <w:szCs w:val="16"/>
              </w:rPr>
              <w:t>2,200,000</w:t>
            </w:r>
            <w:r w:rsidRPr="00CA3E58">
              <w:rPr>
                <w:rFonts w:ascii="Arial" w:hAnsi="Arial" w:cs="Arial"/>
                <w:sz w:val="16"/>
                <w:szCs w:val="16"/>
              </w:rPr>
              <w:t> </w:t>
            </w:r>
          </w:p>
        </w:tc>
      </w:tr>
      <w:tr w:rsidR="005B7046" w:rsidRPr="00CA3E58" w14:paraId="361E575E" w14:textId="77777777" w:rsidTr="00507E6F">
        <w:trPr>
          <w:trHeight w:val="450"/>
        </w:trPr>
        <w:tc>
          <w:tcPr>
            <w:tcW w:w="1356" w:type="dxa"/>
            <w:tcBorders>
              <w:top w:val="nil"/>
              <w:left w:val="single" w:sz="8" w:space="0" w:color="auto"/>
              <w:bottom w:val="single" w:sz="8" w:space="0" w:color="auto"/>
              <w:right w:val="single" w:sz="8" w:space="0" w:color="auto"/>
            </w:tcBorders>
            <w:shd w:val="clear" w:color="auto" w:fill="auto"/>
            <w:vAlign w:val="bottom"/>
            <w:hideMark/>
          </w:tcPr>
          <w:p w14:paraId="17633AC8" w14:textId="77777777" w:rsidR="005B7046" w:rsidRPr="00CA3E58" w:rsidRDefault="005B7046" w:rsidP="0001256C">
            <w:pPr>
              <w:jc w:val="both"/>
              <w:rPr>
                <w:rFonts w:ascii="Arial" w:hAnsi="Arial" w:cs="Arial"/>
                <w:b/>
                <w:bCs/>
                <w:sz w:val="18"/>
                <w:szCs w:val="18"/>
              </w:rPr>
            </w:pPr>
            <w:r w:rsidRPr="00CA3E58">
              <w:rPr>
                <w:rFonts w:ascii="Arial" w:hAnsi="Arial" w:cs="Arial"/>
                <w:b/>
                <w:bCs/>
                <w:sz w:val="18"/>
                <w:szCs w:val="18"/>
              </w:rPr>
              <w:t>OUTPUT</w:t>
            </w:r>
          </w:p>
        </w:tc>
        <w:tc>
          <w:tcPr>
            <w:tcW w:w="3180" w:type="dxa"/>
            <w:tcBorders>
              <w:top w:val="nil"/>
              <w:left w:val="nil"/>
              <w:bottom w:val="single" w:sz="8" w:space="0" w:color="auto"/>
              <w:right w:val="single" w:sz="8" w:space="0" w:color="auto"/>
            </w:tcBorders>
            <w:shd w:val="clear" w:color="auto" w:fill="auto"/>
            <w:vAlign w:val="bottom"/>
            <w:hideMark/>
          </w:tcPr>
          <w:p w14:paraId="54D2C16E" w14:textId="77777777" w:rsidR="005B7046" w:rsidRPr="00CA3E58" w:rsidRDefault="005B7046" w:rsidP="0001256C">
            <w:pPr>
              <w:jc w:val="both"/>
              <w:rPr>
                <w:rFonts w:ascii="Arial" w:hAnsi="Arial" w:cs="Arial"/>
                <w:sz w:val="18"/>
                <w:szCs w:val="18"/>
              </w:rPr>
            </w:pPr>
            <w:r w:rsidRPr="00CA3E58">
              <w:rPr>
                <w:rFonts w:ascii="Arial" w:hAnsi="Arial" w:cs="Arial"/>
                <w:sz w:val="18"/>
                <w:szCs w:val="18"/>
              </w:rPr>
              <w:t xml:space="preserve">Number of people trained </w:t>
            </w:r>
          </w:p>
        </w:tc>
        <w:tc>
          <w:tcPr>
            <w:tcW w:w="1452"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34536A56" w14:textId="77777777" w:rsidR="005B7046" w:rsidRPr="00CA3E58" w:rsidRDefault="005B7046" w:rsidP="0001256C">
            <w:pPr>
              <w:jc w:val="both"/>
              <w:rPr>
                <w:rFonts w:ascii="Arial" w:hAnsi="Arial" w:cs="Arial"/>
                <w:sz w:val="16"/>
                <w:szCs w:val="16"/>
              </w:rPr>
            </w:pPr>
            <w:r w:rsidRPr="00CA3E58">
              <w:rPr>
                <w:rFonts w:ascii="Arial" w:hAnsi="Arial" w:cs="Arial"/>
                <w:sz w:val="16"/>
                <w:szCs w:val="16"/>
              </w:rPr>
              <w:t>17,000</w:t>
            </w:r>
          </w:p>
        </w:tc>
        <w:tc>
          <w:tcPr>
            <w:tcW w:w="1316" w:type="dxa"/>
            <w:gridSpan w:val="2"/>
            <w:tcBorders>
              <w:top w:val="nil"/>
              <w:left w:val="nil"/>
              <w:bottom w:val="single" w:sz="4" w:space="0" w:color="auto"/>
              <w:right w:val="single" w:sz="4" w:space="0" w:color="000000"/>
            </w:tcBorders>
            <w:shd w:val="clear" w:color="000000" w:fill="auto"/>
            <w:noWrap/>
            <w:vAlign w:val="bottom"/>
            <w:hideMark/>
          </w:tcPr>
          <w:p w14:paraId="7F2322C1" w14:textId="77777777" w:rsidR="005B7046" w:rsidRPr="00CA3E58" w:rsidRDefault="005B7046" w:rsidP="0001256C">
            <w:pPr>
              <w:jc w:val="both"/>
              <w:rPr>
                <w:rFonts w:ascii="Arial" w:hAnsi="Arial" w:cs="Arial"/>
                <w:sz w:val="16"/>
                <w:szCs w:val="16"/>
              </w:rPr>
            </w:pPr>
            <w:r>
              <w:rPr>
                <w:rFonts w:ascii="Arial" w:hAnsi="Arial" w:cs="Arial"/>
                <w:sz w:val="16"/>
                <w:szCs w:val="16"/>
              </w:rPr>
              <w:t>8,675</w:t>
            </w:r>
          </w:p>
        </w:tc>
        <w:tc>
          <w:tcPr>
            <w:tcW w:w="1440" w:type="dxa"/>
            <w:gridSpan w:val="2"/>
            <w:tcBorders>
              <w:top w:val="nil"/>
              <w:left w:val="nil"/>
              <w:bottom w:val="single" w:sz="4" w:space="0" w:color="auto"/>
              <w:right w:val="single" w:sz="4" w:space="0" w:color="000000"/>
            </w:tcBorders>
            <w:shd w:val="clear" w:color="auto" w:fill="auto"/>
            <w:noWrap/>
            <w:vAlign w:val="bottom"/>
            <w:hideMark/>
          </w:tcPr>
          <w:p w14:paraId="01F94B31" w14:textId="77777777" w:rsidR="005B7046" w:rsidRPr="00CA3E58" w:rsidRDefault="005B7046" w:rsidP="0001256C">
            <w:pPr>
              <w:jc w:val="both"/>
              <w:rPr>
                <w:rFonts w:ascii="Arial" w:hAnsi="Arial" w:cs="Arial"/>
                <w:sz w:val="16"/>
                <w:szCs w:val="16"/>
              </w:rPr>
            </w:pPr>
            <w:r w:rsidRPr="00CA3E58">
              <w:rPr>
                <w:rFonts w:ascii="Arial" w:hAnsi="Arial" w:cs="Arial"/>
                <w:sz w:val="16"/>
                <w:szCs w:val="16"/>
              </w:rPr>
              <w:t xml:space="preserve">17,000 </w:t>
            </w:r>
          </w:p>
        </w:tc>
        <w:tc>
          <w:tcPr>
            <w:tcW w:w="1752" w:type="dxa"/>
            <w:gridSpan w:val="2"/>
            <w:tcBorders>
              <w:top w:val="nil"/>
              <w:left w:val="nil"/>
              <w:bottom w:val="single" w:sz="4" w:space="0" w:color="auto"/>
              <w:right w:val="single" w:sz="4" w:space="0" w:color="000000"/>
            </w:tcBorders>
            <w:shd w:val="clear" w:color="auto" w:fill="auto"/>
            <w:noWrap/>
            <w:vAlign w:val="bottom"/>
            <w:hideMark/>
          </w:tcPr>
          <w:p w14:paraId="53C63AB1" w14:textId="77777777" w:rsidR="005B7046" w:rsidRPr="00CA3E58" w:rsidRDefault="005B7046" w:rsidP="0001256C">
            <w:pPr>
              <w:jc w:val="both"/>
              <w:rPr>
                <w:rFonts w:ascii="Arial" w:hAnsi="Arial" w:cs="Arial"/>
                <w:sz w:val="16"/>
                <w:szCs w:val="16"/>
              </w:rPr>
            </w:pPr>
            <w:r>
              <w:rPr>
                <w:rFonts w:ascii="Arial" w:hAnsi="Arial" w:cs="Arial"/>
                <w:sz w:val="16"/>
                <w:szCs w:val="16"/>
              </w:rPr>
              <w:t>(4,000)</w:t>
            </w:r>
          </w:p>
        </w:tc>
        <w:tc>
          <w:tcPr>
            <w:tcW w:w="1523" w:type="dxa"/>
            <w:gridSpan w:val="3"/>
            <w:tcBorders>
              <w:top w:val="single" w:sz="4" w:space="0" w:color="auto"/>
              <w:left w:val="nil"/>
              <w:bottom w:val="single" w:sz="4" w:space="0" w:color="auto"/>
              <w:right w:val="single" w:sz="8" w:space="0" w:color="000000"/>
            </w:tcBorders>
            <w:shd w:val="clear" w:color="auto" w:fill="auto"/>
            <w:vAlign w:val="bottom"/>
            <w:hideMark/>
          </w:tcPr>
          <w:p w14:paraId="76C6725D" w14:textId="77777777" w:rsidR="005B7046" w:rsidRPr="00CA3E58" w:rsidRDefault="005B7046" w:rsidP="0001256C">
            <w:pPr>
              <w:jc w:val="both"/>
              <w:rPr>
                <w:rFonts w:ascii="Arial" w:hAnsi="Arial" w:cs="Arial"/>
                <w:sz w:val="16"/>
                <w:szCs w:val="16"/>
              </w:rPr>
            </w:pPr>
            <w:r>
              <w:rPr>
                <w:rFonts w:ascii="Arial" w:hAnsi="Arial" w:cs="Arial"/>
                <w:sz w:val="16"/>
                <w:szCs w:val="16"/>
              </w:rPr>
              <w:t>13,000</w:t>
            </w:r>
          </w:p>
        </w:tc>
      </w:tr>
      <w:tr w:rsidR="005B7046" w:rsidRPr="00CA3E58" w14:paraId="5A2F69C3" w14:textId="77777777" w:rsidTr="005B7046">
        <w:trPr>
          <w:trHeight w:val="270"/>
        </w:trPr>
        <w:tc>
          <w:tcPr>
            <w:tcW w:w="1356" w:type="dxa"/>
            <w:tcBorders>
              <w:top w:val="nil"/>
              <w:left w:val="nil"/>
              <w:bottom w:val="nil"/>
              <w:right w:val="nil"/>
            </w:tcBorders>
            <w:shd w:val="clear" w:color="auto" w:fill="auto"/>
            <w:noWrap/>
            <w:vAlign w:val="bottom"/>
            <w:hideMark/>
          </w:tcPr>
          <w:p w14:paraId="450A751C" w14:textId="77777777" w:rsidR="005B7046" w:rsidRDefault="005B7046" w:rsidP="0001256C">
            <w:pPr>
              <w:jc w:val="both"/>
              <w:rPr>
                <w:rFonts w:ascii="Arial" w:hAnsi="Arial" w:cs="Arial"/>
                <w:b/>
                <w:sz w:val="20"/>
                <w:szCs w:val="20"/>
              </w:rPr>
            </w:pPr>
          </w:p>
          <w:p w14:paraId="3D3B8358" w14:textId="77777777" w:rsidR="005B7046" w:rsidRDefault="005B7046" w:rsidP="0001256C">
            <w:pPr>
              <w:jc w:val="both"/>
              <w:rPr>
                <w:rFonts w:ascii="Arial" w:hAnsi="Arial" w:cs="Arial"/>
                <w:b/>
                <w:sz w:val="20"/>
                <w:szCs w:val="20"/>
              </w:rPr>
            </w:pPr>
          </w:p>
          <w:p w14:paraId="2F2AAE72" w14:textId="77777777" w:rsidR="005B7046" w:rsidRDefault="005B7046" w:rsidP="0001256C">
            <w:pPr>
              <w:jc w:val="both"/>
              <w:rPr>
                <w:rFonts w:ascii="Arial" w:hAnsi="Arial" w:cs="Arial"/>
                <w:b/>
                <w:sz w:val="20"/>
                <w:szCs w:val="20"/>
              </w:rPr>
            </w:pPr>
          </w:p>
          <w:p w14:paraId="13731F56" w14:textId="77777777" w:rsidR="005B7046" w:rsidRDefault="005B7046" w:rsidP="0001256C">
            <w:pPr>
              <w:jc w:val="both"/>
              <w:rPr>
                <w:rFonts w:ascii="Arial" w:hAnsi="Arial" w:cs="Arial"/>
                <w:b/>
                <w:sz w:val="20"/>
                <w:szCs w:val="20"/>
              </w:rPr>
            </w:pPr>
          </w:p>
          <w:p w14:paraId="4285EA81" w14:textId="77777777" w:rsidR="005B7046" w:rsidRDefault="005B7046" w:rsidP="0001256C">
            <w:pPr>
              <w:jc w:val="both"/>
              <w:rPr>
                <w:rFonts w:ascii="Arial" w:hAnsi="Arial" w:cs="Arial"/>
                <w:b/>
                <w:sz w:val="20"/>
                <w:szCs w:val="20"/>
              </w:rPr>
            </w:pPr>
          </w:p>
          <w:p w14:paraId="26821C8C" w14:textId="77777777" w:rsidR="005B7046" w:rsidRDefault="005B7046" w:rsidP="0001256C">
            <w:pPr>
              <w:jc w:val="both"/>
              <w:rPr>
                <w:rFonts w:ascii="Arial" w:hAnsi="Arial" w:cs="Arial"/>
                <w:b/>
                <w:sz w:val="20"/>
                <w:szCs w:val="20"/>
              </w:rPr>
            </w:pPr>
          </w:p>
          <w:p w14:paraId="688DFDD9" w14:textId="77777777" w:rsidR="005B7046" w:rsidRDefault="005B7046" w:rsidP="0001256C">
            <w:pPr>
              <w:jc w:val="both"/>
              <w:rPr>
                <w:rFonts w:ascii="Arial" w:hAnsi="Arial" w:cs="Arial"/>
                <w:b/>
                <w:sz w:val="20"/>
                <w:szCs w:val="20"/>
              </w:rPr>
            </w:pPr>
          </w:p>
          <w:p w14:paraId="2A50699D" w14:textId="77777777" w:rsidR="005B7046" w:rsidRPr="004A5DB2" w:rsidRDefault="005B7046" w:rsidP="0001256C">
            <w:pPr>
              <w:jc w:val="both"/>
              <w:rPr>
                <w:rFonts w:ascii="Arial" w:hAnsi="Arial" w:cs="Arial"/>
                <w:b/>
                <w:sz w:val="20"/>
                <w:szCs w:val="20"/>
              </w:rPr>
            </w:pPr>
          </w:p>
        </w:tc>
        <w:tc>
          <w:tcPr>
            <w:tcW w:w="3180" w:type="dxa"/>
            <w:tcBorders>
              <w:top w:val="nil"/>
              <w:left w:val="nil"/>
              <w:bottom w:val="nil"/>
              <w:right w:val="nil"/>
            </w:tcBorders>
            <w:shd w:val="clear" w:color="auto" w:fill="auto"/>
            <w:noWrap/>
            <w:vAlign w:val="bottom"/>
            <w:hideMark/>
          </w:tcPr>
          <w:p w14:paraId="69F08892" w14:textId="77777777" w:rsidR="005B7046" w:rsidRPr="00CA3E58" w:rsidRDefault="005B7046" w:rsidP="0001256C">
            <w:pPr>
              <w:jc w:val="both"/>
              <w:rPr>
                <w:rFonts w:ascii="Arial" w:hAnsi="Arial" w:cs="Arial"/>
                <w:sz w:val="20"/>
                <w:szCs w:val="20"/>
              </w:rPr>
            </w:pPr>
          </w:p>
        </w:tc>
        <w:tc>
          <w:tcPr>
            <w:tcW w:w="641" w:type="dxa"/>
            <w:tcBorders>
              <w:top w:val="nil"/>
              <w:left w:val="nil"/>
              <w:bottom w:val="nil"/>
              <w:right w:val="nil"/>
            </w:tcBorders>
            <w:shd w:val="clear" w:color="auto" w:fill="auto"/>
            <w:noWrap/>
            <w:vAlign w:val="bottom"/>
            <w:hideMark/>
          </w:tcPr>
          <w:p w14:paraId="4BB42F64" w14:textId="77777777" w:rsidR="005B7046" w:rsidRPr="00CA3E58" w:rsidRDefault="005B7046" w:rsidP="0001256C">
            <w:pPr>
              <w:jc w:val="both"/>
              <w:rPr>
                <w:rFonts w:ascii="Arial" w:hAnsi="Arial" w:cs="Arial"/>
                <w:sz w:val="20"/>
                <w:szCs w:val="20"/>
              </w:rPr>
            </w:pPr>
          </w:p>
        </w:tc>
        <w:tc>
          <w:tcPr>
            <w:tcW w:w="811" w:type="dxa"/>
            <w:tcBorders>
              <w:top w:val="nil"/>
              <w:left w:val="nil"/>
              <w:bottom w:val="nil"/>
              <w:right w:val="nil"/>
            </w:tcBorders>
            <w:shd w:val="clear" w:color="auto" w:fill="auto"/>
            <w:noWrap/>
            <w:vAlign w:val="bottom"/>
            <w:hideMark/>
          </w:tcPr>
          <w:p w14:paraId="5A8AEDD0" w14:textId="77777777" w:rsidR="005B7046" w:rsidRPr="00CA3E58" w:rsidRDefault="005B7046" w:rsidP="0001256C">
            <w:pPr>
              <w:jc w:val="both"/>
              <w:rPr>
                <w:rFonts w:ascii="Arial" w:hAnsi="Arial" w:cs="Arial"/>
                <w:sz w:val="20"/>
                <w:szCs w:val="20"/>
              </w:rPr>
            </w:pPr>
          </w:p>
        </w:tc>
        <w:tc>
          <w:tcPr>
            <w:tcW w:w="519" w:type="dxa"/>
            <w:tcBorders>
              <w:top w:val="nil"/>
              <w:left w:val="nil"/>
              <w:bottom w:val="nil"/>
              <w:right w:val="nil"/>
            </w:tcBorders>
            <w:shd w:val="clear" w:color="auto" w:fill="auto"/>
            <w:noWrap/>
            <w:vAlign w:val="bottom"/>
            <w:hideMark/>
          </w:tcPr>
          <w:p w14:paraId="1ED22047" w14:textId="77777777" w:rsidR="005B7046" w:rsidRPr="00CA3E58" w:rsidRDefault="005B7046" w:rsidP="0001256C">
            <w:pPr>
              <w:jc w:val="both"/>
              <w:rPr>
                <w:rFonts w:ascii="Arial" w:hAnsi="Arial" w:cs="Arial"/>
                <w:sz w:val="20"/>
                <w:szCs w:val="20"/>
              </w:rPr>
            </w:pPr>
          </w:p>
        </w:tc>
        <w:tc>
          <w:tcPr>
            <w:tcW w:w="797" w:type="dxa"/>
            <w:tcBorders>
              <w:top w:val="nil"/>
              <w:left w:val="nil"/>
              <w:bottom w:val="nil"/>
              <w:right w:val="nil"/>
            </w:tcBorders>
            <w:shd w:val="clear" w:color="auto" w:fill="auto"/>
            <w:noWrap/>
            <w:vAlign w:val="bottom"/>
            <w:hideMark/>
          </w:tcPr>
          <w:p w14:paraId="7E2D03DA" w14:textId="77777777" w:rsidR="005B7046" w:rsidRPr="00CA3E58" w:rsidRDefault="005B7046" w:rsidP="0001256C">
            <w:pPr>
              <w:jc w:val="both"/>
              <w:rPr>
                <w:rFonts w:ascii="Arial" w:hAnsi="Arial" w:cs="Arial"/>
                <w:sz w:val="20"/>
                <w:szCs w:val="20"/>
              </w:rPr>
            </w:pPr>
          </w:p>
        </w:tc>
        <w:tc>
          <w:tcPr>
            <w:tcW w:w="519" w:type="dxa"/>
            <w:tcBorders>
              <w:top w:val="nil"/>
              <w:left w:val="nil"/>
              <w:bottom w:val="nil"/>
              <w:right w:val="nil"/>
            </w:tcBorders>
            <w:shd w:val="clear" w:color="auto" w:fill="auto"/>
            <w:noWrap/>
            <w:vAlign w:val="bottom"/>
            <w:hideMark/>
          </w:tcPr>
          <w:p w14:paraId="1FF9CE04" w14:textId="77777777" w:rsidR="005B7046" w:rsidRPr="00CA3E58" w:rsidRDefault="005B7046" w:rsidP="0001256C">
            <w:pPr>
              <w:jc w:val="both"/>
              <w:rPr>
                <w:rFonts w:ascii="Arial" w:hAnsi="Arial" w:cs="Arial"/>
                <w:sz w:val="20"/>
                <w:szCs w:val="20"/>
              </w:rPr>
            </w:pPr>
          </w:p>
        </w:tc>
        <w:tc>
          <w:tcPr>
            <w:tcW w:w="921" w:type="dxa"/>
            <w:tcBorders>
              <w:top w:val="nil"/>
              <w:left w:val="nil"/>
              <w:bottom w:val="nil"/>
              <w:right w:val="nil"/>
            </w:tcBorders>
            <w:shd w:val="clear" w:color="auto" w:fill="auto"/>
            <w:noWrap/>
            <w:vAlign w:val="bottom"/>
            <w:hideMark/>
          </w:tcPr>
          <w:p w14:paraId="4D6120D5" w14:textId="77777777" w:rsidR="005B7046" w:rsidRPr="00CA3E58" w:rsidRDefault="005B7046" w:rsidP="0001256C">
            <w:pPr>
              <w:jc w:val="both"/>
              <w:rPr>
                <w:rFonts w:ascii="Arial" w:hAnsi="Arial" w:cs="Arial"/>
                <w:sz w:val="20"/>
                <w:szCs w:val="20"/>
              </w:rPr>
            </w:pPr>
          </w:p>
        </w:tc>
        <w:tc>
          <w:tcPr>
            <w:tcW w:w="519" w:type="dxa"/>
            <w:tcBorders>
              <w:top w:val="nil"/>
              <w:left w:val="nil"/>
              <w:bottom w:val="nil"/>
              <w:right w:val="nil"/>
            </w:tcBorders>
            <w:shd w:val="clear" w:color="auto" w:fill="auto"/>
            <w:noWrap/>
            <w:vAlign w:val="bottom"/>
            <w:hideMark/>
          </w:tcPr>
          <w:p w14:paraId="223559C2" w14:textId="77777777" w:rsidR="005B7046" w:rsidRPr="00CA3E58" w:rsidRDefault="005B7046" w:rsidP="0001256C">
            <w:pPr>
              <w:jc w:val="both"/>
              <w:rPr>
                <w:rFonts w:ascii="Arial" w:hAnsi="Arial" w:cs="Arial"/>
                <w:sz w:val="20"/>
                <w:szCs w:val="20"/>
              </w:rPr>
            </w:pPr>
          </w:p>
        </w:tc>
        <w:tc>
          <w:tcPr>
            <w:tcW w:w="1233" w:type="dxa"/>
            <w:tcBorders>
              <w:top w:val="nil"/>
              <w:left w:val="nil"/>
              <w:bottom w:val="nil"/>
              <w:right w:val="nil"/>
            </w:tcBorders>
            <w:shd w:val="clear" w:color="auto" w:fill="auto"/>
            <w:noWrap/>
            <w:vAlign w:val="bottom"/>
            <w:hideMark/>
          </w:tcPr>
          <w:p w14:paraId="73C11ACD" w14:textId="77777777" w:rsidR="005B7046" w:rsidRDefault="005B7046" w:rsidP="0001256C">
            <w:pPr>
              <w:jc w:val="both"/>
              <w:rPr>
                <w:rFonts w:ascii="Arial" w:hAnsi="Arial" w:cs="Arial"/>
                <w:sz w:val="20"/>
                <w:szCs w:val="20"/>
              </w:rPr>
            </w:pPr>
          </w:p>
          <w:p w14:paraId="522E1492" w14:textId="77777777" w:rsidR="005B7046" w:rsidRDefault="005B7046" w:rsidP="0001256C">
            <w:pPr>
              <w:jc w:val="both"/>
              <w:rPr>
                <w:rFonts w:ascii="Arial" w:hAnsi="Arial" w:cs="Arial"/>
                <w:sz w:val="20"/>
                <w:szCs w:val="20"/>
              </w:rPr>
            </w:pPr>
          </w:p>
          <w:p w14:paraId="4CD806AC" w14:textId="77777777" w:rsidR="005B7046" w:rsidRDefault="005B7046" w:rsidP="0001256C">
            <w:pPr>
              <w:jc w:val="both"/>
              <w:rPr>
                <w:rFonts w:ascii="Arial" w:hAnsi="Arial" w:cs="Arial"/>
                <w:sz w:val="20"/>
                <w:szCs w:val="20"/>
              </w:rPr>
            </w:pPr>
          </w:p>
          <w:p w14:paraId="1684C1F7" w14:textId="77777777" w:rsidR="005B7046" w:rsidRPr="00CA3E58" w:rsidRDefault="005B7046" w:rsidP="0001256C">
            <w:pPr>
              <w:jc w:val="both"/>
              <w:rPr>
                <w:rFonts w:ascii="Arial" w:hAnsi="Arial" w:cs="Arial"/>
                <w:sz w:val="20"/>
                <w:szCs w:val="20"/>
              </w:rPr>
            </w:pPr>
          </w:p>
        </w:tc>
        <w:tc>
          <w:tcPr>
            <w:tcW w:w="519" w:type="dxa"/>
            <w:tcBorders>
              <w:top w:val="nil"/>
              <w:left w:val="nil"/>
              <w:bottom w:val="nil"/>
              <w:right w:val="nil"/>
            </w:tcBorders>
            <w:shd w:val="clear" w:color="auto" w:fill="auto"/>
            <w:noWrap/>
            <w:vAlign w:val="bottom"/>
            <w:hideMark/>
          </w:tcPr>
          <w:p w14:paraId="7E11CD29" w14:textId="77777777" w:rsidR="005B7046" w:rsidRPr="00CA3E58" w:rsidRDefault="005B7046" w:rsidP="0001256C">
            <w:pPr>
              <w:jc w:val="both"/>
              <w:rPr>
                <w:rFonts w:ascii="Arial" w:hAnsi="Arial" w:cs="Arial"/>
                <w:sz w:val="20"/>
                <w:szCs w:val="20"/>
              </w:rPr>
            </w:pPr>
          </w:p>
        </w:tc>
        <w:tc>
          <w:tcPr>
            <w:tcW w:w="1004" w:type="dxa"/>
            <w:gridSpan w:val="2"/>
            <w:tcBorders>
              <w:top w:val="nil"/>
              <w:left w:val="nil"/>
              <w:bottom w:val="nil"/>
              <w:right w:val="nil"/>
            </w:tcBorders>
            <w:shd w:val="clear" w:color="auto" w:fill="auto"/>
            <w:noWrap/>
            <w:vAlign w:val="bottom"/>
            <w:hideMark/>
          </w:tcPr>
          <w:p w14:paraId="0BF89316" w14:textId="77777777" w:rsidR="005B7046" w:rsidRPr="00CA3E58" w:rsidRDefault="005B7046" w:rsidP="0001256C">
            <w:pPr>
              <w:jc w:val="both"/>
              <w:rPr>
                <w:rFonts w:ascii="Arial" w:hAnsi="Arial" w:cs="Arial"/>
                <w:sz w:val="20"/>
                <w:szCs w:val="20"/>
              </w:rPr>
            </w:pPr>
          </w:p>
        </w:tc>
      </w:tr>
      <w:tr w:rsidR="005B7046" w:rsidRPr="00424FB2" w14:paraId="6354CC48" w14:textId="77777777" w:rsidTr="005B7046">
        <w:tblPrEx>
          <w:jc w:val="center"/>
        </w:tblPrEx>
        <w:trPr>
          <w:gridAfter w:val="1"/>
          <w:wAfter w:w="707" w:type="dxa"/>
          <w:trHeight w:val="314"/>
          <w:jc w:val="center"/>
        </w:trPr>
        <w:tc>
          <w:tcPr>
            <w:tcW w:w="11405" w:type="dxa"/>
            <w:gridSpan w:val="12"/>
            <w:tcBorders>
              <w:top w:val="single" w:sz="4" w:space="0" w:color="auto"/>
              <w:left w:val="single" w:sz="4" w:space="0" w:color="auto"/>
              <w:bottom w:val="single" w:sz="4" w:space="0" w:color="auto"/>
              <w:right w:val="single" w:sz="4" w:space="0" w:color="000000"/>
            </w:tcBorders>
            <w:shd w:val="clear" w:color="auto" w:fill="auto"/>
            <w:vAlign w:val="bottom"/>
            <w:hideMark/>
          </w:tcPr>
          <w:p w14:paraId="67F95593" w14:textId="77777777" w:rsidR="005B7046" w:rsidRPr="004A5DB2" w:rsidRDefault="005B7046" w:rsidP="0001256C">
            <w:pPr>
              <w:jc w:val="both"/>
              <w:rPr>
                <w:rFonts w:ascii="Arial" w:hAnsi="Arial" w:cs="Arial"/>
                <w:b/>
                <w:bCs/>
                <w:sz w:val="18"/>
                <w:szCs w:val="18"/>
                <w:u w:val="single"/>
              </w:rPr>
            </w:pPr>
            <w:r w:rsidRPr="004A5DB2">
              <w:rPr>
                <w:rFonts w:ascii="Arial" w:hAnsi="Arial" w:cs="Arial"/>
                <w:b/>
                <w:bCs/>
                <w:sz w:val="18"/>
                <w:szCs w:val="18"/>
                <w:u w:val="single"/>
              </w:rPr>
              <w:lastRenderedPageBreak/>
              <w:t>Definition, Validation, Verifications, and Limitations:</w:t>
            </w:r>
          </w:p>
        </w:tc>
      </w:tr>
      <w:tr w:rsidR="005B7046" w:rsidRPr="00424FB2" w14:paraId="41E642E7" w14:textId="77777777" w:rsidTr="005B7046">
        <w:tblPrEx>
          <w:jc w:val="center"/>
        </w:tblPrEx>
        <w:trPr>
          <w:gridAfter w:val="1"/>
          <w:wAfter w:w="707" w:type="dxa"/>
          <w:trHeight w:val="827"/>
          <w:jc w:val="center"/>
        </w:trPr>
        <w:tc>
          <w:tcPr>
            <w:tcW w:w="11405" w:type="dxa"/>
            <w:gridSpan w:val="12"/>
            <w:tcBorders>
              <w:top w:val="nil"/>
              <w:left w:val="single" w:sz="4" w:space="0" w:color="auto"/>
              <w:bottom w:val="single" w:sz="4" w:space="0" w:color="auto"/>
              <w:right w:val="single" w:sz="4" w:space="0" w:color="auto"/>
            </w:tcBorders>
            <w:shd w:val="clear" w:color="auto" w:fill="auto"/>
            <w:hideMark/>
          </w:tcPr>
          <w:p w14:paraId="472DC4DE" w14:textId="77777777" w:rsidR="005B7046" w:rsidRPr="00424FB2" w:rsidRDefault="005B7046" w:rsidP="0001256C">
            <w:pPr>
              <w:jc w:val="both"/>
              <w:rPr>
                <w:rFonts w:ascii="Arial" w:hAnsi="Arial" w:cs="Arial"/>
                <w:sz w:val="18"/>
                <w:szCs w:val="18"/>
                <w:u w:val="single"/>
              </w:rPr>
            </w:pPr>
            <w:r w:rsidRPr="00424FB2">
              <w:rPr>
                <w:rFonts w:ascii="Arial" w:hAnsi="Arial" w:cs="Arial"/>
                <w:sz w:val="18"/>
                <w:szCs w:val="18"/>
                <w:u w:val="single"/>
              </w:rPr>
              <w:t>COPS Office-related contribution to a 3% rate of change over 36 months in homicide violent crime rates through the implementation of a comprehensive community policing strategy within targeted COPS-funded cities compared to the crime rates of cities of similar size and demographics that have not received COPS funding. </w:t>
            </w:r>
            <w:r w:rsidRPr="00424FB2">
              <w:rPr>
                <w:rFonts w:ascii="Arial" w:hAnsi="Arial" w:cs="Arial"/>
                <w:sz w:val="18"/>
                <w:szCs w:val="18"/>
              </w:rPr>
              <w:t xml:space="preserve"> This measure will also include one indicator, the overall violent crime rate for the targeted hiring grantees.  Note:  The COPS Office agrees that results from the pilot measures will be generalizable to similar hiring grants targeted to specific local public safety problems.</w:t>
            </w:r>
          </w:p>
        </w:tc>
      </w:tr>
      <w:tr w:rsidR="005B7046" w:rsidRPr="00424FB2" w14:paraId="019E90C4" w14:textId="77777777" w:rsidTr="005B7046">
        <w:tblPrEx>
          <w:jc w:val="center"/>
        </w:tblPrEx>
        <w:trPr>
          <w:gridAfter w:val="1"/>
          <w:wAfter w:w="707" w:type="dxa"/>
          <w:trHeight w:val="1448"/>
          <w:jc w:val="center"/>
        </w:trPr>
        <w:tc>
          <w:tcPr>
            <w:tcW w:w="11405" w:type="dxa"/>
            <w:gridSpan w:val="12"/>
            <w:tcBorders>
              <w:top w:val="single" w:sz="4" w:space="0" w:color="auto"/>
              <w:left w:val="single" w:sz="4" w:space="0" w:color="auto"/>
              <w:bottom w:val="single" w:sz="4" w:space="0" w:color="auto"/>
              <w:right w:val="single" w:sz="4" w:space="0" w:color="auto"/>
            </w:tcBorders>
            <w:shd w:val="clear" w:color="auto" w:fill="auto"/>
            <w:hideMark/>
          </w:tcPr>
          <w:p w14:paraId="39A171FC" w14:textId="77777777" w:rsidR="005B7046" w:rsidRPr="00424FB2" w:rsidRDefault="005B7046" w:rsidP="0001256C">
            <w:pPr>
              <w:jc w:val="both"/>
              <w:rPr>
                <w:rFonts w:ascii="Arial" w:hAnsi="Arial" w:cs="Arial"/>
                <w:sz w:val="18"/>
                <w:szCs w:val="18"/>
                <w:u w:val="single"/>
              </w:rPr>
            </w:pPr>
            <w:r w:rsidRPr="00424FB2">
              <w:rPr>
                <w:rFonts w:ascii="Arial" w:hAnsi="Arial" w:cs="Arial"/>
                <w:sz w:val="18"/>
                <w:szCs w:val="18"/>
                <w:u w:val="single"/>
              </w:rPr>
              <w:t>Effectiveness rating of COPS grant resources in increasing Community Policing capacity</w:t>
            </w:r>
            <w:r>
              <w:rPr>
                <w:rFonts w:ascii="Arial" w:hAnsi="Arial" w:cs="Arial"/>
                <w:sz w:val="18"/>
                <w:szCs w:val="18"/>
                <w:u w:val="single"/>
              </w:rPr>
              <w:t xml:space="preserve"> of grantees</w:t>
            </w:r>
            <w:r w:rsidRPr="00424FB2">
              <w:rPr>
                <w:rFonts w:ascii="Arial" w:hAnsi="Arial" w:cs="Arial"/>
                <w:sz w:val="18"/>
                <w:szCs w:val="18"/>
                <w:u w:val="single"/>
              </w:rPr>
              <w:t xml:space="preserve">: </w:t>
            </w:r>
            <w:r w:rsidRPr="00424FB2">
              <w:rPr>
                <w:rFonts w:ascii="Arial" w:hAnsi="Arial" w:cs="Arial"/>
                <w:sz w:val="18"/>
                <w:szCs w:val="18"/>
              </w:rPr>
              <w:t xml:space="preserve"> This measure is the average community policing capacity implementation rating (0 to 100) of grantees. The COPS Office, through the Federal Consulting Group, has asked CFI Group, a third party independent research firm to conduct a survey to determine how COPS grants have increased grantee agencies' capacity to implement community policing strategies.  The rating is on a scale of 0 to 100 points with 100 being the highest rating.  The sample included all COPS Office grantees with active grants and was sent to the law enforcement executive to complete.  Grantees were asked to answer questions related to how COPS grants have increased their agency's capacity to implement community policing strategies within the three primary elements of community policing: 1) developing community/law enforcement partnerships; 2) problem-solving; and 3) organizational change.  </w:t>
            </w:r>
            <w:r w:rsidRPr="00CB0B46">
              <w:rPr>
                <w:rFonts w:ascii="Arial" w:hAnsi="Arial" w:cs="Arial"/>
                <w:i/>
                <w:sz w:val="18"/>
                <w:szCs w:val="18"/>
              </w:rPr>
              <w:t>This measure is discontinued in FY</w:t>
            </w:r>
            <w:r w:rsidR="000908F2">
              <w:rPr>
                <w:rFonts w:ascii="Arial" w:hAnsi="Arial" w:cs="Arial"/>
                <w:i/>
                <w:sz w:val="18"/>
                <w:szCs w:val="18"/>
              </w:rPr>
              <w:t xml:space="preserve"> </w:t>
            </w:r>
            <w:r w:rsidRPr="00CB0B46">
              <w:rPr>
                <w:rFonts w:ascii="Arial" w:hAnsi="Arial" w:cs="Arial"/>
                <w:i/>
                <w:sz w:val="18"/>
                <w:szCs w:val="18"/>
              </w:rPr>
              <w:t>2013.</w:t>
            </w:r>
          </w:p>
        </w:tc>
      </w:tr>
      <w:tr w:rsidR="005B7046" w:rsidRPr="00424FB2" w14:paraId="7BFEF4FF" w14:textId="77777777" w:rsidTr="005B7046">
        <w:tblPrEx>
          <w:jc w:val="center"/>
        </w:tblPrEx>
        <w:trPr>
          <w:gridAfter w:val="1"/>
          <w:wAfter w:w="707" w:type="dxa"/>
          <w:trHeight w:val="242"/>
          <w:jc w:val="center"/>
        </w:trPr>
        <w:tc>
          <w:tcPr>
            <w:tcW w:w="11405" w:type="dxa"/>
            <w:gridSpan w:val="12"/>
            <w:tcBorders>
              <w:top w:val="single" w:sz="4" w:space="0" w:color="auto"/>
              <w:left w:val="single" w:sz="4" w:space="0" w:color="auto"/>
              <w:bottom w:val="single" w:sz="4" w:space="0" w:color="auto"/>
              <w:right w:val="single" w:sz="4" w:space="0" w:color="auto"/>
            </w:tcBorders>
            <w:shd w:val="clear" w:color="auto" w:fill="auto"/>
            <w:hideMark/>
          </w:tcPr>
          <w:p w14:paraId="3B2455DE" w14:textId="77777777" w:rsidR="005B7046" w:rsidRPr="00424FB2" w:rsidRDefault="005B7046" w:rsidP="0001256C">
            <w:pPr>
              <w:jc w:val="both"/>
              <w:rPr>
                <w:rFonts w:ascii="Arial" w:hAnsi="Arial" w:cs="Arial"/>
                <w:sz w:val="18"/>
                <w:szCs w:val="18"/>
                <w:u w:val="single"/>
              </w:rPr>
            </w:pPr>
            <w:r w:rsidRPr="00424FB2">
              <w:rPr>
                <w:rFonts w:ascii="Arial" w:hAnsi="Arial" w:cs="Arial"/>
                <w:sz w:val="18"/>
                <w:szCs w:val="18"/>
                <w:u w:val="single"/>
              </w:rPr>
              <w:t xml:space="preserve">Number of Officers Funded: </w:t>
            </w:r>
            <w:r w:rsidRPr="00424FB2">
              <w:rPr>
                <w:rFonts w:ascii="Arial" w:hAnsi="Arial" w:cs="Arial"/>
                <w:sz w:val="18"/>
                <w:szCs w:val="18"/>
              </w:rPr>
              <w:t>This is the number of officer positions for which the COPS Office has provided grant funding.</w:t>
            </w:r>
          </w:p>
        </w:tc>
      </w:tr>
      <w:tr w:rsidR="005B7046" w:rsidRPr="00424FB2" w14:paraId="3623529D" w14:textId="77777777" w:rsidTr="005B7046">
        <w:tblPrEx>
          <w:jc w:val="center"/>
        </w:tblPrEx>
        <w:trPr>
          <w:gridAfter w:val="1"/>
          <w:wAfter w:w="707" w:type="dxa"/>
          <w:trHeight w:val="298"/>
          <w:jc w:val="center"/>
        </w:trPr>
        <w:tc>
          <w:tcPr>
            <w:tcW w:w="11405" w:type="dxa"/>
            <w:gridSpan w:val="12"/>
            <w:tcBorders>
              <w:top w:val="single" w:sz="4" w:space="0" w:color="auto"/>
              <w:left w:val="single" w:sz="4" w:space="0" w:color="auto"/>
              <w:bottom w:val="single" w:sz="4" w:space="0" w:color="auto"/>
              <w:right w:val="single" w:sz="4" w:space="0" w:color="auto"/>
            </w:tcBorders>
            <w:shd w:val="clear" w:color="auto" w:fill="auto"/>
            <w:hideMark/>
          </w:tcPr>
          <w:p w14:paraId="7F09CDA6" w14:textId="77777777" w:rsidR="005B7046" w:rsidRPr="00424FB2" w:rsidRDefault="005B7046" w:rsidP="0001256C">
            <w:pPr>
              <w:jc w:val="both"/>
              <w:rPr>
                <w:rFonts w:ascii="Arial" w:hAnsi="Arial" w:cs="Arial"/>
                <w:sz w:val="18"/>
                <w:szCs w:val="18"/>
                <w:u w:val="single"/>
              </w:rPr>
            </w:pPr>
            <w:r w:rsidRPr="00424FB2">
              <w:rPr>
                <w:rFonts w:ascii="Arial" w:hAnsi="Arial" w:cs="Arial"/>
                <w:sz w:val="18"/>
                <w:szCs w:val="18"/>
                <w:u w:val="single"/>
              </w:rPr>
              <w:t xml:space="preserve">Number of Officers Hired: </w:t>
            </w:r>
            <w:r w:rsidRPr="00424FB2">
              <w:rPr>
                <w:rFonts w:ascii="Arial" w:hAnsi="Arial" w:cs="Arial"/>
                <w:sz w:val="18"/>
                <w:szCs w:val="18"/>
              </w:rPr>
              <w:t xml:space="preserve">This is the number of COPS funded officer positions that law </w:t>
            </w:r>
            <w:r>
              <w:rPr>
                <w:rFonts w:ascii="Arial" w:hAnsi="Arial" w:cs="Arial"/>
                <w:sz w:val="18"/>
                <w:szCs w:val="18"/>
              </w:rPr>
              <w:t>enforcement agencies have hired. The data is submitted by agencies through periodic progress reports.</w:t>
            </w:r>
          </w:p>
        </w:tc>
      </w:tr>
      <w:tr w:rsidR="005B7046" w:rsidRPr="00424FB2" w14:paraId="215D9FE0" w14:textId="77777777" w:rsidTr="005B7046">
        <w:tblPrEx>
          <w:jc w:val="center"/>
        </w:tblPrEx>
        <w:trPr>
          <w:gridAfter w:val="1"/>
          <w:wAfter w:w="707" w:type="dxa"/>
          <w:trHeight w:val="1457"/>
          <w:jc w:val="center"/>
        </w:trPr>
        <w:tc>
          <w:tcPr>
            <w:tcW w:w="11405" w:type="dxa"/>
            <w:gridSpan w:val="12"/>
            <w:tcBorders>
              <w:top w:val="single" w:sz="4" w:space="0" w:color="auto"/>
              <w:left w:val="single" w:sz="4" w:space="0" w:color="auto"/>
              <w:bottom w:val="single" w:sz="4" w:space="0" w:color="auto"/>
              <w:right w:val="single" w:sz="4" w:space="0" w:color="auto"/>
            </w:tcBorders>
            <w:shd w:val="clear" w:color="auto" w:fill="auto"/>
            <w:hideMark/>
          </w:tcPr>
          <w:p w14:paraId="04252DE0" w14:textId="77777777" w:rsidR="005B7046" w:rsidRPr="00424FB2" w:rsidRDefault="005B7046" w:rsidP="0001256C">
            <w:pPr>
              <w:jc w:val="both"/>
              <w:rPr>
                <w:rFonts w:ascii="Arial" w:hAnsi="Arial" w:cs="Arial"/>
                <w:sz w:val="18"/>
                <w:szCs w:val="18"/>
                <w:u w:val="single"/>
              </w:rPr>
            </w:pPr>
            <w:r w:rsidRPr="00424FB2">
              <w:rPr>
                <w:rFonts w:ascii="Arial" w:hAnsi="Arial" w:cs="Arial"/>
                <w:sz w:val="18"/>
                <w:szCs w:val="18"/>
                <w:u w:val="single"/>
              </w:rPr>
              <w:t xml:space="preserve">Effectiveness rating of COPS </w:t>
            </w:r>
            <w:r>
              <w:rPr>
                <w:rFonts w:ascii="Arial" w:hAnsi="Arial" w:cs="Arial"/>
                <w:sz w:val="18"/>
                <w:szCs w:val="18"/>
                <w:u w:val="single"/>
              </w:rPr>
              <w:t>knowledge</w:t>
            </w:r>
            <w:r w:rsidRPr="00424FB2">
              <w:rPr>
                <w:rFonts w:ascii="Arial" w:hAnsi="Arial" w:cs="Arial"/>
                <w:sz w:val="18"/>
                <w:szCs w:val="18"/>
                <w:u w:val="single"/>
              </w:rPr>
              <w:t xml:space="preserve"> resources in increasing Community Policing capacity:  </w:t>
            </w:r>
            <w:r w:rsidRPr="00424FB2">
              <w:rPr>
                <w:rFonts w:ascii="Arial" w:hAnsi="Arial" w:cs="Arial"/>
                <w:sz w:val="18"/>
                <w:szCs w:val="18"/>
              </w:rPr>
              <w:t xml:space="preserve">This measure is the average community policing capacity implementation rating (0 to 100) of grantees. The COPS Office, through the Federal Consulting Group, has asked CFI Group, a third party independent research firm to conduct a survey to determine how COPS grants have increased grantee agencies' capacity to implement community policing strategies.  The rating is on a scale of 0 to 100 points with 100 being the highest rating.  The sample included all COPS Office grantees with active grants and was sent to the law enforcement executive to complete.  Grantees were asked to answer questions related to how COPS grants have increased their agency's capacity to implement community policing strategies within the three primary elements of community policing: 1) developing community/law enforcement partnerships; 2) problem-solving; and 3) organizational change. </w:t>
            </w:r>
            <w:r w:rsidRPr="00DC301E">
              <w:rPr>
                <w:rFonts w:ascii="Arial" w:hAnsi="Arial" w:cs="Arial"/>
                <w:i/>
                <w:sz w:val="18"/>
                <w:szCs w:val="18"/>
              </w:rPr>
              <w:t>T</w:t>
            </w:r>
            <w:r w:rsidRPr="00CB0B46">
              <w:rPr>
                <w:rFonts w:ascii="Arial" w:hAnsi="Arial" w:cs="Arial"/>
                <w:i/>
                <w:sz w:val="18"/>
                <w:szCs w:val="18"/>
              </w:rPr>
              <w:t>his measure is discontinued in FY</w:t>
            </w:r>
            <w:r w:rsidR="000908F2">
              <w:rPr>
                <w:rFonts w:ascii="Arial" w:hAnsi="Arial" w:cs="Arial"/>
                <w:i/>
                <w:sz w:val="18"/>
                <w:szCs w:val="18"/>
              </w:rPr>
              <w:t xml:space="preserve"> </w:t>
            </w:r>
            <w:r w:rsidRPr="00CB0B46">
              <w:rPr>
                <w:rFonts w:ascii="Arial" w:hAnsi="Arial" w:cs="Arial"/>
                <w:i/>
                <w:sz w:val="18"/>
                <w:szCs w:val="18"/>
              </w:rPr>
              <w:t>2013.</w:t>
            </w:r>
          </w:p>
        </w:tc>
      </w:tr>
      <w:tr w:rsidR="005B7046" w:rsidRPr="00424FB2" w14:paraId="4EF29A16" w14:textId="77777777" w:rsidTr="005B7046">
        <w:tblPrEx>
          <w:jc w:val="center"/>
        </w:tblPrEx>
        <w:trPr>
          <w:gridAfter w:val="1"/>
          <w:wAfter w:w="707" w:type="dxa"/>
          <w:trHeight w:val="1322"/>
          <w:jc w:val="center"/>
        </w:trPr>
        <w:tc>
          <w:tcPr>
            <w:tcW w:w="11405" w:type="dxa"/>
            <w:gridSpan w:val="12"/>
            <w:tcBorders>
              <w:top w:val="single" w:sz="4" w:space="0" w:color="auto"/>
              <w:left w:val="single" w:sz="4" w:space="0" w:color="auto"/>
              <w:bottom w:val="single" w:sz="4" w:space="0" w:color="auto"/>
              <w:right w:val="single" w:sz="4" w:space="0" w:color="auto"/>
            </w:tcBorders>
            <w:shd w:val="clear" w:color="auto" w:fill="auto"/>
            <w:hideMark/>
          </w:tcPr>
          <w:p w14:paraId="1FCB2261" w14:textId="77777777" w:rsidR="005B7046" w:rsidRPr="00424FB2" w:rsidRDefault="005B7046" w:rsidP="0001256C">
            <w:pPr>
              <w:jc w:val="both"/>
              <w:rPr>
                <w:rFonts w:ascii="Arial" w:hAnsi="Arial" w:cs="Arial"/>
                <w:sz w:val="18"/>
                <w:szCs w:val="18"/>
                <w:u w:val="single"/>
              </w:rPr>
            </w:pPr>
            <w:r w:rsidRPr="00424FB2">
              <w:rPr>
                <w:rFonts w:ascii="Arial" w:hAnsi="Arial" w:cs="Arial"/>
                <w:sz w:val="18"/>
                <w:szCs w:val="18"/>
                <w:u w:val="single"/>
              </w:rPr>
              <w:t xml:space="preserve">Improve knowledge resource recipient satisfactions rating: </w:t>
            </w:r>
            <w:r w:rsidRPr="00424FB2">
              <w:rPr>
                <w:rFonts w:ascii="Arial" w:hAnsi="Arial" w:cs="Arial"/>
                <w:sz w:val="18"/>
                <w:szCs w:val="18"/>
              </w:rPr>
              <w:t>The COPS Office's knowledge resources include training, technical assistance, and publications.  The COPS Office, through the Federal Consulting Group, has asked CFI Group, a third party independent research firm to conduct a survey to determine the level of satisfaction training and technical assistance recipients and publication recipients have with the COPS Office's knowledge resources.  The CFI group uses the American Customer Satisfaction Index (ACSI) to determine satisfaction.  The ACSI is used throughout the public and private sectors and is recognized as a statistically reliable and valid way to gather customer satisfaction data.  The data from the ACSI is provided on a 100 point scale with 100 being the highest level of satisfaction.</w:t>
            </w:r>
            <w:r w:rsidRPr="00CB0B46">
              <w:rPr>
                <w:rFonts w:ascii="Arial" w:hAnsi="Arial" w:cs="Arial"/>
                <w:i/>
                <w:sz w:val="18"/>
                <w:szCs w:val="18"/>
              </w:rPr>
              <w:t xml:space="preserve"> </w:t>
            </w:r>
            <w:r w:rsidRPr="00CB0B46">
              <w:rPr>
                <w:rFonts w:ascii="Arial" w:hAnsi="Arial" w:cs="Arial"/>
                <w:i/>
                <w:sz w:val="20"/>
                <w:szCs w:val="20"/>
              </w:rPr>
              <w:t>This measure is discontinued in FY</w:t>
            </w:r>
            <w:r w:rsidR="000908F2">
              <w:rPr>
                <w:rFonts w:ascii="Arial" w:hAnsi="Arial" w:cs="Arial"/>
                <w:i/>
                <w:sz w:val="20"/>
                <w:szCs w:val="20"/>
              </w:rPr>
              <w:t xml:space="preserve"> </w:t>
            </w:r>
            <w:r w:rsidRPr="00CB0B46">
              <w:rPr>
                <w:rFonts w:ascii="Arial" w:hAnsi="Arial" w:cs="Arial"/>
                <w:i/>
                <w:sz w:val="20"/>
                <w:szCs w:val="20"/>
              </w:rPr>
              <w:t>2013.</w:t>
            </w:r>
          </w:p>
        </w:tc>
      </w:tr>
      <w:tr w:rsidR="005B7046" w:rsidRPr="00424FB2" w14:paraId="537B9AA3" w14:textId="77777777" w:rsidTr="005B7046">
        <w:tblPrEx>
          <w:jc w:val="center"/>
        </w:tblPrEx>
        <w:trPr>
          <w:gridAfter w:val="1"/>
          <w:wAfter w:w="707" w:type="dxa"/>
          <w:trHeight w:val="440"/>
          <w:jc w:val="center"/>
        </w:trPr>
        <w:tc>
          <w:tcPr>
            <w:tcW w:w="11405" w:type="dxa"/>
            <w:gridSpan w:val="12"/>
            <w:tcBorders>
              <w:top w:val="single" w:sz="4" w:space="0" w:color="auto"/>
              <w:left w:val="single" w:sz="4" w:space="0" w:color="auto"/>
              <w:bottom w:val="single" w:sz="4" w:space="0" w:color="auto"/>
              <w:right w:val="single" w:sz="4" w:space="0" w:color="auto"/>
            </w:tcBorders>
            <w:shd w:val="clear" w:color="auto" w:fill="auto"/>
            <w:hideMark/>
          </w:tcPr>
          <w:p w14:paraId="4C0E1655" w14:textId="77777777" w:rsidR="005B7046" w:rsidRPr="00424FB2" w:rsidRDefault="005B7046" w:rsidP="0001256C">
            <w:pPr>
              <w:jc w:val="both"/>
              <w:rPr>
                <w:rFonts w:ascii="Arial" w:hAnsi="Arial" w:cs="Arial"/>
                <w:sz w:val="18"/>
                <w:szCs w:val="18"/>
                <w:u w:val="single"/>
              </w:rPr>
            </w:pPr>
            <w:r w:rsidRPr="00424FB2">
              <w:rPr>
                <w:rFonts w:ascii="Arial" w:hAnsi="Arial" w:cs="Arial"/>
                <w:sz w:val="18"/>
                <w:szCs w:val="18"/>
                <w:u w:val="single"/>
              </w:rPr>
              <w:t xml:space="preserve">Number of COPS knowledge resource products distributed: </w:t>
            </w:r>
            <w:r w:rsidRPr="00424FB2">
              <w:rPr>
                <w:rFonts w:ascii="Arial" w:hAnsi="Arial" w:cs="Arial"/>
                <w:sz w:val="18"/>
                <w:szCs w:val="18"/>
              </w:rPr>
              <w:t>This data is collected through the COPS Office Response Center.  This measure includes the number of downloads of COPS products from the website and the number of hard copy orders mailed.  This measure is per Fiscal Year.</w:t>
            </w:r>
          </w:p>
        </w:tc>
      </w:tr>
      <w:tr w:rsidR="005B7046" w:rsidRPr="00424FB2" w14:paraId="33AAD6B5" w14:textId="77777777" w:rsidTr="005B7046">
        <w:tblPrEx>
          <w:jc w:val="center"/>
        </w:tblPrEx>
        <w:trPr>
          <w:gridAfter w:val="1"/>
          <w:wAfter w:w="707" w:type="dxa"/>
          <w:trHeight w:val="440"/>
          <w:jc w:val="center"/>
        </w:trPr>
        <w:tc>
          <w:tcPr>
            <w:tcW w:w="11405" w:type="dxa"/>
            <w:gridSpan w:val="12"/>
            <w:tcBorders>
              <w:top w:val="single" w:sz="4" w:space="0" w:color="auto"/>
              <w:left w:val="single" w:sz="4" w:space="0" w:color="auto"/>
              <w:bottom w:val="single" w:sz="4" w:space="0" w:color="auto"/>
              <w:right w:val="single" w:sz="4" w:space="0" w:color="auto"/>
            </w:tcBorders>
            <w:shd w:val="clear" w:color="auto" w:fill="auto"/>
            <w:hideMark/>
          </w:tcPr>
          <w:p w14:paraId="47E83E4C" w14:textId="77777777" w:rsidR="005B7046" w:rsidRPr="00424FB2" w:rsidRDefault="005B7046" w:rsidP="0001256C">
            <w:pPr>
              <w:jc w:val="both"/>
              <w:rPr>
                <w:rFonts w:ascii="Arial" w:hAnsi="Arial" w:cs="Arial"/>
                <w:sz w:val="18"/>
                <w:szCs w:val="18"/>
                <w:u w:val="single"/>
              </w:rPr>
            </w:pPr>
            <w:r w:rsidRPr="00424FB2">
              <w:rPr>
                <w:rFonts w:ascii="Arial" w:hAnsi="Arial" w:cs="Arial"/>
                <w:sz w:val="18"/>
                <w:szCs w:val="18"/>
                <w:u w:val="single"/>
              </w:rPr>
              <w:t xml:space="preserve">Number of people trained:  </w:t>
            </w:r>
            <w:r w:rsidRPr="00424FB2">
              <w:rPr>
                <w:rFonts w:ascii="Arial" w:hAnsi="Arial" w:cs="Arial"/>
                <w:sz w:val="18"/>
                <w:szCs w:val="18"/>
              </w:rPr>
              <w:t xml:space="preserve">This measure is provided by the COPS Office community policing training providers including Regional Community Policing Institutes.  </w:t>
            </w:r>
          </w:p>
        </w:tc>
      </w:tr>
    </w:tbl>
    <w:p w14:paraId="3BFBA337" w14:textId="77777777" w:rsidR="005B7046" w:rsidRDefault="005B7046" w:rsidP="0001256C">
      <w:pPr>
        <w:tabs>
          <w:tab w:val="left" w:pos="13140"/>
        </w:tabs>
        <w:jc w:val="both"/>
        <w:sectPr w:rsidR="005B7046" w:rsidSect="00272DA3">
          <w:pgSz w:w="15840" w:h="12240" w:orient="landscape" w:code="1"/>
          <w:pgMar w:top="1440" w:right="1152" w:bottom="1440" w:left="1152" w:header="432" w:footer="432" w:gutter="0"/>
          <w:cols w:space="720"/>
          <w:docGrid w:linePitch="326"/>
        </w:sectPr>
      </w:pPr>
    </w:p>
    <w:p w14:paraId="3FB13711" w14:textId="77777777" w:rsidR="005B7046" w:rsidRDefault="005B7046" w:rsidP="0001256C">
      <w:pPr>
        <w:tabs>
          <w:tab w:val="left" w:pos="13140"/>
        </w:tabs>
        <w:jc w:val="both"/>
        <w:rPr>
          <w:sz w:val="16"/>
        </w:rPr>
      </w:pPr>
    </w:p>
    <w:p w14:paraId="0C9A68F6" w14:textId="77777777" w:rsidR="005B7046" w:rsidRDefault="005B7046" w:rsidP="0001256C">
      <w:pPr>
        <w:tabs>
          <w:tab w:val="left" w:pos="465"/>
          <w:tab w:val="left" w:pos="13140"/>
        </w:tabs>
        <w:jc w:val="both"/>
        <w:rPr>
          <w:sz w:val="16"/>
        </w:rPr>
      </w:pPr>
      <w:r>
        <w:rPr>
          <w:sz w:val="16"/>
        </w:rPr>
        <w:tab/>
      </w:r>
    </w:p>
    <w:tbl>
      <w:tblPr>
        <w:tblW w:w="5081" w:type="pct"/>
        <w:tblLayout w:type="fixed"/>
        <w:tblLook w:val="04A0" w:firstRow="1" w:lastRow="0" w:firstColumn="1" w:lastColumn="0" w:noHBand="0" w:noVBand="1"/>
      </w:tblPr>
      <w:tblGrid>
        <w:gridCol w:w="2783"/>
        <w:gridCol w:w="3446"/>
        <w:gridCol w:w="897"/>
        <w:gridCol w:w="722"/>
        <w:gridCol w:w="719"/>
        <w:gridCol w:w="719"/>
        <w:gridCol w:w="814"/>
        <w:gridCol w:w="811"/>
        <w:gridCol w:w="758"/>
        <w:gridCol w:w="1040"/>
        <w:gridCol w:w="1170"/>
        <w:gridCol w:w="974"/>
      </w:tblGrid>
      <w:tr w:rsidR="005B7046" w:rsidRPr="00CA3E58" w14:paraId="487F4C14" w14:textId="77777777" w:rsidTr="005B7046">
        <w:trPr>
          <w:trHeight w:val="555"/>
        </w:trPr>
        <w:tc>
          <w:tcPr>
            <w:tcW w:w="4278" w:type="pct"/>
            <w:gridSpan w:val="10"/>
            <w:tcBorders>
              <w:top w:val="single" w:sz="4" w:space="0" w:color="auto"/>
              <w:left w:val="single" w:sz="4" w:space="0" w:color="auto"/>
              <w:bottom w:val="single" w:sz="4" w:space="0" w:color="auto"/>
              <w:right w:val="nil"/>
            </w:tcBorders>
            <w:shd w:val="clear" w:color="auto" w:fill="auto"/>
            <w:vAlign w:val="center"/>
            <w:hideMark/>
          </w:tcPr>
          <w:p w14:paraId="1AB95A6B" w14:textId="77777777" w:rsidR="005B7046" w:rsidRPr="00CA3E58" w:rsidRDefault="005B7046" w:rsidP="0001256C">
            <w:pPr>
              <w:jc w:val="both"/>
              <w:rPr>
                <w:rFonts w:ascii="Arial" w:hAnsi="Arial" w:cs="Arial"/>
                <w:b/>
                <w:bCs/>
                <w:sz w:val="20"/>
                <w:szCs w:val="20"/>
              </w:rPr>
            </w:pPr>
            <w:r w:rsidRPr="00CA3E58">
              <w:rPr>
                <w:rFonts w:ascii="Arial" w:hAnsi="Arial" w:cs="Arial"/>
                <w:b/>
                <w:bCs/>
                <w:sz w:val="20"/>
                <w:szCs w:val="20"/>
              </w:rPr>
              <w:t>PERFORMANCE MEASURE TABLE</w:t>
            </w:r>
          </w:p>
        </w:tc>
        <w:tc>
          <w:tcPr>
            <w:tcW w:w="394" w:type="pct"/>
            <w:tcBorders>
              <w:top w:val="single" w:sz="4" w:space="0" w:color="auto"/>
              <w:left w:val="nil"/>
              <w:bottom w:val="nil"/>
              <w:right w:val="nil"/>
            </w:tcBorders>
            <w:shd w:val="clear" w:color="auto" w:fill="auto"/>
            <w:noWrap/>
            <w:vAlign w:val="bottom"/>
            <w:hideMark/>
          </w:tcPr>
          <w:p w14:paraId="53CE856D" w14:textId="77777777" w:rsidR="005B7046" w:rsidRPr="00CA3E58" w:rsidRDefault="005B7046" w:rsidP="0001256C">
            <w:pPr>
              <w:jc w:val="both"/>
              <w:rPr>
                <w:rFonts w:ascii="Arial" w:hAnsi="Arial" w:cs="Arial"/>
                <w:sz w:val="20"/>
                <w:szCs w:val="20"/>
              </w:rPr>
            </w:pPr>
            <w:r w:rsidRPr="00CA3E58">
              <w:rPr>
                <w:rFonts w:ascii="Arial" w:hAnsi="Arial" w:cs="Arial"/>
                <w:sz w:val="20"/>
                <w:szCs w:val="20"/>
              </w:rPr>
              <w:t> </w:t>
            </w:r>
          </w:p>
        </w:tc>
        <w:tc>
          <w:tcPr>
            <w:tcW w:w="328" w:type="pct"/>
            <w:tcBorders>
              <w:top w:val="single" w:sz="4" w:space="0" w:color="auto"/>
              <w:left w:val="nil"/>
              <w:bottom w:val="single" w:sz="4" w:space="0" w:color="auto"/>
              <w:right w:val="single" w:sz="4" w:space="0" w:color="auto"/>
            </w:tcBorders>
            <w:shd w:val="clear" w:color="auto" w:fill="auto"/>
            <w:noWrap/>
            <w:vAlign w:val="bottom"/>
            <w:hideMark/>
          </w:tcPr>
          <w:p w14:paraId="34E1762C" w14:textId="77777777" w:rsidR="005B7046" w:rsidRPr="00CA3E58" w:rsidRDefault="005B7046" w:rsidP="0001256C">
            <w:pPr>
              <w:jc w:val="both"/>
              <w:rPr>
                <w:rFonts w:ascii="Arial" w:hAnsi="Arial" w:cs="Arial"/>
                <w:sz w:val="20"/>
                <w:szCs w:val="20"/>
              </w:rPr>
            </w:pPr>
            <w:r w:rsidRPr="00CA3E58">
              <w:rPr>
                <w:rFonts w:ascii="Arial" w:hAnsi="Arial" w:cs="Arial"/>
                <w:sz w:val="20"/>
                <w:szCs w:val="20"/>
              </w:rPr>
              <w:t> </w:t>
            </w:r>
          </w:p>
        </w:tc>
      </w:tr>
      <w:tr w:rsidR="005B7046" w:rsidRPr="00CA3E58" w14:paraId="69D84E82" w14:textId="77777777" w:rsidTr="005B7046">
        <w:trPr>
          <w:trHeight w:val="480"/>
        </w:trPr>
        <w:tc>
          <w:tcPr>
            <w:tcW w:w="4278" w:type="pct"/>
            <w:gridSpan w:val="10"/>
            <w:tcBorders>
              <w:top w:val="single" w:sz="4" w:space="0" w:color="auto"/>
              <w:left w:val="single" w:sz="4" w:space="0" w:color="auto"/>
              <w:bottom w:val="single" w:sz="4" w:space="0" w:color="auto"/>
              <w:right w:val="nil"/>
            </w:tcBorders>
            <w:shd w:val="clear" w:color="auto" w:fill="auto"/>
            <w:vAlign w:val="bottom"/>
            <w:hideMark/>
          </w:tcPr>
          <w:p w14:paraId="569669CA" w14:textId="77777777" w:rsidR="005B7046" w:rsidRPr="00CA3E58" w:rsidRDefault="005B7046" w:rsidP="0001256C">
            <w:pPr>
              <w:jc w:val="both"/>
              <w:rPr>
                <w:rFonts w:ascii="Arial" w:hAnsi="Arial" w:cs="Arial"/>
                <w:b/>
                <w:bCs/>
                <w:sz w:val="20"/>
                <w:szCs w:val="20"/>
              </w:rPr>
            </w:pPr>
            <w:r w:rsidRPr="00CA3E58">
              <w:rPr>
                <w:rFonts w:ascii="Arial" w:hAnsi="Arial" w:cs="Arial"/>
                <w:b/>
                <w:bCs/>
                <w:sz w:val="20"/>
                <w:szCs w:val="20"/>
              </w:rPr>
              <w:t>Decision Unit: Community Oriented Policing Services</w:t>
            </w:r>
          </w:p>
        </w:tc>
        <w:tc>
          <w:tcPr>
            <w:tcW w:w="394" w:type="pct"/>
            <w:tcBorders>
              <w:top w:val="single" w:sz="4" w:space="0" w:color="auto"/>
              <w:left w:val="nil"/>
              <w:bottom w:val="single" w:sz="4" w:space="0" w:color="auto"/>
              <w:right w:val="nil"/>
            </w:tcBorders>
            <w:shd w:val="clear" w:color="auto" w:fill="auto"/>
            <w:vAlign w:val="bottom"/>
            <w:hideMark/>
          </w:tcPr>
          <w:p w14:paraId="63655202" w14:textId="77777777" w:rsidR="005B7046" w:rsidRPr="00CA3E58" w:rsidRDefault="005B7046" w:rsidP="0001256C">
            <w:pPr>
              <w:jc w:val="both"/>
              <w:rPr>
                <w:rFonts w:ascii="Arial" w:hAnsi="Arial" w:cs="Arial"/>
                <w:b/>
                <w:bCs/>
                <w:sz w:val="20"/>
                <w:szCs w:val="20"/>
              </w:rPr>
            </w:pPr>
            <w:r w:rsidRPr="00CA3E58">
              <w:rPr>
                <w:rFonts w:ascii="Arial" w:hAnsi="Arial" w:cs="Arial"/>
                <w:b/>
                <w:bCs/>
                <w:sz w:val="20"/>
                <w:szCs w:val="20"/>
              </w:rPr>
              <w:t> </w:t>
            </w:r>
          </w:p>
        </w:tc>
        <w:tc>
          <w:tcPr>
            <w:tcW w:w="328" w:type="pct"/>
            <w:tcBorders>
              <w:top w:val="nil"/>
              <w:left w:val="nil"/>
              <w:bottom w:val="nil"/>
              <w:right w:val="single" w:sz="4" w:space="0" w:color="auto"/>
            </w:tcBorders>
            <w:shd w:val="clear" w:color="auto" w:fill="auto"/>
            <w:vAlign w:val="bottom"/>
            <w:hideMark/>
          </w:tcPr>
          <w:p w14:paraId="4107F895" w14:textId="77777777" w:rsidR="005B7046" w:rsidRPr="00CA3E58" w:rsidRDefault="005B7046" w:rsidP="0001256C">
            <w:pPr>
              <w:jc w:val="both"/>
              <w:rPr>
                <w:rFonts w:ascii="Arial" w:hAnsi="Arial" w:cs="Arial"/>
                <w:b/>
                <w:bCs/>
                <w:sz w:val="20"/>
                <w:szCs w:val="20"/>
              </w:rPr>
            </w:pPr>
          </w:p>
        </w:tc>
      </w:tr>
      <w:tr w:rsidR="005B7046" w:rsidRPr="00CA3E58" w14:paraId="2C4A65BC" w14:textId="77777777" w:rsidTr="005B7046">
        <w:trPr>
          <w:trHeight w:val="630"/>
        </w:trPr>
        <w:tc>
          <w:tcPr>
            <w:tcW w:w="2097" w:type="pct"/>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2A48BE06" w14:textId="77777777" w:rsidR="005B7046" w:rsidRPr="00CA3E58" w:rsidRDefault="005B7046" w:rsidP="0001256C">
            <w:pPr>
              <w:jc w:val="both"/>
              <w:rPr>
                <w:rFonts w:ascii="Arial" w:hAnsi="Arial" w:cs="Arial"/>
                <w:b/>
                <w:bCs/>
                <w:sz w:val="16"/>
                <w:szCs w:val="16"/>
              </w:rPr>
            </w:pPr>
            <w:r w:rsidRPr="00CA3E58">
              <w:rPr>
                <w:rFonts w:ascii="Arial" w:hAnsi="Arial" w:cs="Arial"/>
                <w:b/>
                <w:bCs/>
                <w:sz w:val="16"/>
                <w:szCs w:val="16"/>
              </w:rPr>
              <w:t>Performance Report and Performance Plan Targets</w:t>
            </w:r>
          </w:p>
        </w:tc>
        <w:tc>
          <w:tcPr>
            <w:tcW w:w="302" w:type="pct"/>
            <w:tcBorders>
              <w:top w:val="nil"/>
              <w:left w:val="single" w:sz="4" w:space="0" w:color="auto"/>
              <w:bottom w:val="single" w:sz="4" w:space="0" w:color="auto"/>
              <w:right w:val="nil"/>
            </w:tcBorders>
            <w:shd w:val="clear" w:color="auto" w:fill="auto"/>
            <w:noWrap/>
            <w:vAlign w:val="center"/>
            <w:hideMark/>
          </w:tcPr>
          <w:p w14:paraId="43AEBC21" w14:textId="77777777" w:rsidR="005B7046" w:rsidRPr="00CA3E58" w:rsidRDefault="005B7046" w:rsidP="0001256C">
            <w:pPr>
              <w:jc w:val="both"/>
              <w:rPr>
                <w:rFonts w:ascii="Arial" w:hAnsi="Arial" w:cs="Arial"/>
                <w:b/>
                <w:bCs/>
                <w:sz w:val="16"/>
                <w:szCs w:val="16"/>
              </w:rPr>
            </w:pPr>
            <w:r w:rsidRPr="00CA3E58">
              <w:rPr>
                <w:rFonts w:ascii="Arial" w:hAnsi="Arial" w:cs="Arial"/>
                <w:b/>
                <w:bCs/>
                <w:sz w:val="16"/>
                <w:szCs w:val="16"/>
              </w:rPr>
              <w:t>FY 2006</w:t>
            </w:r>
          </w:p>
        </w:tc>
        <w:tc>
          <w:tcPr>
            <w:tcW w:w="243" w:type="pct"/>
            <w:tcBorders>
              <w:top w:val="nil"/>
              <w:left w:val="single" w:sz="4" w:space="0" w:color="auto"/>
              <w:bottom w:val="single" w:sz="4" w:space="0" w:color="auto"/>
              <w:right w:val="single" w:sz="4" w:space="0" w:color="auto"/>
            </w:tcBorders>
            <w:shd w:val="clear" w:color="auto" w:fill="auto"/>
            <w:noWrap/>
            <w:vAlign w:val="center"/>
            <w:hideMark/>
          </w:tcPr>
          <w:p w14:paraId="21741090" w14:textId="77777777" w:rsidR="005B7046" w:rsidRPr="00CA3E58" w:rsidRDefault="005B7046" w:rsidP="0001256C">
            <w:pPr>
              <w:jc w:val="both"/>
              <w:rPr>
                <w:rFonts w:ascii="Arial" w:hAnsi="Arial" w:cs="Arial"/>
                <w:b/>
                <w:bCs/>
                <w:sz w:val="16"/>
                <w:szCs w:val="16"/>
              </w:rPr>
            </w:pPr>
            <w:r w:rsidRPr="00CA3E58">
              <w:rPr>
                <w:rFonts w:ascii="Arial" w:hAnsi="Arial" w:cs="Arial"/>
                <w:b/>
                <w:bCs/>
                <w:sz w:val="16"/>
                <w:szCs w:val="16"/>
              </w:rPr>
              <w:t>FY 2007</w:t>
            </w:r>
          </w:p>
        </w:tc>
        <w:tc>
          <w:tcPr>
            <w:tcW w:w="242" w:type="pct"/>
            <w:tcBorders>
              <w:top w:val="nil"/>
              <w:left w:val="nil"/>
              <w:bottom w:val="single" w:sz="4" w:space="0" w:color="auto"/>
              <w:right w:val="single" w:sz="4" w:space="0" w:color="auto"/>
            </w:tcBorders>
            <w:shd w:val="clear" w:color="auto" w:fill="auto"/>
            <w:vAlign w:val="center"/>
            <w:hideMark/>
          </w:tcPr>
          <w:p w14:paraId="7CAC1E3B" w14:textId="77777777" w:rsidR="005B7046" w:rsidRPr="00CA3E58" w:rsidRDefault="005B7046" w:rsidP="0001256C">
            <w:pPr>
              <w:jc w:val="both"/>
              <w:rPr>
                <w:rFonts w:ascii="Arial" w:hAnsi="Arial" w:cs="Arial"/>
                <w:b/>
                <w:bCs/>
                <w:sz w:val="16"/>
                <w:szCs w:val="16"/>
              </w:rPr>
            </w:pPr>
            <w:r w:rsidRPr="00CA3E58">
              <w:rPr>
                <w:rFonts w:ascii="Arial" w:hAnsi="Arial" w:cs="Arial"/>
                <w:b/>
                <w:bCs/>
                <w:sz w:val="16"/>
                <w:szCs w:val="16"/>
              </w:rPr>
              <w:t>FY 2008</w:t>
            </w:r>
          </w:p>
        </w:tc>
        <w:tc>
          <w:tcPr>
            <w:tcW w:w="242" w:type="pct"/>
            <w:tcBorders>
              <w:top w:val="nil"/>
              <w:left w:val="nil"/>
              <w:bottom w:val="single" w:sz="4" w:space="0" w:color="auto"/>
              <w:right w:val="single" w:sz="4" w:space="0" w:color="auto"/>
            </w:tcBorders>
            <w:shd w:val="clear" w:color="auto" w:fill="auto"/>
            <w:noWrap/>
            <w:vAlign w:val="center"/>
            <w:hideMark/>
          </w:tcPr>
          <w:p w14:paraId="7210A6EE" w14:textId="77777777" w:rsidR="005B7046" w:rsidRPr="00CA3E58" w:rsidRDefault="005B7046" w:rsidP="0001256C">
            <w:pPr>
              <w:jc w:val="both"/>
              <w:rPr>
                <w:rFonts w:ascii="Arial" w:hAnsi="Arial" w:cs="Arial"/>
                <w:b/>
                <w:bCs/>
                <w:sz w:val="16"/>
                <w:szCs w:val="16"/>
              </w:rPr>
            </w:pPr>
            <w:r w:rsidRPr="00CA3E58">
              <w:rPr>
                <w:rFonts w:ascii="Arial" w:hAnsi="Arial" w:cs="Arial"/>
                <w:b/>
                <w:bCs/>
                <w:sz w:val="16"/>
                <w:szCs w:val="16"/>
              </w:rPr>
              <w:t>FY 2009</w:t>
            </w:r>
          </w:p>
        </w:tc>
        <w:tc>
          <w:tcPr>
            <w:tcW w:w="274" w:type="pct"/>
            <w:tcBorders>
              <w:top w:val="nil"/>
              <w:left w:val="nil"/>
              <w:bottom w:val="single" w:sz="4" w:space="0" w:color="auto"/>
              <w:right w:val="nil"/>
            </w:tcBorders>
            <w:shd w:val="clear" w:color="auto" w:fill="auto"/>
            <w:vAlign w:val="center"/>
            <w:hideMark/>
          </w:tcPr>
          <w:p w14:paraId="03E0EF14" w14:textId="77777777" w:rsidR="005B7046" w:rsidRPr="00CA3E58" w:rsidRDefault="005B7046" w:rsidP="0001256C">
            <w:pPr>
              <w:jc w:val="both"/>
              <w:rPr>
                <w:rFonts w:ascii="Arial" w:hAnsi="Arial" w:cs="Arial"/>
                <w:b/>
                <w:bCs/>
                <w:sz w:val="16"/>
                <w:szCs w:val="16"/>
              </w:rPr>
            </w:pPr>
            <w:r w:rsidRPr="00CA3E58">
              <w:rPr>
                <w:rFonts w:ascii="Arial" w:hAnsi="Arial" w:cs="Arial"/>
                <w:b/>
                <w:bCs/>
                <w:sz w:val="16"/>
                <w:szCs w:val="16"/>
              </w:rPr>
              <w:t>FY 2010</w:t>
            </w:r>
          </w:p>
        </w:tc>
        <w:tc>
          <w:tcPr>
            <w:tcW w:w="273" w:type="pct"/>
            <w:tcBorders>
              <w:top w:val="nil"/>
              <w:left w:val="single" w:sz="4" w:space="0" w:color="auto"/>
              <w:bottom w:val="single" w:sz="4" w:space="0" w:color="auto"/>
              <w:right w:val="nil"/>
            </w:tcBorders>
            <w:shd w:val="clear" w:color="auto" w:fill="auto"/>
            <w:vAlign w:val="center"/>
            <w:hideMark/>
          </w:tcPr>
          <w:p w14:paraId="6740740E" w14:textId="77777777" w:rsidR="005B7046" w:rsidRPr="00CA3E58" w:rsidRDefault="005B7046" w:rsidP="0001256C">
            <w:pPr>
              <w:jc w:val="both"/>
              <w:rPr>
                <w:rFonts w:ascii="Arial" w:hAnsi="Arial" w:cs="Arial"/>
                <w:b/>
                <w:bCs/>
                <w:sz w:val="16"/>
                <w:szCs w:val="16"/>
              </w:rPr>
            </w:pPr>
            <w:r w:rsidRPr="00CA3E58">
              <w:rPr>
                <w:rFonts w:ascii="Arial" w:hAnsi="Arial" w:cs="Arial"/>
                <w:b/>
                <w:bCs/>
                <w:sz w:val="16"/>
                <w:szCs w:val="16"/>
              </w:rPr>
              <w:t>FY 2011</w:t>
            </w:r>
          </w:p>
        </w:tc>
        <w:tc>
          <w:tcPr>
            <w:tcW w:w="605"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2EB13A38" w14:textId="77777777" w:rsidR="005B7046" w:rsidRPr="00CA3E58" w:rsidRDefault="005B7046" w:rsidP="0001256C">
            <w:pPr>
              <w:jc w:val="both"/>
              <w:rPr>
                <w:rFonts w:ascii="Arial" w:hAnsi="Arial" w:cs="Arial"/>
                <w:b/>
                <w:bCs/>
                <w:sz w:val="16"/>
                <w:szCs w:val="16"/>
              </w:rPr>
            </w:pPr>
            <w:r w:rsidRPr="00CA3E58">
              <w:rPr>
                <w:rFonts w:ascii="Arial" w:hAnsi="Arial" w:cs="Arial"/>
                <w:b/>
                <w:bCs/>
                <w:sz w:val="16"/>
                <w:szCs w:val="16"/>
              </w:rPr>
              <w:t>FY 2012</w:t>
            </w:r>
          </w:p>
        </w:tc>
        <w:tc>
          <w:tcPr>
            <w:tcW w:w="394" w:type="pct"/>
            <w:tcBorders>
              <w:top w:val="nil"/>
              <w:left w:val="nil"/>
              <w:bottom w:val="single" w:sz="4" w:space="0" w:color="auto"/>
              <w:right w:val="nil"/>
            </w:tcBorders>
            <w:shd w:val="clear" w:color="auto" w:fill="auto"/>
            <w:vAlign w:val="center"/>
            <w:hideMark/>
          </w:tcPr>
          <w:p w14:paraId="601336DB" w14:textId="77777777" w:rsidR="005B7046" w:rsidRPr="00CA3E58" w:rsidRDefault="005B7046" w:rsidP="0001256C">
            <w:pPr>
              <w:jc w:val="both"/>
              <w:rPr>
                <w:rFonts w:ascii="Arial" w:hAnsi="Arial" w:cs="Arial"/>
                <w:b/>
                <w:bCs/>
                <w:sz w:val="16"/>
                <w:szCs w:val="16"/>
              </w:rPr>
            </w:pPr>
            <w:r w:rsidRPr="00CA3E58">
              <w:rPr>
                <w:rFonts w:ascii="Arial" w:hAnsi="Arial" w:cs="Arial"/>
                <w:b/>
                <w:bCs/>
                <w:sz w:val="16"/>
                <w:szCs w:val="16"/>
              </w:rPr>
              <w:t>FY 2013</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C2C5875" w14:textId="77777777" w:rsidR="005B7046" w:rsidRPr="00CA3E58" w:rsidRDefault="005B7046" w:rsidP="0001256C">
            <w:pPr>
              <w:jc w:val="both"/>
              <w:rPr>
                <w:rFonts w:ascii="Arial" w:hAnsi="Arial" w:cs="Arial"/>
                <w:b/>
                <w:bCs/>
                <w:sz w:val="16"/>
                <w:szCs w:val="16"/>
              </w:rPr>
            </w:pPr>
            <w:r w:rsidRPr="00CA3E58">
              <w:rPr>
                <w:rFonts w:ascii="Arial" w:hAnsi="Arial" w:cs="Arial"/>
                <w:b/>
                <w:bCs/>
                <w:sz w:val="16"/>
                <w:szCs w:val="16"/>
              </w:rPr>
              <w:t>FY 2014</w:t>
            </w:r>
          </w:p>
        </w:tc>
      </w:tr>
      <w:tr w:rsidR="005B7046" w:rsidRPr="00CA3E58" w14:paraId="11242D52" w14:textId="77777777" w:rsidTr="00507E6F">
        <w:trPr>
          <w:trHeight w:val="450"/>
        </w:trPr>
        <w:tc>
          <w:tcPr>
            <w:tcW w:w="2097" w:type="pct"/>
            <w:gridSpan w:val="2"/>
            <w:vMerge/>
            <w:tcBorders>
              <w:top w:val="single" w:sz="4" w:space="0" w:color="auto"/>
              <w:left w:val="single" w:sz="4" w:space="0" w:color="auto"/>
              <w:bottom w:val="single" w:sz="4" w:space="0" w:color="000000"/>
              <w:right w:val="single" w:sz="4" w:space="0" w:color="000000"/>
            </w:tcBorders>
            <w:vAlign w:val="center"/>
            <w:hideMark/>
          </w:tcPr>
          <w:p w14:paraId="3D2D9FFC" w14:textId="77777777" w:rsidR="005B7046" w:rsidRPr="00CA3E58" w:rsidRDefault="005B7046" w:rsidP="0001256C">
            <w:pPr>
              <w:jc w:val="both"/>
              <w:rPr>
                <w:rFonts w:ascii="Arial" w:hAnsi="Arial" w:cs="Arial"/>
                <w:b/>
                <w:bCs/>
                <w:sz w:val="16"/>
                <w:szCs w:val="16"/>
              </w:rPr>
            </w:pPr>
          </w:p>
        </w:tc>
        <w:tc>
          <w:tcPr>
            <w:tcW w:w="302" w:type="pct"/>
            <w:tcBorders>
              <w:top w:val="nil"/>
              <w:left w:val="nil"/>
              <w:bottom w:val="single" w:sz="4" w:space="0" w:color="auto"/>
              <w:right w:val="single" w:sz="4" w:space="0" w:color="auto"/>
            </w:tcBorders>
            <w:shd w:val="clear" w:color="auto" w:fill="auto"/>
            <w:vAlign w:val="bottom"/>
            <w:hideMark/>
          </w:tcPr>
          <w:p w14:paraId="1A5F535A" w14:textId="77777777" w:rsidR="005B7046" w:rsidRPr="00CA3E58" w:rsidRDefault="005B7046" w:rsidP="0001256C">
            <w:pPr>
              <w:jc w:val="both"/>
              <w:rPr>
                <w:rFonts w:ascii="Arial" w:hAnsi="Arial" w:cs="Arial"/>
                <w:b/>
                <w:bCs/>
                <w:sz w:val="16"/>
                <w:szCs w:val="16"/>
              </w:rPr>
            </w:pPr>
            <w:r w:rsidRPr="00CA3E58">
              <w:rPr>
                <w:rFonts w:ascii="Arial" w:hAnsi="Arial" w:cs="Arial"/>
                <w:b/>
                <w:bCs/>
                <w:sz w:val="16"/>
                <w:szCs w:val="16"/>
              </w:rPr>
              <w:t xml:space="preserve">Actual </w:t>
            </w:r>
          </w:p>
        </w:tc>
        <w:tc>
          <w:tcPr>
            <w:tcW w:w="243" w:type="pct"/>
            <w:tcBorders>
              <w:top w:val="nil"/>
              <w:left w:val="nil"/>
              <w:bottom w:val="single" w:sz="4" w:space="0" w:color="auto"/>
              <w:right w:val="single" w:sz="4" w:space="0" w:color="auto"/>
            </w:tcBorders>
            <w:shd w:val="clear" w:color="auto" w:fill="auto"/>
            <w:vAlign w:val="bottom"/>
            <w:hideMark/>
          </w:tcPr>
          <w:p w14:paraId="560D5E23" w14:textId="77777777" w:rsidR="005B7046" w:rsidRPr="00CA3E58" w:rsidRDefault="005B7046" w:rsidP="0001256C">
            <w:pPr>
              <w:jc w:val="both"/>
              <w:rPr>
                <w:rFonts w:ascii="Arial" w:hAnsi="Arial" w:cs="Arial"/>
                <w:b/>
                <w:bCs/>
                <w:sz w:val="16"/>
                <w:szCs w:val="16"/>
              </w:rPr>
            </w:pPr>
            <w:r w:rsidRPr="00CA3E58">
              <w:rPr>
                <w:rFonts w:ascii="Arial" w:hAnsi="Arial" w:cs="Arial"/>
                <w:b/>
                <w:bCs/>
                <w:sz w:val="16"/>
                <w:szCs w:val="16"/>
              </w:rPr>
              <w:t xml:space="preserve">Actual </w:t>
            </w:r>
          </w:p>
        </w:tc>
        <w:tc>
          <w:tcPr>
            <w:tcW w:w="242" w:type="pct"/>
            <w:tcBorders>
              <w:top w:val="nil"/>
              <w:left w:val="nil"/>
              <w:bottom w:val="single" w:sz="4" w:space="0" w:color="auto"/>
              <w:right w:val="single" w:sz="4" w:space="0" w:color="auto"/>
            </w:tcBorders>
            <w:shd w:val="clear" w:color="auto" w:fill="auto"/>
            <w:vAlign w:val="bottom"/>
            <w:hideMark/>
          </w:tcPr>
          <w:p w14:paraId="59E158A1" w14:textId="77777777" w:rsidR="005B7046" w:rsidRPr="00CA3E58" w:rsidRDefault="005B7046" w:rsidP="0001256C">
            <w:pPr>
              <w:jc w:val="both"/>
              <w:rPr>
                <w:rFonts w:ascii="Arial" w:hAnsi="Arial" w:cs="Arial"/>
                <w:b/>
                <w:bCs/>
                <w:sz w:val="16"/>
                <w:szCs w:val="16"/>
              </w:rPr>
            </w:pPr>
            <w:r w:rsidRPr="00CA3E58">
              <w:rPr>
                <w:rFonts w:ascii="Arial" w:hAnsi="Arial" w:cs="Arial"/>
                <w:b/>
                <w:bCs/>
                <w:sz w:val="16"/>
                <w:szCs w:val="16"/>
              </w:rPr>
              <w:t xml:space="preserve">Actual </w:t>
            </w:r>
          </w:p>
        </w:tc>
        <w:tc>
          <w:tcPr>
            <w:tcW w:w="242" w:type="pct"/>
            <w:tcBorders>
              <w:top w:val="nil"/>
              <w:left w:val="nil"/>
              <w:bottom w:val="single" w:sz="4" w:space="0" w:color="auto"/>
              <w:right w:val="single" w:sz="4" w:space="0" w:color="auto"/>
            </w:tcBorders>
            <w:shd w:val="clear" w:color="auto" w:fill="auto"/>
            <w:vAlign w:val="bottom"/>
            <w:hideMark/>
          </w:tcPr>
          <w:p w14:paraId="3511F241" w14:textId="77777777" w:rsidR="005B7046" w:rsidRPr="00CA3E58" w:rsidRDefault="005B7046" w:rsidP="0001256C">
            <w:pPr>
              <w:jc w:val="both"/>
              <w:rPr>
                <w:rFonts w:ascii="Arial" w:hAnsi="Arial" w:cs="Arial"/>
                <w:b/>
                <w:bCs/>
                <w:sz w:val="16"/>
                <w:szCs w:val="16"/>
              </w:rPr>
            </w:pPr>
            <w:r w:rsidRPr="00CA3E58">
              <w:rPr>
                <w:rFonts w:ascii="Arial" w:hAnsi="Arial" w:cs="Arial"/>
                <w:b/>
                <w:bCs/>
                <w:sz w:val="16"/>
                <w:szCs w:val="16"/>
              </w:rPr>
              <w:t xml:space="preserve">Actual </w:t>
            </w:r>
          </w:p>
        </w:tc>
        <w:tc>
          <w:tcPr>
            <w:tcW w:w="274" w:type="pct"/>
            <w:tcBorders>
              <w:top w:val="nil"/>
              <w:left w:val="nil"/>
              <w:bottom w:val="single" w:sz="4" w:space="0" w:color="auto"/>
              <w:right w:val="single" w:sz="4" w:space="0" w:color="auto"/>
            </w:tcBorders>
            <w:shd w:val="clear" w:color="auto" w:fill="auto"/>
            <w:noWrap/>
            <w:vAlign w:val="bottom"/>
            <w:hideMark/>
          </w:tcPr>
          <w:p w14:paraId="0C877252" w14:textId="77777777" w:rsidR="005B7046" w:rsidRPr="00CA3E58" w:rsidRDefault="005B7046" w:rsidP="0001256C">
            <w:pPr>
              <w:jc w:val="both"/>
              <w:rPr>
                <w:rFonts w:ascii="Arial" w:hAnsi="Arial" w:cs="Arial"/>
                <w:b/>
                <w:bCs/>
                <w:sz w:val="16"/>
                <w:szCs w:val="16"/>
              </w:rPr>
            </w:pPr>
            <w:r w:rsidRPr="00CA3E58">
              <w:rPr>
                <w:rFonts w:ascii="Arial" w:hAnsi="Arial" w:cs="Arial"/>
                <w:b/>
                <w:bCs/>
                <w:sz w:val="16"/>
                <w:szCs w:val="16"/>
              </w:rPr>
              <w:t>Actual</w:t>
            </w:r>
          </w:p>
        </w:tc>
        <w:tc>
          <w:tcPr>
            <w:tcW w:w="273" w:type="pct"/>
            <w:tcBorders>
              <w:top w:val="nil"/>
              <w:left w:val="nil"/>
              <w:bottom w:val="single" w:sz="4" w:space="0" w:color="auto"/>
              <w:right w:val="single" w:sz="4" w:space="0" w:color="auto"/>
            </w:tcBorders>
            <w:shd w:val="clear" w:color="auto" w:fill="auto"/>
            <w:noWrap/>
            <w:vAlign w:val="bottom"/>
            <w:hideMark/>
          </w:tcPr>
          <w:p w14:paraId="43396AF0" w14:textId="77777777" w:rsidR="005B7046" w:rsidRPr="00CA3E58" w:rsidRDefault="005B7046" w:rsidP="0001256C">
            <w:pPr>
              <w:jc w:val="both"/>
              <w:rPr>
                <w:rFonts w:ascii="Arial" w:hAnsi="Arial" w:cs="Arial"/>
                <w:b/>
                <w:bCs/>
                <w:sz w:val="16"/>
                <w:szCs w:val="16"/>
              </w:rPr>
            </w:pPr>
            <w:r w:rsidRPr="00CA3E58">
              <w:rPr>
                <w:rFonts w:ascii="Arial" w:hAnsi="Arial" w:cs="Arial"/>
                <w:b/>
                <w:bCs/>
                <w:sz w:val="16"/>
                <w:szCs w:val="16"/>
              </w:rPr>
              <w:t>Actual</w:t>
            </w:r>
          </w:p>
        </w:tc>
        <w:tc>
          <w:tcPr>
            <w:tcW w:w="255" w:type="pct"/>
            <w:tcBorders>
              <w:top w:val="nil"/>
              <w:left w:val="nil"/>
              <w:bottom w:val="single" w:sz="4" w:space="0" w:color="auto"/>
              <w:right w:val="single" w:sz="4" w:space="0" w:color="auto"/>
            </w:tcBorders>
            <w:shd w:val="clear" w:color="auto" w:fill="auto"/>
            <w:vAlign w:val="bottom"/>
            <w:hideMark/>
          </w:tcPr>
          <w:p w14:paraId="0CC8470B" w14:textId="77777777" w:rsidR="005B7046" w:rsidRPr="00CA3E58" w:rsidRDefault="005B7046" w:rsidP="0001256C">
            <w:pPr>
              <w:jc w:val="both"/>
              <w:rPr>
                <w:rFonts w:ascii="Arial" w:hAnsi="Arial" w:cs="Arial"/>
                <w:b/>
                <w:bCs/>
                <w:sz w:val="16"/>
                <w:szCs w:val="16"/>
              </w:rPr>
            </w:pPr>
            <w:r w:rsidRPr="00CA3E58">
              <w:rPr>
                <w:rFonts w:ascii="Arial" w:hAnsi="Arial" w:cs="Arial"/>
                <w:b/>
                <w:bCs/>
                <w:sz w:val="16"/>
                <w:szCs w:val="16"/>
              </w:rPr>
              <w:t>Target</w:t>
            </w:r>
          </w:p>
        </w:tc>
        <w:tc>
          <w:tcPr>
            <w:tcW w:w="350" w:type="pct"/>
            <w:tcBorders>
              <w:top w:val="nil"/>
              <w:left w:val="nil"/>
              <w:bottom w:val="single" w:sz="4" w:space="0" w:color="auto"/>
              <w:right w:val="single" w:sz="4" w:space="0" w:color="auto"/>
            </w:tcBorders>
            <w:shd w:val="clear" w:color="auto" w:fill="auto"/>
            <w:noWrap/>
            <w:vAlign w:val="bottom"/>
            <w:hideMark/>
          </w:tcPr>
          <w:p w14:paraId="7A5A19E7" w14:textId="77777777" w:rsidR="005B7046" w:rsidRPr="00CA3E58" w:rsidRDefault="005B7046" w:rsidP="0001256C">
            <w:pPr>
              <w:jc w:val="both"/>
              <w:rPr>
                <w:rFonts w:ascii="Arial" w:hAnsi="Arial" w:cs="Arial"/>
                <w:b/>
                <w:bCs/>
                <w:sz w:val="16"/>
                <w:szCs w:val="16"/>
              </w:rPr>
            </w:pPr>
            <w:r w:rsidRPr="00CA3E58">
              <w:rPr>
                <w:rFonts w:ascii="Arial" w:hAnsi="Arial" w:cs="Arial"/>
                <w:b/>
                <w:bCs/>
                <w:sz w:val="16"/>
                <w:szCs w:val="16"/>
              </w:rPr>
              <w:t>Actual</w:t>
            </w:r>
          </w:p>
        </w:tc>
        <w:tc>
          <w:tcPr>
            <w:tcW w:w="394" w:type="pct"/>
            <w:tcBorders>
              <w:top w:val="nil"/>
              <w:left w:val="nil"/>
              <w:bottom w:val="single" w:sz="4" w:space="0" w:color="auto"/>
              <w:right w:val="nil"/>
            </w:tcBorders>
            <w:shd w:val="clear" w:color="auto" w:fill="auto"/>
            <w:noWrap/>
            <w:vAlign w:val="bottom"/>
            <w:hideMark/>
          </w:tcPr>
          <w:p w14:paraId="6DA0B9DD" w14:textId="77777777" w:rsidR="005B7046" w:rsidRPr="00CA3E58" w:rsidRDefault="005B7046" w:rsidP="0001256C">
            <w:pPr>
              <w:jc w:val="both"/>
              <w:rPr>
                <w:rFonts w:ascii="Arial" w:hAnsi="Arial" w:cs="Arial"/>
                <w:b/>
                <w:bCs/>
                <w:sz w:val="16"/>
                <w:szCs w:val="16"/>
              </w:rPr>
            </w:pPr>
            <w:r w:rsidRPr="00CA3E58">
              <w:rPr>
                <w:rFonts w:ascii="Arial" w:hAnsi="Arial" w:cs="Arial"/>
                <w:b/>
                <w:bCs/>
                <w:sz w:val="16"/>
                <w:szCs w:val="16"/>
              </w:rPr>
              <w:t xml:space="preserve">Target </w:t>
            </w:r>
          </w:p>
        </w:tc>
        <w:tc>
          <w:tcPr>
            <w:tcW w:w="328" w:type="pct"/>
            <w:tcBorders>
              <w:top w:val="nil"/>
              <w:left w:val="single" w:sz="4" w:space="0" w:color="auto"/>
              <w:bottom w:val="single" w:sz="4" w:space="0" w:color="auto"/>
              <w:right w:val="single" w:sz="4" w:space="0" w:color="auto"/>
            </w:tcBorders>
            <w:shd w:val="clear" w:color="auto" w:fill="auto"/>
            <w:noWrap/>
            <w:vAlign w:val="bottom"/>
            <w:hideMark/>
          </w:tcPr>
          <w:p w14:paraId="4A07325E" w14:textId="77777777" w:rsidR="005B7046" w:rsidRPr="00CA3E58" w:rsidRDefault="005B7046" w:rsidP="0001256C">
            <w:pPr>
              <w:jc w:val="both"/>
              <w:rPr>
                <w:rFonts w:ascii="Arial" w:hAnsi="Arial" w:cs="Arial"/>
                <w:b/>
                <w:bCs/>
                <w:sz w:val="16"/>
                <w:szCs w:val="16"/>
              </w:rPr>
            </w:pPr>
            <w:r w:rsidRPr="00CA3E58">
              <w:rPr>
                <w:rFonts w:ascii="Arial" w:hAnsi="Arial" w:cs="Arial"/>
                <w:b/>
                <w:bCs/>
                <w:sz w:val="16"/>
                <w:szCs w:val="16"/>
              </w:rPr>
              <w:t xml:space="preserve">Target </w:t>
            </w:r>
          </w:p>
        </w:tc>
      </w:tr>
      <w:tr w:rsidR="005B7046" w:rsidRPr="00CA3E58" w14:paraId="78C6C6A7" w14:textId="77777777" w:rsidTr="00507E6F">
        <w:trPr>
          <w:trHeight w:val="1960"/>
        </w:trPr>
        <w:tc>
          <w:tcPr>
            <w:tcW w:w="937" w:type="pct"/>
            <w:tcBorders>
              <w:top w:val="single" w:sz="8" w:space="0" w:color="auto"/>
              <w:left w:val="single" w:sz="4" w:space="0" w:color="auto"/>
              <w:bottom w:val="single" w:sz="8" w:space="0" w:color="auto"/>
              <w:right w:val="single" w:sz="8" w:space="0" w:color="auto"/>
            </w:tcBorders>
            <w:shd w:val="clear" w:color="auto" w:fill="auto"/>
            <w:vAlign w:val="bottom"/>
            <w:hideMark/>
          </w:tcPr>
          <w:p w14:paraId="33EB6F38" w14:textId="77777777" w:rsidR="005B7046" w:rsidRPr="008C751A" w:rsidRDefault="005B7046" w:rsidP="0001256C">
            <w:pPr>
              <w:jc w:val="both"/>
              <w:rPr>
                <w:rFonts w:ascii="Arial" w:hAnsi="Arial" w:cs="Arial"/>
                <w:b/>
                <w:bCs/>
                <w:sz w:val="18"/>
                <w:szCs w:val="18"/>
              </w:rPr>
            </w:pPr>
            <w:r w:rsidRPr="008C751A">
              <w:rPr>
                <w:rFonts w:ascii="Arial" w:hAnsi="Arial" w:cs="Arial"/>
                <w:b/>
                <w:bCs/>
                <w:sz w:val="18"/>
                <w:szCs w:val="18"/>
              </w:rPr>
              <w:t>OUTCOME</w:t>
            </w:r>
          </w:p>
        </w:tc>
        <w:tc>
          <w:tcPr>
            <w:tcW w:w="1160" w:type="pct"/>
            <w:tcBorders>
              <w:top w:val="single" w:sz="8" w:space="0" w:color="auto"/>
              <w:left w:val="nil"/>
              <w:bottom w:val="single" w:sz="8" w:space="0" w:color="auto"/>
              <w:right w:val="single" w:sz="8" w:space="0" w:color="auto"/>
            </w:tcBorders>
            <w:shd w:val="clear" w:color="auto" w:fill="auto"/>
            <w:vAlign w:val="bottom"/>
            <w:hideMark/>
          </w:tcPr>
          <w:p w14:paraId="6A16754F" w14:textId="77777777" w:rsidR="005B7046" w:rsidRPr="008C751A" w:rsidRDefault="005B7046" w:rsidP="0001256C">
            <w:pPr>
              <w:jc w:val="both"/>
              <w:rPr>
                <w:rFonts w:ascii="Arial" w:hAnsi="Arial" w:cs="Arial"/>
                <w:sz w:val="18"/>
                <w:szCs w:val="18"/>
              </w:rPr>
            </w:pPr>
            <w:r w:rsidRPr="008C751A">
              <w:rPr>
                <w:rFonts w:ascii="Arial" w:hAnsi="Arial" w:cs="Arial"/>
                <w:sz w:val="18"/>
                <w:szCs w:val="18"/>
              </w:rPr>
              <w:t xml:space="preserve">COPS Office-related contribution to a 3% rate of change over 36 months in homicide violent crime rates through the implementation of a comprehensive community policing strategy within targeted COPS-funded cities compared to the crime rates of cities of similar size and demographics that have not received COPS funding </w:t>
            </w:r>
          </w:p>
        </w:tc>
        <w:tc>
          <w:tcPr>
            <w:tcW w:w="302" w:type="pct"/>
            <w:tcBorders>
              <w:top w:val="nil"/>
              <w:left w:val="nil"/>
              <w:bottom w:val="single" w:sz="4" w:space="0" w:color="auto"/>
              <w:right w:val="single" w:sz="4" w:space="0" w:color="auto"/>
            </w:tcBorders>
            <w:shd w:val="clear" w:color="auto" w:fill="auto"/>
            <w:vAlign w:val="bottom"/>
            <w:hideMark/>
          </w:tcPr>
          <w:p w14:paraId="7A9F39DA" w14:textId="77777777" w:rsidR="005B7046" w:rsidRPr="00CA3E58" w:rsidRDefault="005B7046" w:rsidP="0001256C">
            <w:pPr>
              <w:jc w:val="both"/>
              <w:rPr>
                <w:rFonts w:ascii="Arial" w:hAnsi="Arial" w:cs="Arial"/>
                <w:sz w:val="16"/>
                <w:szCs w:val="16"/>
              </w:rPr>
            </w:pPr>
            <w:r w:rsidRPr="00CA3E58">
              <w:rPr>
                <w:rFonts w:ascii="Arial" w:hAnsi="Arial" w:cs="Arial"/>
                <w:sz w:val="16"/>
                <w:szCs w:val="16"/>
              </w:rPr>
              <w:t>New in FY13</w:t>
            </w:r>
          </w:p>
        </w:tc>
        <w:tc>
          <w:tcPr>
            <w:tcW w:w="243" w:type="pct"/>
            <w:tcBorders>
              <w:top w:val="nil"/>
              <w:left w:val="nil"/>
              <w:bottom w:val="single" w:sz="4" w:space="0" w:color="auto"/>
              <w:right w:val="single" w:sz="4" w:space="0" w:color="auto"/>
            </w:tcBorders>
            <w:shd w:val="clear" w:color="auto" w:fill="auto"/>
            <w:vAlign w:val="bottom"/>
            <w:hideMark/>
          </w:tcPr>
          <w:p w14:paraId="497B5E73" w14:textId="77777777" w:rsidR="005B7046" w:rsidRPr="00CA3E58" w:rsidRDefault="005B7046" w:rsidP="0001256C">
            <w:pPr>
              <w:jc w:val="both"/>
              <w:rPr>
                <w:rFonts w:ascii="Arial" w:hAnsi="Arial" w:cs="Arial"/>
                <w:sz w:val="16"/>
                <w:szCs w:val="16"/>
              </w:rPr>
            </w:pPr>
            <w:r w:rsidRPr="00CA3E58">
              <w:rPr>
                <w:rFonts w:ascii="Arial" w:hAnsi="Arial" w:cs="Arial"/>
                <w:sz w:val="16"/>
                <w:szCs w:val="16"/>
              </w:rPr>
              <w:t>New in FY13</w:t>
            </w:r>
          </w:p>
        </w:tc>
        <w:tc>
          <w:tcPr>
            <w:tcW w:w="242" w:type="pct"/>
            <w:tcBorders>
              <w:top w:val="nil"/>
              <w:left w:val="nil"/>
              <w:bottom w:val="single" w:sz="4" w:space="0" w:color="auto"/>
              <w:right w:val="single" w:sz="4" w:space="0" w:color="auto"/>
            </w:tcBorders>
            <w:shd w:val="clear" w:color="auto" w:fill="auto"/>
            <w:vAlign w:val="bottom"/>
            <w:hideMark/>
          </w:tcPr>
          <w:p w14:paraId="1CE33E2B" w14:textId="77777777" w:rsidR="005B7046" w:rsidRPr="00CA3E58" w:rsidRDefault="005B7046" w:rsidP="0001256C">
            <w:pPr>
              <w:jc w:val="both"/>
              <w:rPr>
                <w:rFonts w:ascii="Arial" w:hAnsi="Arial" w:cs="Arial"/>
                <w:sz w:val="16"/>
                <w:szCs w:val="16"/>
              </w:rPr>
            </w:pPr>
            <w:r w:rsidRPr="00CA3E58">
              <w:rPr>
                <w:rFonts w:ascii="Arial" w:hAnsi="Arial" w:cs="Arial"/>
                <w:sz w:val="16"/>
                <w:szCs w:val="16"/>
              </w:rPr>
              <w:t>New in FY13</w:t>
            </w:r>
          </w:p>
        </w:tc>
        <w:tc>
          <w:tcPr>
            <w:tcW w:w="242" w:type="pct"/>
            <w:tcBorders>
              <w:top w:val="nil"/>
              <w:left w:val="nil"/>
              <w:bottom w:val="single" w:sz="4" w:space="0" w:color="auto"/>
              <w:right w:val="single" w:sz="4" w:space="0" w:color="auto"/>
            </w:tcBorders>
            <w:shd w:val="clear" w:color="auto" w:fill="auto"/>
            <w:vAlign w:val="bottom"/>
            <w:hideMark/>
          </w:tcPr>
          <w:p w14:paraId="54D4A9AC" w14:textId="77777777" w:rsidR="005B7046" w:rsidRPr="00CA3E58" w:rsidRDefault="005B7046" w:rsidP="0001256C">
            <w:pPr>
              <w:jc w:val="both"/>
              <w:rPr>
                <w:rFonts w:ascii="Arial" w:hAnsi="Arial" w:cs="Arial"/>
                <w:sz w:val="16"/>
                <w:szCs w:val="16"/>
              </w:rPr>
            </w:pPr>
            <w:r w:rsidRPr="00CA3E58">
              <w:rPr>
                <w:rFonts w:ascii="Arial" w:hAnsi="Arial" w:cs="Arial"/>
                <w:sz w:val="16"/>
                <w:szCs w:val="16"/>
              </w:rPr>
              <w:t>New in FY13</w:t>
            </w:r>
          </w:p>
        </w:tc>
        <w:tc>
          <w:tcPr>
            <w:tcW w:w="274" w:type="pct"/>
            <w:tcBorders>
              <w:top w:val="nil"/>
              <w:left w:val="nil"/>
              <w:bottom w:val="single" w:sz="4" w:space="0" w:color="auto"/>
              <w:right w:val="single" w:sz="4" w:space="0" w:color="auto"/>
            </w:tcBorders>
            <w:shd w:val="clear" w:color="auto" w:fill="auto"/>
            <w:vAlign w:val="bottom"/>
            <w:hideMark/>
          </w:tcPr>
          <w:p w14:paraId="7D7E1235" w14:textId="77777777" w:rsidR="005B7046" w:rsidRPr="00CA3E58" w:rsidRDefault="005B7046" w:rsidP="0001256C">
            <w:pPr>
              <w:jc w:val="both"/>
              <w:rPr>
                <w:rFonts w:ascii="Arial" w:hAnsi="Arial" w:cs="Arial"/>
                <w:sz w:val="16"/>
                <w:szCs w:val="16"/>
              </w:rPr>
            </w:pPr>
            <w:r w:rsidRPr="00CA3E58">
              <w:rPr>
                <w:rFonts w:ascii="Arial" w:hAnsi="Arial" w:cs="Arial"/>
                <w:sz w:val="16"/>
                <w:szCs w:val="16"/>
              </w:rPr>
              <w:t>New in FY13</w:t>
            </w:r>
          </w:p>
        </w:tc>
        <w:tc>
          <w:tcPr>
            <w:tcW w:w="273" w:type="pct"/>
            <w:tcBorders>
              <w:top w:val="nil"/>
              <w:left w:val="nil"/>
              <w:bottom w:val="single" w:sz="4" w:space="0" w:color="auto"/>
              <w:right w:val="single" w:sz="4" w:space="0" w:color="auto"/>
            </w:tcBorders>
            <w:shd w:val="clear" w:color="auto" w:fill="auto"/>
            <w:vAlign w:val="bottom"/>
            <w:hideMark/>
          </w:tcPr>
          <w:p w14:paraId="688D7C94" w14:textId="77777777" w:rsidR="005B7046" w:rsidRPr="00CA3E58" w:rsidRDefault="005B7046" w:rsidP="0001256C">
            <w:pPr>
              <w:jc w:val="both"/>
              <w:rPr>
                <w:rFonts w:ascii="Arial" w:hAnsi="Arial" w:cs="Arial"/>
                <w:sz w:val="16"/>
                <w:szCs w:val="16"/>
              </w:rPr>
            </w:pPr>
            <w:r w:rsidRPr="00CA3E58">
              <w:rPr>
                <w:rFonts w:ascii="Arial" w:hAnsi="Arial" w:cs="Arial"/>
                <w:sz w:val="16"/>
                <w:szCs w:val="16"/>
              </w:rPr>
              <w:t>New in FY13</w:t>
            </w:r>
          </w:p>
        </w:tc>
        <w:tc>
          <w:tcPr>
            <w:tcW w:w="255" w:type="pct"/>
            <w:tcBorders>
              <w:top w:val="nil"/>
              <w:left w:val="nil"/>
              <w:bottom w:val="single" w:sz="4" w:space="0" w:color="auto"/>
              <w:right w:val="single" w:sz="4" w:space="0" w:color="auto"/>
            </w:tcBorders>
            <w:shd w:val="clear" w:color="auto" w:fill="auto"/>
            <w:vAlign w:val="bottom"/>
            <w:hideMark/>
          </w:tcPr>
          <w:p w14:paraId="16F12763" w14:textId="77777777" w:rsidR="005B7046" w:rsidRPr="00CA3E58" w:rsidRDefault="005B7046" w:rsidP="0001256C">
            <w:pPr>
              <w:jc w:val="both"/>
              <w:rPr>
                <w:rFonts w:ascii="Arial" w:hAnsi="Arial" w:cs="Arial"/>
                <w:sz w:val="16"/>
                <w:szCs w:val="16"/>
              </w:rPr>
            </w:pPr>
            <w:r w:rsidRPr="00CA3E58">
              <w:rPr>
                <w:rFonts w:ascii="Arial" w:hAnsi="Arial" w:cs="Arial"/>
                <w:sz w:val="16"/>
                <w:szCs w:val="16"/>
              </w:rPr>
              <w:t>New in FY13</w:t>
            </w:r>
          </w:p>
        </w:tc>
        <w:tc>
          <w:tcPr>
            <w:tcW w:w="350" w:type="pct"/>
            <w:tcBorders>
              <w:top w:val="nil"/>
              <w:left w:val="nil"/>
              <w:bottom w:val="single" w:sz="4" w:space="0" w:color="auto"/>
              <w:right w:val="single" w:sz="4" w:space="0" w:color="auto"/>
            </w:tcBorders>
            <w:shd w:val="clear" w:color="auto" w:fill="auto"/>
            <w:vAlign w:val="bottom"/>
            <w:hideMark/>
          </w:tcPr>
          <w:p w14:paraId="3C80D0D7" w14:textId="77777777" w:rsidR="005B7046" w:rsidRPr="00CA3E58" w:rsidRDefault="005B7046" w:rsidP="0001256C">
            <w:pPr>
              <w:jc w:val="both"/>
              <w:rPr>
                <w:rFonts w:ascii="Arial" w:hAnsi="Arial" w:cs="Arial"/>
                <w:sz w:val="16"/>
                <w:szCs w:val="16"/>
              </w:rPr>
            </w:pPr>
            <w:r w:rsidRPr="00CA3E58">
              <w:rPr>
                <w:rFonts w:ascii="Arial" w:hAnsi="Arial" w:cs="Arial"/>
                <w:sz w:val="16"/>
                <w:szCs w:val="16"/>
              </w:rPr>
              <w:t>New in FY13</w:t>
            </w:r>
          </w:p>
        </w:tc>
        <w:tc>
          <w:tcPr>
            <w:tcW w:w="394" w:type="pct"/>
            <w:tcBorders>
              <w:top w:val="nil"/>
              <w:left w:val="nil"/>
              <w:bottom w:val="single" w:sz="4" w:space="0" w:color="auto"/>
              <w:right w:val="nil"/>
            </w:tcBorders>
            <w:shd w:val="clear" w:color="auto" w:fill="auto"/>
            <w:noWrap/>
            <w:vAlign w:val="bottom"/>
            <w:hideMark/>
          </w:tcPr>
          <w:p w14:paraId="34D893B6" w14:textId="77777777" w:rsidR="005B7046" w:rsidRPr="00CA3E58" w:rsidRDefault="005B7046" w:rsidP="0001256C">
            <w:pPr>
              <w:jc w:val="both"/>
              <w:rPr>
                <w:rFonts w:ascii="Arial" w:hAnsi="Arial" w:cs="Arial"/>
                <w:sz w:val="16"/>
                <w:szCs w:val="16"/>
              </w:rPr>
            </w:pPr>
            <w:r w:rsidRPr="00CA3E58">
              <w:rPr>
                <w:rFonts w:ascii="Arial" w:hAnsi="Arial" w:cs="Arial"/>
                <w:sz w:val="16"/>
                <w:szCs w:val="16"/>
              </w:rPr>
              <w:t>0.5</w:t>
            </w:r>
          </w:p>
        </w:tc>
        <w:tc>
          <w:tcPr>
            <w:tcW w:w="328" w:type="pct"/>
            <w:tcBorders>
              <w:top w:val="nil"/>
              <w:left w:val="single" w:sz="4" w:space="0" w:color="auto"/>
              <w:bottom w:val="single" w:sz="4" w:space="0" w:color="auto"/>
              <w:right w:val="single" w:sz="4" w:space="0" w:color="auto"/>
            </w:tcBorders>
            <w:shd w:val="clear" w:color="auto" w:fill="auto"/>
            <w:noWrap/>
            <w:vAlign w:val="bottom"/>
            <w:hideMark/>
          </w:tcPr>
          <w:p w14:paraId="73A76B28" w14:textId="77777777" w:rsidR="005B7046" w:rsidRPr="00CA3E58" w:rsidRDefault="005B7046" w:rsidP="0001256C">
            <w:pPr>
              <w:jc w:val="both"/>
              <w:rPr>
                <w:rFonts w:ascii="Arial" w:hAnsi="Arial" w:cs="Arial"/>
                <w:sz w:val="16"/>
                <w:szCs w:val="16"/>
              </w:rPr>
            </w:pPr>
            <w:r w:rsidRPr="00CA3E58">
              <w:rPr>
                <w:rFonts w:ascii="Arial" w:hAnsi="Arial" w:cs="Arial"/>
                <w:sz w:val="16"/>
                <w:szCs w:val="16"/>
              </w:rPr>
              <w:t>1.6</w:t>
            </w:r>
          </w:p>
        </w:tc>
      </w:tr>
      <w:tr w:rsidR="005B7046" w:rsidRPr="00CA3E58" w14:paraId="02B27913" w14:textId="77777777" w:rsidTr="00507E6F">
        <w:trPr>
          <w:trHeight w:val="700"/>
        </w:trPr>
        <w:tc>
          <w:tcPr>
            <w:tcW w:w="937" w:type="pct"/>
            <w:tcBorders>
              <w:top w:val="nil"/>
              <w:left w:val="single" w:sz="4" w:space="0" w:color="auto"/>
              <w:bottom w:val="single" w:sz="4" w:space="0" w:color="auto"/>
              <w:right w:val="single" w:sz="8" w:space="0" w:color="auto"/>
            </w:tcBorders>
            <w:shd w:val="clear" w:color="auto" w:fill="auto"/>
            <w:vAlign w:val="bottom"/>
            <w:hideMark/>
          </w:tcPr>
          <w:p w14:paraId="7CBFEEDF" w14:textId="77777777" w:rsidR="005B7046" w:rsidRPr="008C751A" w:rsidRDefault="005B7046" w:rsidP="0001256C">
            <w:pPr>
              <w:jc w:val="both"/>
              <w:rPr>
                <w:rFonts w:ascii="Arial" w:hAnsi="Arial" w:cs="Arial"/>
                <w:b/>
                <w:bCs/>
                <w:sz w:val="18"/>
                <w:szCs w:val="18"/>
              </w:rPr>
            </w:pPr>
            <w:r w:rsidRPr="008C751A">
              <w:rPr>
                <w:rFonts w:ascii="Arial" w:hAnsi="Arial" w:cs="Arial"/>
                <w:b/>
                <w:bCs/>
                <w:sz w:val="18"/>
                <w:szCs w:val="18"/>
              </w:rPr>
              <w:t>OUTCOME</w:t>
            </w:r>
          </w:p>
        </w:tc>
        <w:tc>
          <w:tcPr>
            <w:tcW w:w="1160" w:type="pct"/>
            <w:tcBorders>
              <w:top w:val="nil"/>
              <w:left w:val="nil"/>
              <w:bottom w:val="single" w:sz="4" w:space="0" w:color="auto"/>
              <w:right w:val="single" w:sz="8" w:space="0" w:color="auto"/>
            </w:tcBorders>
            <w:shd w:val="clear" w:color="auto" w:fill="auto"/>
            <w:vAlign w:val="bottom"/>
            <w:hideMark/>
          </w:tcPr>
          <w:p w14:paraId="6A3BEB1A" w14:textId="77777777" w:rsidR="005B7046" w:rsidRPr="008C751A" w:rsidRDefault="005B7046" w:rsidP="0001256C">
            <w:pPr>
              <w:jc w:val="both"/>
              <w:rPr>
                <w:rFonts w:ascii="Arial" w:hAnsi="Arial" w:cs="Arial"/>
                <w:sz w:val="18"/>
                <w:szCs w:val="18"/>
              </w:rPr>
            </w:pPr>
            <w:r w:rsidRPr="008C751A">
              <w:rPr>
                <w:rFonts w:ascii="Arial" w:hAnsi="Arial" w:cs="Arial"/>
                <w:sz w:val="18"/>
                <w:szCs w:val="18"/>
              </w:rPr>
              <w:t>Effectiveness rating of COPS grant resources in increasing community policing capacity of grantees</w:t>
            </w:r>
          </w:p>
        </w:tc>
        <w:tc>
          <w:tcPr>
            <w:tcW w:w="302" w:type="pct"/>
            <w:tcBorders>
              <w:top w:val="nil"/>
              <w:left w:val="nil"/>
              <w:bottom w:val="single" w:sz="4" w:space="0" w:color="auto"/>
              <w:right w:val="single" w:sz="4" w:space="0" w:color="auto"/>
            </w:tcBorders>
            <w:shd w:val="clear" w:color="auto" w:fill="auto"/>
            <w:noWrap/>
            <w:vAlign w:val="bottom"/>
            <w:hideMark/>
          </w:tcPr>
          <w:p w14:paraId="17B73BA9" w14:textId="77777777" w:rsidR="005B7046" w:rsidRPr="00CA3E58" w:rsidRDefault="005B7046" w:rsidP="0001256C">
            <w:pPr>
              <w:jc w:val="both"/>
              <w:rPr>
                <w:rFonts w:ascii="Arial" w:hAnsi="Arial" w:cs="Arial"/>
                <w:sz w:val="16"/>
                <w:szCs w:val="16"/>
              </w:rPr>
            </w:pPr>
            <w:r w:rsidRPr="00CA3E58">
              <w:rPr>
                <w:rFonts w:ascii="Arial" w:hAnsi="Arial" w:cs="Arial"/>
                <w:sz w:val="16"/>
                <w:szCs w:val="16"/>
              </w:rPr>
              <w:t>76</w:t>
            </w:r>
          </w:p>
        </w:tc>
        <w:tc>
          <w:tcPr>
            <w:tcW w:w="243" w:type="pct"/>
            <w:tcBorders>
              <w:top w:val="nil"/>
              <w:left w:val="nil"/>
              <w:bottom w:val="single" w:sz="4" w:space="0" w:color="auto"/>
              <w:right w:val="single" w:sz="4" w:space="0" w:color="auto"/>
            </w:tcBorders>
            <w:shd w:val="clear" w:color="auto" w:fill="auto"/>
            <w:noWrap/>
            <w:vAlign w:val="bottom"/>
            <w:hideMark/>
          </w:tcPr>
          <w:p w14:paraId="6B78757E" w14:textId="77777777" w:rsidR="005B7046" w:rsidRPr="00CA3E58" w:rsidRDefault="005B7046" w:rsidP="0001256C">
            <w:pPr>
              <w:jc w:val="both"/>
              <w:rPr>
                <w:rFonts w:ascii="Arial" w:hAnsi="Arial" w:cs="Arial"/>
                <w:sz w:val="16"/>
                <w:szCs w:val="16"/>
              </w:rPr>
            </w:pPr>
            <w:r w:rsidRPr="00CA3E58">
              <w:rPr>
                <w:rFonts w:ascii="Arial" w:hAnsi="Arial" w:cs="Arial"/>
                <w:sz w:val="16"/>
                <w:szCs w:val="16"/>
              </w:rPr>
              <w:t>75</w:t>
            </w:r>
          </w:p>
        </w:tc>
        <w:tc>
          <w:tcPr>
            <w:tcW w:w="242" w:type="pct"/>
            <w:tcBorders>
              <w:top w:val="nil"/>
              <w:left w:val="nil"/>
              <w:bottom w:val="single" w:sz="4" w:space="0" w:color="auto"/>
              <w:right w:val="single" w:sz="4" w:space="0" w:color="auto"/>
            </w:tcBorders>
            <w:shd w:val="clear" w:color="auto" w:fill="auto"/>
            <w:noWrap/>
            <w:vAlign w:val="bottom"/>
            <w:hideMark/>
          </w:tcPr>
          <w:p w14:paraId="07405E55" w14:textId="77777777" w:rsidR="005B7046" w:rsidRPr="00CA3E58" w:rsidRDefault="005B7046" w:rsidP="0001256C">
            <w:pPr>
              <w:jc w:val="both"/>
              <w:rPr>
                <w:rFonts w:ascii="Arial" w:hAnsi="Arial" w:cs="Arial"/>
                <w:sz w:val="16"/>
                <w:szCs w:val="16"/>
              </w:rPr>
            </w:pPr>
            <w:r w:rsidRPr="00CA3E58">
              <w:rPr>
                <w:rFonts w:ascii="Arial" w:hAnsi="Arial" w:cs="Arial"/>
                <w:sz w:val="16"/>
                <w:szCs w:val="16"/>
              </w:rPr>
              <w:t>76</w:t>
            </w:r>
          </w:p>
        </w:tc>
        <w:tc>
          <w:tcPr>
            <w:tcW w:w="242" w:type="pct"/>
            <w:tcBorders>
              <w:top w:val="nil"/>
              <w:left w:val="nil"/>
              <w:bottom w:val="single" w:sz="4" w:space="0" w:color="auto"/>
              <w:right w:val="single" w:sz="4" w:space="0" w:color="auto"/>
            </w:tcBorders>
            <w:shd w:val="clear" w:color="auto" w:fill="auto"/>
            <w:noWrap/>
            <w:vAlign w:val="bottom"/>
            <w:hideMark/>
          </w:tcPr>
          <w:p w14:paraId="4B6FAA96" w14:textId="77777777" w:rsidR="005B7046" w:rsidRPr="00CA3E58" w:rsidRDefault="005B7046" w:rsidP="0001256C">
            <w:pPr>
              <w:jc w:val="both"/>
              <w:rPr>
                <w:rFonts w:ascii="Arial" w:hAnsi="Arial" w:cs="Arial"/>
                <w:sz w:val="16"/>
                <w:szCs w:val="16"/>
              </w:rPr>
            </w:pPr>
            <w:r w:rsidRPr="00CA3E58">
              <w:rPr>
                <w:rFonts w:ascii="Arial" w:hAnsi="Arial" w:cs="Arial"/>
                <w:sz w:val="16"/>
                <w:szCs w:val="16"/>
              </w:rPr>
              <w:t>75</w:t>
            </w:r>
          </w:p>
        </w:tc>
        <w:tc>
          <w:tcPr>
            <w:tcW w:w="274" w:type="pct"/>
            <w:tcBorders>
              <w:top w:val="nil"/>
              <w:left w:val="nil"/>
              <w:bottom w:val="single" w:sz="4" w:space="0" w:color="auto"/>
              <w:right w:val="single" w:sz="4" w:space="0" w:color="auto"/>
            </w:tcBorders>
            <w:shd w:val="clear" w:color="auto" w:fill="auto"/>
            <w:noWrap/>
            <w:vAlign w:val="bottom"/>
            <w:hideMark/>
          </w:tcPr>
          <w:p w14:paraId="15F00FD1" w14:textId="77777777" w:rsidR="005B7046" w:rsidRPr="00CA3E58" w:rsidRDefault="005B7046" w:rsidP="0001256C">
            <w:pPr>
              <w:jc w:val="both"/>
              <w:rPr>
                <w:rFonts w:ascii="Arial" w:hAnsi="Arial" w:cs="Arial"/>
                <w:sz w:val="16"/>
                <w:szCs w:val="16"/>
              </w:rPr>
            </w:pPr>
            <w:r w:rsidRPr="00CA3E58">
              <w:rPr>
                <w:rFonts w:ascii="Arial" w:hAnsi="Arial" w:cs="Arial"/>
                <w:sz w:val="16"/>
                <w:szCs w:val="16"/>
              </w:rPr>
              <w:t>78</w:t>
            </w:r>
          </w:p>
        </w:tc>
        <w:tc>
          <w:tcPr>
            <w:tcW w:w="273" w:type="pct"/>
            <w:tcBorders>
              <w:top w:val="nil"/>
              <w:left w:val="nil"/>
              <w:bottom w:val="single" w:sz="4" w:space="0" w:color="auto"/>
              <w:right w:val="single" w:sz="4" w:space="0" w:color="auto"/>
            </w:tcBorders>
            <w:shd w:val="clear" w:color="auto" w:fill="auto"/>
            <w:noWrap/>
            <w:vAlign w:val="bottom"/>
            <w:hideMark/>
          </w:tcPr>
          <w:p w14:paraId="359B77CE" w14:textId="77777777" w:rsidR="005B7046" w:rsidRPr="00CA3E58" w:rsidRDefault="005B7046" w:rsidP="0001256C">
            <w:pPr>
              <w:jc w:val="both"/>
              <w:rPr>
                <w:rFonts w:ascii="Arial" w:hAnsi="Arial" w:cs="Arial"/>
                <w:sz w:val="16"/>
                <w:szCs w:val="16"/>
              </w:rPr>
            </w:pPr>
            <w:r w:rsidRPr="00CA3E58">
              <w:rPr>
                <w:rFonts w:ascii="Arial" w:hAnsi="Arial" w:cs="Arial"/>
                <w:sz w:val="16"/>
                <w:szCs w:val="16"/>
              </w:rPr>
              <w:t>78</w:t>
            </w:r>
          </w:p>
        </w:tc>
        <w:tc>
          <w:tcPr>
            <w:tcW w:w="255" w:type="pct"/>
            <w:tcBorders>
              <w:top w:val="nil"/>
              <w:left w:val="nil"/>
              <w:bottom w:val="single" w:sz="4" w:space="0" w:color="auto"/>
              <w:right w:val="single" w:sz="4" w:space="0" w:color="auto"/>
            </w:tcBorders>
            <w:shd w:val="clear" w:color="auto" w:fill="auto"/>
            <w:noWrap/>
            <w:vAlign w:val="bottom"/>
            <w:hideMark/>
          </w:tcPr>
          <w:p w14:paraId="284FDA20" w14:textId="77777777" w:rsidR="005B7046" w:rsidRPr="00CA3E58" w:rsidRDefault="005B7046" w:rsidP="0001256C">
            <w:pPr>
              <w:jc w:val="both"/>
              <w:rPr>
                <w:rFonts w:ascii="Arial" w:hAnsi="Arial" w:cs="Arial"/>
                <w:sz w:val="16"/>
                <w:szCs w:val="16"/>
              </w:rPr>
            </w:pPr>
            <w:r w:rsidRPr="00CA3E58">
              <w:rPr>
                <w:rFonts w:ascii="Arial" w:hAnsi="Arial" w:cs="Arial"/>
                <w:sz w:val="16"/>
                <w:szCs w:val="16"/>
              </w:rPr>
              <w:t>74.8</w:t>
            </w:r>
          </w:p>
        </w:tc>
        <w:tc>
          <w:tcPr>
            <w:tcW w:w="350" w:type="pct"/>
            <w:tcBorders>
              <w:top w:val="single" w:sz="4" w:space="0" w:color="auto"/>
              <w:left w:val="nil"/>
              <w:bottom w:val="single" w:sz="4" w:space="0" w:color="auto"/>
              <w:right w:val="single" w:sz="4" w:space="0" w:color="auto"/>
            </w:tcBorders>
            <w:shd w:val="clear" w:color="auto" w:fill="auto"/>
            <w:noWrap/>
            <w:vAlign w:val="bottom"/>
            <w:hideMark/>
          </w:tcPr>
          <w:p w14:paraId="1A6FD19F" w14:textId="77777777" w:rsidR="005B7046" w:rsidRPr="00CA3E58" w:rsidRDefault="005B7046" w:rsidP="0001256C">
            <w:pPr>
              <w:jc w:val="both"/>
              <w:rPr>
                <w:rFonts w:ascii="Arial" w:hAnsi="Arial" w:cs="Arial"/>
                <w:sz w:val="16"/>
                <w:szCs w:val="16"/>
              </w:rPr>
            </w:pPr>
            <w:r>
              <w:rPr>
                <w:rFonts w:ascii="Arial" w:hAnsi="Arial" w:cs="Arial"/>
                <w:sz w:val="16"/>
                <w:szCs w:val="16"/>
              </w:rPr>
              <w:t>79</w:t>
            </w:r>
          </w:p>
        </w:tc>
        <w:tc>
          <w:tcPr>
            <w:tcW w:w="394" w:type="pct"/>
            <w:tcBorders>
              <w:top w:val="single" w:sz="4" w:space="0" w:color="auto"/>
              <w:left w:val="nil"/>
              <w:bottom w:val="single" w:sz="4" w:space="0" w:color="auto"/>
              <w:right w:val="single" w:sz="4" w:space="0" w:color="auto"/>
            </w:tcBorders>
            <w:shd w:val="clear" w:color="auto" w:fill="auto"/>
            <w:vAlign w:val="bottom"/>
            <w:hideMark/>
          </w:tcPr>
          <w:p w14:paraId="4EC98BFD" w14:textId="77777777" w:rsidR="005B7046" w:rsidRPr="00CA3E58" w:rsidRDefault="005B7046" w:rsidP="0001256C">
            <w:pPr>
              <w:jc w:val="both"/>
              <w:rPr>
                <w:rFonts w:ascii="Arial" w:hAnsi="Arial" w:cs="Arial"/>
                <w:sz w:val="16"/>
                <w:szCs w:val="16"/>
              </w:rPr>
            </w:pPr>
            <w:r w:rsidRPr="00CA3E58">
              <w:rPr>
                <w:rFonts w:ascii="Arial" w:hAnsi="Arial" w:cs="Arial"/>
                <w:sz w:val="16"/>
                <w:szCs w:val="16"/>
              </w:rPr>
              <w:t>Discontinued in FY13</w:t>
            </w:r>
          </w:p>
        </w:tc>
        <w:tc>
          <w:tcPr>
            <w:tcW w:w="328" w:type="pct"/>
            <w:tcBorders>
              <w:top w:val="nil"/>
              <w:left w:val="nil"/>
              <w:bottom w:val="single" w:sz="4" w:space="0" w:color="auto"/>
              <w:right w:val="single" w:sz="4" w:space="0" w:color="auto"/>
            </w:tcBorders>
            <w:shd w:val="clear" w:color="auto" w:fill="auto"/>
            <w:vAlign w:val="bottom"/>
            <w:hideMark/>
          </w:tcPr>
          <w:p w14:paraId="250C50D6" w14:textId="77777777" w:rsidR="005B7046" w:rsidRDefault="005B7046" w:rsidP="0001256C">
            <w:pPr>
              <w:jc w:val="both"/>
              <w:rPr>
                <w:rFonts w:ascii="Arial" w:hAnsi="Arial" w:cs="Arial"/>
                <w:sz w:val="16"/>
                <w:szCs w:val="16"/>
              </w:rPr>
            </w:pPr>
            <w:r w:rsidRPr="00CA3E58">
              <w:rPr>
                <w:rFonts w:ascii="Arial" w:hAnsi="Arial" w:cs="Arial"/>
                <w:sz w:val="16"/>
                <w:szCs w:val="16"/>
              </w:rPr>
              <w:t>Discon</w:t>
            </w:r>
            <w:r>
              <w:rPr>
                <w:rFonts w:ascii="Arial" w:hAnsi="Arial" w:cs="Arial"/>
                <w:sz w:val="16"/>
                <w:szCs w:val="16"/>
              </w:rPr>
              <w:t>-t</w:t>
            </w:r>
            <w:r w:rsidRPr="00CA3E58">
              <w:rPr>
                <w:rFonts w:ascii="Arial" w:hAnsi="Arial" w:cs="Arial"/>
                <w:sz w:val="16"/>
                <w:szCs w:val="16"/>
              </w:rPr>
              <w:t>inued</w:t>
            </w:r>
          </w:p>
          <w:p w14:paraId="6485F91B" w14:textId="77777777" w:rsidR="005B7046" w:rsidRPr="00CA3E58" w:rsidRDefault="005B7046" w:rsidP="0001256C">
            <w:pPr>
              <w:jc w:val="both"/>
              <w:rPr>
                <w:rFonts w:ascii="Arial" w:hAnsi="Arial" w:cs="Arial"/>
                <w:sz w:val="16"/>
                <w:szCs w:val="16"/>
              </w:rPr>
            </w:pPr>
            <w:r w:rsidRPr="00CA3E58">
              <w:rPr>
                <w:rFonts w:ascii="Arial" w:hAnsi="Arial" w:cs="Arial"/>
                <w:sz w:val="16"/>
                <w:szCs w:val="16"/>
              </w:rPr>
              <w:t>in FY13</w:t>
            </w:r>
          </w:p>
        </w:tc>
      </w:tr>
      <w:tr w:rsidR="005B7046" w:rsidRPr="00CA3E58" w14:paraId="773B41EA" w14:textId="77777777" w:rsidTr="00507E6F">
        <w:trPr>
          <w:trHeight w:val="980"/>
        </w:trPr>
        <w:tc>
          <w:tcPr>
            <w:tcW w:w="937" w:type="pct"/>
            <w:tcBorders>
              <w:top w:val="single" w:sz="4" w:space="0" w:color="auto"/>
              <w:left w:val="single" w:sz="4" w:space="0" w:color="auto"/>
              <w:bottom w:val="single" w:sz="4" w:space="0" w:color="auto"/>
              <w:right w:val="single" w:sz="8" w:space="0" w:color="auto"/>
            </w:tcBorders>
            <w:shd w:val="clear" w:color="auto" w:fill="auto"/>
            <w:vAlign w:val="bottom"/>
            <w:hideMark/>
          </w:tcPr>
          <w:p w14:paraId="13DB6F79" w14:textId="77777777" w:rsidR="005B7046" w:rsidRPr="008C751A" w:rsidRDefault="005B7046" w:rsidP="0001256C">
            <w:pPr>
              <w:jc w:val="both"/>
              <w:rPr>
                <w:rFonts w:ascii="Arial" w:hAnsi="Arial" w:cs="Arial"/>
                <w:b/>
                <w:bCs/>
                <w:sz w:val="18"/>
                <w:szCs w:val="18"/>
              </w:rPr>
            </w:pPr>
            <w:r w:rsidRPr="008C751A">
              <w:rPr>
                <w:rFonts w:ascii="Arial" w:hAnsi="Arial" w:cs="Arial"/>
                <w:b/>
                <w:bCs/>
                <w:sz w:val="18"/>
                <w:szCs w:val="18"/>
              </w:rPr>
              <w:t>OUTCOME</w:t>
            </w:r>
          </w:p>
        </w:tc>
        <w:tc>
          <w:tcPr>
            <w:tcW w:w="1160" w:type="pct"/>
            <w:tcBorders>
              <w:top w:val="single" w:sz="4" w:space="0" w:color="auto"/>
              <w:left w:val="nil"/>
              <w:bottom w:val="single" w:sz="4" w:space="0" w:color="auto"/>
              <w:right w:val="single" w:sz="8" w:space="0" w:color="auto"/>
            </w:tcBorders>
            <w:shd w:val="clear" w:color="auto" w:fill="auto"/>
            <w:vAlign w:val="bottom"/>
            <w:hideMark/>
          </w:tcPr>
          <w:p w14:paraId="645036D2" w14:textId="77777777" w:rsidR="005B7046" w:rsidRPr="008C751A" w:rsidRDefault="005B7046" w:rsidP="0001256C">
            <w:pPr>
              <w:jc w:val="both"/>
              <w:rPr>
                <w:rFonts w:ascii="Arial" w:hAnsi="Arial" w:cs="Arial"/>
                <w:sz w:val="18"/>
                <w:szCs w:val="18"/>
              </w:rPr>
            </w:pPr>
            <w:r w:rsidRPr="008C751A">
              <w:rPr>
                <w:rFonts w:ascii="Arial" w:hAnsi="Arial" w:cs="Arial"/>
                <w:sz w:val="18"/>
                <w:szCs w:val="18"/>
              </w:rPr>
              <w:t>Effectiveness rating of COPS knowledge resources (e.g., training, publications) in increasing community policing capacity</w:t>
            </w:r>
          </w:p>
        </w:tc>
        <w:tc>
          <w:tcPr>
            <w:tcW w:w="302" w:type="pct"/>
            <w:tcBorders>
              <w:top w:val="single" w:sz="4" w:space="0" w:color="auto"/>
              <w:left w:val="nil"/>
              <w:bottom w:val="single" w:sz="4" w:space="0" w:color="auto"/>
              <w:right w:val="single" w:sz="4" w:space="0" w:color="auto"/>
            </w:tcBorders>
            <w:shd w:val="clear" w:color="auto" w:fill="auto"/>
            <w:vAlign w:val="bottom"/>
            <w:hideMark/>
          </w:tcPr>
          <w:p w14:paraId="7453FA2A" w14:textId="77777777" w:rsidR="005B7046" w:rsidRPr="00CA3E58" w:rsidRDefault="005B7046" w:rsidP="0001256C">
            <w:pPr>
              <w:jc w:val="both"/>
              <w:rPr>
                <w:rFonts w:ascii="Arial" w:hAnsi="Arial" w:cs="Arial"/>
                <w:sz w:val="16"/>
                <w:szCs w:val="16"/>
              </w:rPr>
            </w:pPr>
            <w:r w:rsidRPr="00CA3E58">
              <w:rPr>
                <w:rFonts w:ascii="Arial" w:hAnsi="Arial" w:cs="Arial"/>
                <w:sz w:val="16"/>
                <w:szCs w:val="16"/>
              </w:rPr>
              <w:t>New in FY08</w:t>
            </w:r>
          </w:p>
        </w:tc>
        <w:tc>
          <w:tcPr>
            <w:tcW w:w="243" w:type="pct"/>
            <w:tcBorders>
              <w:top w:val="single" w:sz="4" w:space="0" w:color="auto"/>
              <w:left w:val="nil"/>
              <w:bottom w:val="single" w:sz="4" w:space="0" w:color="auto"/>
              <w:right w:val="single" w:sz="4" w:space="0" w:color="auto"/>
            </w:tcBorders>
            <w:shd w:val="clear" w:color="auto" w:fill="auto"/>
            <w:vAlign w:val="bottom"/>
            <w:hideMark/>
          </w:tcPr>
          <w:p w14:paraId="54B12254" w14:textId="77777777" w:rsidR="005B7046" w:rsidRPr="00CA3E58" w:rsidRDefault="005B7046" w:rsidP="0001256C">
            <w:pPr>
              <w:jc w:val="both"/>
              <w:rPr>
                <w:rFonts w:ascii="Arial" w:hAnsi="Arial" w:cs="Arial"/>
                <w:sz w:val="16"/>
                <w:szCs w:val="16"/>
              </w:rPr>
            </w:pPr>
            <w:r w:rsidRPr="00CA3E58">
              <w:rPr>
                <w:rFonts w:ascii="Arial" w:hAnsi="Arial" w:cs="Arial"/>
                <w:sz w:val="16"/>
                <w:szCs w:val="16"/>
              </w:rPr>
              <w:t>New in FY08</w:t>
            </w:r>
          </w:p>
        </w:tc>
        <w:tc>
          <w:tcPr>
            <w:tcW w:w="242" w:type="pct"/>
            <w:tcBorders>
              <w:top w:val="single" w:sz="4" w:space="0" w:color="auto"/>
              <w:left w:val="nil"/>
              <w:bottom w:val="single" w:sz="4" w:space="0" w:color="auto"/>
              <w:right w:val="single" w:sz="4" w:space="0" w:color="auto"/>
            </w:tcBorders>
            <w:shd w:val="clear" w:color="auto" w:fill="auto"/>
            <w:vAlign w:val="bottom"/>
            <w:hideMark/>
          </w:tcPr>
          <w:p w14:paraId="2A7EE122" w14:textId="77777777" w:rsidR="005B7046" w:rsidRPr="00CA3E58" w:rsidRDefault="005B7046" w:rsidP="0001256C">
            <w:pPr>
              <w:jc w:val="both"/>
              <w:rPr>
                <w:rFonts w:ascii="Arial" w:hAnsi="Arial" w:cs="Arial"/>
                <w:sz w:val="16"/>
                <w:szCs w:val="16"/>
              </w:rPr>
            </w:pPr>
            <w:r w:rsidRPr="00CA3E58">
              <w:rPr>
                <w:rFonts w:ascii="Arial" w:hAnsi="Arial" w:cs="Arial"/>
                <w:sz w:val="16"/>
                <w:szCs w:val="16"/>
              </w:rPr>
              <w:t>77</w:t>
            </w:r>
          </w:p>
        </w:tc>
        <w:tc>
          <w:tcPr>
            <w:tcW w:w="242" w:type="pct"/>
            <w:tcBorders>
              <w:top w:val="single" w:sz="4" w:space="0" w:color="auto"/>
              <w:left w:val="nil"/>
              <w:bottom w:val="single" w:sz="4" w:space="0" w:color="auto"/>
              <w:right w:val="single" w:sz="4" w:space="0" w:color="auto"/>
            </w:tcBorders>
            <w:shd w:val="clear" w:color="auto" w:fill="auto"/>
            <w:vAlign w:val="bottom"/>
            <w:hideMark/>
          </w:tcPr>
          <w:p w14:paraId="608FAF6A" w14:textId="77777777" w:rsidR="005B7046" w:rsidRPr="00CA3E58" w:rsidRDefault="005B7046" w:rsidP="0001256C">
            <w:pPr>
              <w:jc w:val="both"/>
              <w:rPr>
                <w:rFonts w:ascii="Arial" w:hAnsi="Arial" w:cs="Arial"/>
                <w:sz w:val="16"/>
                <w:szCs w:val="16"/>
              </w:rPr>
            </w:pPr>
            <w:r w:rsidRPr="00CA3E58">
              <w:rPr>
                <w:rFonts w:ascii="Arial" w:hAnsi="Arial" w:cs="Arial"/>
                <w:sz w:val="16"/>
                <w:szCs w:val="16"/>
              </w:rPr>
              <w:t>78.5</w:t>
            </w:r>
          </w:p>
        </w:tc>
        <w:tc>
          <w:tcPr>
            <w:tcW w:w="274" w:type="pct"/>
            <w:tcBorders>
              <w:top w:val="single" w:sz="4" w:space="0" w:color="auto"/>
              <w:left w:val="nil"/>
              <w:bottom w:val="single" w:sz="4" w:space="0" w:color="auto"/>
              <w:right w:val="single" w:sz="4" w:space="0" w:color="auto"/>
            </w:tcBorders>
            <w:shd w:val="clear" w:color="auto" w:fill="auto"/>
            <w:noWrap/>
            <w:vAlign w:val="bottom"/>
            <w:hideMark/>
          </w:tcPr>
          <w:p w14:paraId="03495C17" w14:textId="77777777" w:rsidR="005B7046" w:rsidRPr="00CA3E58" w:rsidRDefault="005B7046" w:rsidP="0001256C">
            <w:pPr>
              <w:jc w:val="both"/>
              <w:rPr>
                <w:rFonts w:ascii="Arial" w:hAnsi="Arial" w:cs="Arial"/>
                <w:sz w:val="16"/>
                <w:szCs w:val="16"/>
              </w:rPr>
            </w:pPr>
            <w:r w:rsidRPr="00CA3E58">
              <w:rPr>
                <w:rFonts w:ascii="Arial" w:hAnsi="Arial" w:cs="Arial"/>
                <w:sz w:val="16"/>
                <w:szCs w:val="16"/>
              </w:rPr>
              <w:t>75.5</w:t>
            </w:r>
          </w:p>
        </w:tc>
        <w:tc>
          <w:tcPr>
            <w:tcW w:w="273" w:type="pct"/>
            <w:tcBorders>
              <w:top w:val="single" w:sz="4" w:space="0" w:color="auto"/>
              <w:left w:val="nil"/>
              <w:bottom w:val="single" w:sz="4" w:space="0" w:color="auto"/>
              <w:right w:val="single" w:sz="4" w:space="0" w:color="auto"/>
            </w:tcBorders>
            <w:shd w:val="clear" w:color="auto" w:fill="auto"/>
            <w:noWrap/>
            <w:vAlign w:val="bottom"/>
            <w:hideMark/>
          </w:tcPr>
          <w:p w14:paraId="305E8505" w14:textId="77777777" w:rsidR="005B7046" w:rsidRPr="00CA3E58" w:rsidRDefault="005B7046" w:rsidP="0001256C">
            <w:pPr>
              <w:jc w:val="both"/>
              <w:rPr>
                <w:rFonts w:ascii="Arial" w:hAnsi="Arial" w:cs="Arial"/>
                <w:sz w:val="16"/>
                <w:szCs w:val="16"/>
              </w:rPr>
            </w:pPr>
            <w:r w:rsidRPr="00CA3E58">
              <w:rPr>
                <w:rFonts w:ascii="Arial" w:hAnsi="Arial" w:cs="Arial"/>
                <w:sz w:val="16"/>
                <w:szCs w:val="16"/>
              </w:rPr>
              <w:t>80</w:t>
            </w:r>
          </w:p>
        </w:tc>
        <w:tc>
          <w:tcPr>
            <w:tcW w:w="255" w:type="pct"/>
            <w:tcBorders>
              <w:top w:val="single" w:sz="4" w:space="0" w:color="auto"/>
              <w:left w:val="nil"/>
              <w:bottom w:val="single" w:sz="4" w:space="0" w:color="auto"/>
              <w:right w:val="single" w:sz="4" w:space="0" w:color="auto"/>
            </w:tcBorders>
            <w:shd w:val="clear" w:color="auto" w:fill="auto"/>
            <w:noWrap/>
            <w:vAlign w:val="bottom"/>
            <w:hideMark/>
          </w:tcPr>
          <w:p w14:paraId="3521E02B" w14:textId="77777777" w:rsidR="005B7046" w:rsidRPr="00CA3E58" w:rsidRDefault="005B7046" w:rsidP="0001256C">
            <w:pPr>
              <w:jc w:val="both"/>
              <w:rPr>
                <w:rFonts w:ascii="Arial" w:hAnsi="Arial" w:cs="Arial"/>
                <w:sz w:val="16"/>
                <w:szCs w:val="16"/>
              </w:rPr>
            </w:pPr>
            <w:r w:rsidRPr="00CA3E58">
              <w:rPr>
                <w:rFonts w:ascii="Arial" w:hAnsi="Arial" w:cs="Arial"/>
                <w:sz w:val="16"/>
                <w:szCs w:val="16"/>
              </w:rPr>
              <w:t>76</w:t>
            </w:r>
          </w:p>
        </w:tc>
        <w:tc>
          <w:tcPr>
            <w:tcW w:w="350" w:type="pct"/>
            <w:tcBorders>
              <w:top w:val="single" w:sz="4" w:space="0" w:color="auto"/>
              <w:left w:val="nil"/>
              <w:bottom w:val="single" w:sz="4" w:space="0" w:color="auto"/>
              <w:right w:val="single" w:sz="4" w:space="0" w:color="auto"/>
            </w:tcBorders>
            <w:shd w:val="clear" w:color="auto" w:fill="auto"/>
            <w:noWrap/>
            <w:vAlign w:val="bottom"/>
            <w:hideMark/>
          </w:tcPr>
          <w:p w14:paraId="6FA1A9CF" w14:textId="77777777" w:rsidR="005B7046" w:rsidRPr="00CA3E58" w:rsidRDefault="005B7046" w:rsidP="0001256C">
            <w:pPr>
              <w:jc w:val="both"/>
              <w:rPr>
                <w:rFonts w:ascii="Arial" w:hAnsi="Arial" w:cs="Arial"/>
                <w:sz w:val="16"/>
                <w:szCs w:val="16"/>
              </w:rPr>
            </w:pPr>
            <w:r>
              <w:rPr>
                <w:rFonts w:ascii="Arial" w:hAnsi="Arial" w:cs="Arial"/>
                <w:sz w:val="16"/>
                <w:szCs w:val="16"/>
              </w:rPr>
              <w:t>81</w:t>
            </w:r>
          </w:p>
        </w:tc>
        <w:tc>
          <w:tcPr>
            <w:tcW w:w="394" w:type="pct"/>
            <w:tcBorders>
              <w:top w:val="single" w:sz="4" w:space="0" w:color="auto"/>
              <w:left w:val="nil"/>
              <w:bottom w:val="single" w:sz="4" w:space="0" w:color="auto"/>
              <w:right w:val="nil"/>
            </w:tcBorders>
            <w:shd w:val="clear" w:color="auto" w:fill="auto"/>
            <w:noWrap/>
            <w:vAlign w:val="bottom"/>
            <w:hideMark/>
          </w:tcPr>
          <w:p w14:paraId="27FC6263" w14:textId="77777777" w:rsidR="005B7046" w:rsidRPr="00CA3E58" w:rsidRDefault="005B7046" w:rsidP="0001256C">
            <w:pPr>
              <w:jc w:val="both"/>
              <w:rPr>
                <w:rFonts w:ascii="Arial" w:hAnsi="Arial" w:cs="Arial"/>
                <w:sz w:val="16"/>
                <w:szCs w:val="16"/>
              </w:rPr>
            </w:pPr>
            <w:r w:rsidRPr="00CA3E58">
              <w:rPr>
                <w:rFonts w:ascii="Arial" w:hAnsi="Arial" w:cs="Arial"/>
                <w:sz w:val="16"/>
                <w:szCs w:val="16"/>
              </w:rPr>
              <w:t>Discontinued in FY13</w:t>
            </w: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5730EE" w14:textId="77777777" w:rsidR="005B7046" w:rsidRDefault="005B7046" w:rsidP="0001256C">
            <w:pPr>
              <w:jc w:val="both"/>
              <w:rPr>
                <w:rFonts w:ascii="Arial" w:hAnsi="Arial" w:cs="Arial"/>
                <w:sz w:val="16"/>
                <w:szCs w:val="16"/>
              </w:rPr>
            </w:pPr>
            <w:r w:rsidRPr="00CA3E58">
              <w:rPr>
                <w:rFonts w:ascii="Arial" w:hAnsi="Arial" w:cs="Arial"/>
                <w:sz w:val="16"/>
                <w:szCs w:val="16"/>
              </w:rPr>
              <w:t>Discon</w:t>
            </w:r>
            <w:r>
              <w:rPr>
                <w:rFonts w:ascii="Arial" w:hAnsi="Arial" w:cs="Arial"/>
                <w:sz w:val="16"/>
                <w:szCs w:val="16"/>
              </w:rPr>
              <w:t>-</w:t>
            </w:r>
            <w:r w:rsidRPr="00CA3E58">
              <w:rPr>
                <w:rFonts w:ascii="Arial" w:hAnsi="Arial" w:cs="Arial"/>
                <w:sz w:val="16"/>
                <w:szCs w:val="16"/>
              </w:rPr>
              <w:t>tinued</w:t>
            </w:r>
          </w:p>
          <w:p w14:paraId="63FCE071" w14:textId="77777777" w:rsidR="005B7046" w:rsidRPr="00CA3E58" w:rsidRDefault="005B7046" w:rsidP="0001256C">
            <w:pPr>
              <w:jc w:val="both"/>
              <w:rPr>
                <w:rFonts w:ascii="Arial" w:hAnsi="Arial" w:cs="Arial"/>
                <w:sz w:val="16"/>
                <w:szCs w:val="16"/>
              </w:rPr>
            </w:pPr>
            <w:r w:rsidRPr="00CA3E58">
              <w:rPr>
                <w:rFonts w:ascii="Arial" w:hAnsi="Arial" w:cs="Arial"/>
                <w:sz w:val="16"/>
                <w:szCs w:val="16"/>
              </w:rPr>
              <w:t>in FY13</w:t>
            </w:r>
          </w:p>
        </w:tc>
      </w:tr>
      <w:tr w:rsidR="005B7046" w:rsidRPr="00CA3E58" w14:paraId="62E0D529" w14:textId="77777777" w:rsidTr="00507E6F">
        <w:trPr>
          <w:trHeight w:val="600"/>
        </w:trPr>
        <w:tc>
          <w:tcPr>
            <w:tcW w:w="937" w:type="pct"/>
            <w:tcBorders>
              <w:top w:val="single" w:sz="4" w:space="0" w:color="auto"/>
              <w:left w:val="single" w:sz="4" w:space="0" w:color="auto"/>
              <w:bottom w:val="single" w:sz="4" w:space="0" w:color="auto"/>
              <w:right w:val="single" w:sz="8" w:space="0" w:color="auto"/>
            </w:tcBorders>
            <w:shd w:val="clear" w:color="auto" w:fill="auto"/>
            <w:vAlign w:val="bottom"/>
            <w:hideMark/>
          </w:tcPr>
          <w:p w14:paraId="375C994E" w14:textId="77777777" w:rsidR="005B7046" w:rsidRPr="008C751A" w:rsidRDefault="005B7046" w:rsidP="0001256C">
            <w:pPr>
              <w:jc w:val="both"/>
              <w:rPr>
                <w:rFonts w:ascii="Arial" w:hAnsi="Arial" w:cs="Arial"/>
                <w:b/>
                <w:bCs/>
                <w:sz w:val="18"/>
                <w:szCs w:val="18"/>
              </w:rPr>
            </w:pPr>
            <w:r w:rsidRPr="008C751A">
              <w:rPr>
                <w:rFonts w:ascii="Arial" w:hAnsi="Arial" w:cs="Arial"/>
                <w:b/>
                <w:bCs/>
                <w:sz w:val="18"/>
                <w:szCs w:val="18"/>
              </w:rPr>
              <w:t>OUTCOME</w:t>
            </w:r>
          </w:p>
        </w:tc>
        <w:tc>
          <w:tcPr>
            <w:tcW w:w="1160" w:type="pct"/>
            <w:tcBorders>
              <w:top w:val="single" w:sz="4" w:space="0" w:color="auto"/>
              <w:left w:val="nil"/>
              <w:bottom w:val="single" w:sz="4" w:space="0" w:color="auto"/>
              <w:right w:val="single" w:sz="8" w:space="0" w:color="auto"/>
            </w:tcBorders>
            <w:shd w:val="clear" w:color="auto" w:fill="auto"/>
            <w:vAlign w:val="bottom"/>
            <w:hideMark/>
          </w:tcPr>
          <w:p w14:paraId="7672235E" w14:textId="77777777" w:rsidR="005B7046" w:rsidRPr="008C751A" w:rsidRDefault="005B7046" w:rsidP="0001256C">
            <w:pPr>
              <w:jc w:val="both"/>
              <w:rPr>
                <w:rFonts w:ascii="Arial" w:hAnsi="Arial" w:cs="Arial"/>
                <w:sz w:val="18"/>
                <w:szCs w:val="18"/>
              </w:rPr>
            </w:pPr>
            <w:r w:rsidRPr="008C751A">
              <w:rPr>
                <w:rFonts w:ascii="Arial" w:hAnsi="Arial" w:cs="Arial"/>
                <w:sz w:val="18"/>
                <w:szCs w:val="18"/>
              </w:rPr>
              <w:t>Improve knowledge resource recipient satisfactions rating</w:t>
            </w:r>
          </w:p>
        </w:tc>
        <w:tc>
          <w:tcPr>
            <w:tcW w:w="302" w:type="pct"/>
            <w:tcBorders>
              <w:top w:val="single" w:sz="4" w:space="0" w:color="auto"/>
              <w:left w:val="nil"/>
              <w:bottom w:val="single" w:sz="4" w:space="0" w:color="auto"/>
              <w:right w:val="single" w:sz="4" w:space="0" w:color="auto"/>
            </w:tcBorders>
            <w:shd w:val="clear" w:color="auto" w:fill="auto"/>
            <w:vAlign w:val="bottom"/>
            <w:hideMark/>
          </w:tcPr>
          <w:p w14:paraId="13C3CBC8" w14:textId="77777777" w:rsidR="005B7046" w:rsidRPr="00CA3E58" w:rsidRDefault="005B7046" w:rsidP="0001256C">
            <w:pPr>
              <w:jc w:val="both"/>
              <w:rPr>
                <w:rFonts w:ascii="Arial" w:hAnsi="Arial" w:cs="Arial"/>
                <w:sz w:val="16"/>
                <w:szCs w:val="16"/>
              </w:rPr>
            </w:pPr>
            <w:r w:rsidRPr="00CA3E58">
              <w:rPr>
                <w:rFonts w:ascii="Arial" w:hAnsi="Arial" w:cs="Arial"/>
                <w:sz w:val="16"/>
                <w:szCs w:val="16"/>
              </w:rPr>
              <w:t>New in FY08</w:t>
            </w:r>
          </w:p>
        </w:tc>
        <w:tc>
          <w:tcPr>
            <w:tcW w:w="243" w:type="pct"/>
            <w:tcBorders>
              <w:top w:val="single" w:sz="4" w:space="0" w:color="auto"/>
              <w:left w:val="nil"/>
              <w:bottom w:val="single" w:sz="4" w:space="0" w:color="auto"/>
              <w:right w:val="single" w:sz="4" w:space="0" w:color="auto"/>
            </w:tcBorders>
            <w:shd w:val="clear" w:color="auto" w:fill="auto"/>
            <w:vAlign w:val="bottom"/>
            <w:hideMark/>
          </w:tcPr>
          <w:p w14:paraId="596D6A3B" w14:textId="77777777" w:rsidR="005B7046" w:rsidRPr="00CA3E58" w:rsidRDefault="005B7046" w:rsidP="0001256C">
            <w:pPr>
              <w:jc w:val="both"/>
              <w:rPr>
                <w:rFonts w:ascii="Arial" w:hAnsi="Arial" w:cs="Arial"/>
                <w:sz w:val="16"/>
                <w:szCs w:val="16"/>
              </w:rPr>
            </w:pPr>
            <w:r w:rsidRPr="00CA3E58">
              <w:rPr>
                <w:rFonts w:ascii="Arial" w:hAnsi="Arial" w:cs="Arial"/>
                <w:sz w:val="16"/>
                <w:szCs w:val="16"/>
              </w:rPr>
              <w:t>New in FY08</w:t>
            </w:r>
          </w:p>
        </w:tc>
        <w:tc>
          <w:tcPr>
            <w:tcW w:w="242" w:type="pct"/>
            <w:tcBorders>
              <w:top w:val="single" w:sz="4" w:space="0" w:color="auto"/>
              <w:left w:val="nil"/>
              <w:bottom w:val="single" w:sz="4" w:space="0" w:color="auto"/>
              <w:right w:val="single" w:sz="4" w:space="0" w:color="auto"/>
            </w:tcBorders>
            <w:shd w:val="clear" w:color="auto" w:fill="auto"/>
            <w:vAlign w:val="bottom"/>
            <w:hideMark/>
          </w:tcPr>
          <w:p w14:paraId="55914A93" w14:textId="77777777" w:rsidR="005B7046" w:rsidRPr="00CA3E58" w:rsidRDefault="005B7046" w:rsidP="0001256C">
            <w:pPr>
              <w:jc w:val="both"/>
              <w:rPr>
                <w:rFonts w:ascii="Arial" w:hAnsi="Arial" w:cs="Arial"/>
                <w:sz w:val="16"/>
                <w:szCs w:val="16"/>
              </w:rPr>
            </w:pPr>
            <w:r w:rsidRPr="00CA3E58">
              <w:rPr>
                <w:rFonts w:ascii="Arial" w:hAnsi="Arial" w:cs="Arial"/>
                <w:sz w:val="16"/>
                <w:szCs w:val="16"/>
              </w:rPr>
              <w:t>69</w:t>
            </w:r>
          </w:p>
        </w:tc>
        <w:tc>
          <w:tcPr>
            <w:tcW w:w="242" w:type="pct"/>
            <w:tcBorders>
              <w:top w:val="single" w:sz="4" w:space="0" w:color="auto"/>
              <w:left w:val="nil"/>
              <w:bottom w:val="single" w:sz="4" w:space="0" w:color="auto"/>
              <w:right w:val="single" w:sz="4" w:space="0" w:color="auto"/>
            </w:tcBorders>
            <w:shd w:val="clear" w:color="auto" w:fill="auto"/>
            <w:vAlign w:val="bottom"/>
            <w:hideMark/>
          </w:tcPr>
          <w:p w14:paraId="41E6CDE2" w14:textId="77777777" w:rsidR="005B7046" w:rsidRPr="00CA3E58" w:rsidRDefault="005B7046" w:rsidP="0001256C">
            <w:pPr>
              <w:jc w:val="both"/>
              <w:rPr>
                <w:rFonts w:ascii="Arial" w:hAnsi="Arial" w:cs="Arial"/>
                <w:sz w:val="16"/>
                <w:szCs w:val="16"/>
              </w:rPr>
            </w:pPr>
            <w:r w:rsidRPr="00CA3E58">
              <w:rPr>
                <w:rFonts w:ascii="Arial" w:hAnsi="Arial" w:cs="Arial"/>
                <w:sz w:val="16"/>
                <w:szCs w:val="16"/>
              </w:rPr>
              <w:t>70</w:t>
            </w:r>
          </w:p>
        </w:tc>
        <w:tc>
          <w:tcPr>
            <w:tcW w:w="274" w:type="pct"/>
            <w:tcBorders>
              <w:top w:val="single" w:sz="4" w:space="0" w:color="auto"/>
              <w:left w:val="nil"/>
              <w:bottom w:val="single" w:sz="4" w:space="0" w:color="auto"/>
              <w:right w:val="single" w:sz="4" w:space="0" w:color="auto"/>
            </w:tcBorders>
            <w:shd w:val="clear" w:color="auto" w:fill="auto"/>
            <w:noWrap/>
            <w:vAlign w:val="bottom"/>
            <w:hideMark/>
          </w:tcPr>
          <w:p w14:paraId="4E7520D5" w14:textId="77777777" w:rsidR="005B7046" w:rsidRPr="00CA3E58" w:rsidRDefault="005B7046" w:rsidP="0001256C">
            <w:pPr>
              <w:jc w:val="both"/>
              <w:rPr>
                <w:rFonts w:ascii="Arial" w:hAnsi="Arial" w:cs="Arial"/>
                <w:sz w:val="16"/>
                <w:szCs w:val="16"/>
              </w:rPr>
            </w:pPr>
            <w:r w:rsidRPr="00CA3E58">
              <w:rPr>
                <w:rFonts w:ascii="Arial" w:hAnsi="Arial" w:cs="Arial"/>
                <w:sz w:val="16"/>
                <w:szCs w:val="16"/>
              </w:rPr>
              <w:t>77</w:t>
            </w:r>
          </w:p>
        </w:tc>
        <w:tc>
          <w:tcPr>
            <w:tcW w:w="273" w:type="pct"/>
            <w:tcBorders>
              <w:top w:val="single" w:sz="4" w:space="0" w:color="auto"/>
              <w:left w:val="nil"/>
              <w:bottom w:val="single" w:sz="4" w:space="0" w:color="auto"/>
              <w:right w:val="single" w:sz="4" w:space="0" w:color="auto"/>
            </w:tcBorders>
            <w:shd w:val="clear" w:color="auto" w:fill="auto"/>
            <w:noWrap/>
            <w:vAlign w:val="bottom"/>
            <w:hideMark/>
          </w:tcPr>
          <w:p w14:paraId="7E795B06" w14:textId="77777777" w:rsidR="005B7046" w:rsidRPr="00CA3E58" w:rsidRDefault="005B7046" w:rsidP="0001256C">
            <w:pPr>
              <w:jc w:val="both"/>
              <w:rPr>
                <w:rFonts w:ascii="Arial" w:hAnsi="Arial" w:cs="Arial"/>
                <w:sz w:val="16"/>
                <w:szCs w:val="16"/>
              </w:rPr>
            </w:pPr>
            <w:r w:rsidRPr="00CA3E58">
              <w:rPr>
                <w:rFonts w:ascii="Arial" w:hAnsi="Arial" w:cs="Arial"/>
                <w:sz w:val="16"/>
                <w:szCs w:val="16"/>
              </w:rPr>
              <w:t>84</w:t>
            </w:r>
          </w:p>
        </w:tc>
        <w:tc>
          <w:tcPr>
            <w:tcW w:w="255" w:type="pct"/>
            <w:tcBorders>
              <w:top w:val="single" w:sz="4" w:space="0" w:color="auto"/>
              <w:left w:val="nil"/>
              <w:bottom w:val="single" w:sz="4" w:space="0" w:color="auto"/>
              <w:right w:val="single" w:sz="4" w:space="0" w:color="auto"/>
            </w:tcBorders>
            <w:shd w:val="clear" w:color="auto" w:fill="auto"/>
            <w:noWrap/>
            <w:vAlign w:val="bottom"/>
            <w:hideMark/>
          </w:tcPr>
          <w:p w14:paraId="10A5F89B" w14:textId="77777777" w:rsidR="005B7046" w:rsidRPr="00CA3E58" w:rsidRDefault="005B7046" w:rsidP="0001256C">
            <w:pPr>
              <w:jc w:val="both"/>
              <w:rPr>
                <w:rFonts w:ascii="Arial" w:hAnsi="Arial" w:cs="Arial"/>
                <w:sz w:val="16"/>
                <w:szCs w:val="16"/>
              </w:rPr>
            </w:pPr>
            <w:r w:rsidRPr="00CA3E58">
              <w:rPr>
                <w:rFonts w:ascii="Arial" w:hAnsi="Arial" w:cs="Arial"/>
                <w:sz w:val="16"/>
                <w:szCs w:val="16"/>
              </w:rPr>
              <w:t>70.7</w:t>
            </w:r>
          </w:p>
        </w:tc>
        <w:tc>
          <w:tcPr>
            <w:tcW w:w="350" w:type="pct"/>
            <w:tcBorders>
              <w:top w:val="single" w:sz="4" w:space="0" w:color="auto"/>
              <w:left w:val="nil"/>
              <w:bottom w:val="single" w:sz="4" w:space="0" w:color="auto"/>
              <w:right w:val="single" w:sz="4" w:space="0" w:color="auto"/>
            </w:tcBorders>
            <w:shd w:val="clear" w:color="auto" w:fill="auto"/>
            <w:noWrap/>
            <w:vAlign w:val="bottom"/>
            <w:hideMark/>
          </w:tcPr>
          <w:p w14:paraId="4A3F1CDD" w14:textId="77777777" w:rsidR="005B7046" w:rsidRPr="00CA3E58" w:rsidRDefault="005B7046" w:rsidP="0001256C">
            <w:pPr>
              <w:jc w:val="both"/>
              <w:rPr>
                <w:rFonts w:ascii="Arial" w:hAnsi="Arial" w:cs="Arial"/>
                <w:sz w:val="16"/>
                <w:szCs w:val="16"/>
              </w:rPr>
            </w:pPr>
            <w:r>
              <w:rPr>
                <w:rFonts w:ascii="Arial" w:hAnsi="Arial" w:cs="Arial"/>
                <w:sz w:val="16"/>
                <w:szCs w:val="16"/>
              </w:rPr>
              <w:t>84</w:t>
            </w:r>
          </w:p>
        </w:tc>
        <w:tc>
          <w:tcPr>
            <w:tcW w:w="394" w:type="pct"/>
            <w:tcBorders>
              <w:top w:val="single" w:sz="4" w:space="0" w:color="auto"/>
              <w:left w:val="nil"/>
              <w:bottom w:val="single" w:sz="4" w:space="0" w:color="auto"/>
              <w:right w:val="nil"/>
            </w:tcBorders>
            <w:shd w:val="clear" w:color="auto" w:fill="auto"/>
            <w:noWrap/>
            <w:vAlign w:val="bottom"/>
            <w:hideMark/>
          </w:tcPr>
          <w:p w14:paraId="724319DB" w14:textId="77777777" w:rsidR="005B7046" w:rsidRDefault="005B7046" w:rsidP="0001256C">
            <w:pPr>
              <w:jc w:val="both"/>
              <w:rPr>
                <w:rFonts w:ascii="Arial" w:hAnsi="Arial" w:cs="Arial"/>
                <w:sz w:val="16"/>
                <w:szCs w:val="16"/>
              </w:rPr>
            </w:pPr>
            <w:r w:rsidRPr="00CA3E58">
              <w:rPr>
                <w:rFonts w:ascii="Arial" w:hAnsi="Arial" w:cs="Arial"/>
                <w:sz w:val="16"/>
                <w:szCs w:val="16"/>
              </w:rPr>
              <w:t>Discontinued</w:t>
            </w:r>
          </w:p>
          <w:p w14:paraId="1343E304" w14:textId="77777777" w:rsidR="005B7046" w:rsidRPr="00CA3E58" w:rsidRDefault="005B7046" w:rsidP="0001256C">
            <w:pPr>
              <w:jc w:val="both"/>
              <w:rPr>
                <w:rFonts w:ascii="Arial" w:hAnsi="Arial" w:cs="Arial"/>
                <w:sz w:val="16"/>
                <w:szCs w:val="16"/>
              </w:rPr>
            </w:pPr>
            <w:r w:rsidRPr="00CA3E58">
              <w:rPr>
                <w:rFonts w:ascii="Arial" w:hAnsi="Arial" w:cs="Arial"/>
                <w:sz w:val="16"/>
                <w:szCs w:val="16"/>
              </w:rPr>
              <w:t>in FY13</w:t>
            </w: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68DF0E" w14:textId="77777777" w:rsidR="005B7046" w:rsidRDefault="005B7046" w:rsidP="0001256C">
            <w:pPr>
              <w:jc w:val="both"/>
              <w:rPr>
                <w:rFonts w:ascii="Arial" w:hAnsi="Arial" w:cs="Arial"/>
                <w:sz w:val="16"/>
                <w:szCs w:val="16"/>
              </w:rPr>
            </w:pPr>
            <w:r w:rsidRPr="00CA3E58">
              <w:rPr>
                <w:rFonts w:ascii="Arial" w:hAnsi="Arial" w:cs="Arial"/>
                <w:sz w:val="16"/>
                <w:szCs w:val="16"/>
              </w:rPr>
              <w:t>Discon</w:t>
            </w:r>
            <w:r>
              <w:rPr>
                <w:rFonts w:ascii="Arial" w:hAnsi="Arial" w:cs="Arial"/>
                <w:sz w:val="16"/>
                <w:szCs w:val="16"/>
              </w:rPr>
              <w:t>-</w:t>
            </w:r>
            <w:r w:rsidRPr="00CA3E58">
              <w:rPr>
                <w:rFonts w:ascii="Arial" w:hAnsi="Arial" w:cs="Arial"/>
                <w:sz w:val="16"/>
                <w:szCs w:val="16"/>
              </w:rPr>
              <w:t>tinued</w:t>
            </w:r>
          </w:p>
          <w:p w14:paraId="0841E452" w14:textId="77777777" w:rsidR="005B7046" w:rsidRPr="00CA3E58" w:rsidRDefault="005B7046" w:rsidP="0001256C">
            <w:pPr>
              <w:jc w:val="both"/>
              <w:rPr>
                <w:rFonts w:ascii="Arial" w:hAnsi="Arial" w:cs="Arial"/>
                <w:sz w:val="16"/>
                <w:szCs w:val="16"/>
              </w:rPr>
            </w:pPr>
            <w:r w:rsidRPr="00CA3E58">
              <w:rPr>
                <w:rFonts w:ascii="Arial" w:hAnsi="Arial" w:cs="Arial"/>
                <w:sz w:val="16"/>
                <w:szCs w:val="16"/>
              </w:rPr>
              <w:t>in FY13</w:t>
            </w:r>
          </w:p>
        </w:tc>
      </w:tr>
      <w:tr w:rsidR="005B7046" w:rsidRPr="00CA3E58" w14:paraId="009E010F" w14:textId="77777777" w:rsidTr="00507E6F">
        <w:trPr>
          <w:trHeight w:val="475"/>
        </w:trPr>
        <w:tc>
          <w:tcPr>
            <w:tcW w:w="937" w:type="pct"/>
            <w:tcBorders>
              <w:top w:val="nil"/>
              <w:left w:val="single" w:sz="4" w:space="0" w:color="auto"/>
              <w:bottom w:val="single" w:sz="8" w:space="0" w:color="auto"/>
              <w:right w:val="single" w:sz="8" w:space="0" w:color="auto"/>
            </w:tcBorders>
            <w:shd w:val="clear" w:color="auto" w:fill="auto"/>
            <w:vAlign w:val="bottom"/>
            <w:hideMark/>
          </w:tcPr>
          <w:p w14:paraId="665E68A6" w14:textId="77777777" w:rsidR="005B7046" w:rsidRPr="008C751A" w:rsidRDefault="005B7046" w:rsidP="0001256C">
            <w:pPr>
              <w:jc w:val="both"/>
              <w:rPr>
                <w:rFonts w:ascii="Arial" w:hAnsi="Arial" w:cs="Arial"/>
                <w:b/>
                <w:bCs/>
                <w:sz w:val="18"/>
                <w:szCs w:val="18"/>
              </w:rPr>
            </w:pPr>
            <w:r w:rsidRPr="008C751A">
              <w:rPr>
                <w:rFonts w:ascii="Arial" w:hAnsi="Arial" w:cs="Arial"/>
                <w:b/>
                <w:bCs/>
                <w:sz w:val="18"/>
                <w:szCs w:val="18"/>
              </w:rPr>
              <w:t>OUTPUT</w:t>
            </w:r>
          </w:p>
        </w:tc>
        <w:tc>
          <w:tcPr>
            <w:tcW w:w="1160" w:type="pct"/>
            <w:tcBorders>
              <w:top w:val="nil"/>
              <w:left w:val="nil"/>
              <w:bottom w:val="single" w:sz="8" w:space="0" w:color="auto"/>
              <w:right w:val="single" w:sz="8" w:space="0" w:color="auto"/>
            </w:tcBorders>
            <w:shd w:val="clear" w:color="auto" w:fill="auto"/>
            <w:vAlign w:val="bottom"/>
            <w:hideMark/>
          </w:tcPr>
          <w:p w14:paraId="4EE19194" w14:textId="77777777" w:rsidR="005B7046" w:rsidRPr="008C751A" w:rsidRDefault="005B7046" w:rsidP="0001256C">
            <w:pPr>
              <w:jc w:val="both"/>
              <w:rPr>
                <w:rFonts w:ascii="Arial" w:hAnsi="Arial" w:cs="Arial"/>
                <w:sz w:val="18"/>
                <w:szCs w:val="18"/>
              </w:rPr>
            </w:pPr>
            <w:r w:rsidRPr="008C751A">
              <w:rPr>
                <w:rFonts w:ascii="Arial" w:hAnsi="Arial" w:cs="Arial"/>
                <w:sz w:val="18"/>
                <w:szCs w:val="18"/>
              </w:rPr>
              <w:t>Number of officers funded</w:t>
            </w:r>
          </w:p>
        </w:tc>
        <w:tc>
          <w:tcPr>
            <w:tcW w:w="302" w:type="pct"/>
            <w:tcBorders>
              <w:top w:val="nil"/>
              <w:left w:val="nil"/>
              <w:bottom w:val="single" w:sz="4" w:space="0" w:color="auto"/>
              <w:right w:val="single" w:sz="4" w:space="0" w:color="auto"/>
            </w:tcBorders>
            <w:shd w:val="clear" w:color="auto" w:fill="auto"/>
            <w:vAlign w:val="bottom"/>
            <w:hideMark/>
          </w:tcPr>
          <w:p w14:paraId="3E9ABC79" w14:textId="77777777" w:rsidR="005B7046" w:rsidRPr="00CA3E58" w:rsidRDefault="005B7046" w:rsidP="0001256C">
            <w:pPr>
              <w:jc w:val="both"/>
              <w:rPr>
                <w:rFonts w:ascii="Arial" w:hAnsi="Arial" w:cs="Arial"/>
                <w:sz w:val="16"/>
                <w:szCs w:val="16"/>
              </w:rPr>
            </w:pPr>
            <w:r w:rsidRPr="00CA3E58">
              <w:rPr>
                <w:rFonts w:ascii="Arial" w:hAnsi="Arial" w:cs="Arial"/>
                <w:sz w:val="16"/>
                <w:szCs w:val="16"/>
              </w:rPr>
              <w:t>New in FY10</w:t>
            </w:r>
          </w:p>
        </w:tc>
        <w:tc>
          <w:tcPr>
            <w:tcW w:w="243" w:type="pct"/>
            <w:tcBorders>
              <w:top w:val="nil"/>
              <w:left w:val="nil"/>
              <w:bottom w:val="single" w:sz="4" w:space="0" w:color="auto"/>
              <w:right w:val="single" w:sz="4" w:space="0" w:color="auto"/>
            </w:tcBorders>
            <w:shd w:val="clear" w:color="auto" w:fill="auto"/>
            <w:vAlign w:val="bottom"/>
            <w:hideMark/>
          </w:tcPr>
          <w:p w14:paraId="513D4267" w14:textId="77777777" w:rsidR="005B7046" w:rsidRPr="00CA3E58" w:rsidRDefault="005B7046" w:rsidP="0001256C">
            <w:pPr>
              <w:jc w:val="both"/>
              <w:rPr>
                <w:rFonts w:ascii="Arial" w:hAnsi="Arial" w:cs="Arial"/>
                <w:sz w:val="16"/>
                <w:szCs w:val="16"/>
              </w:rPr>
            </w:pPr>
            <w:r w:rsidRPr="00CA3E58">
              <w:rPr>
                <w:rFonts w:ascii="Arial" w:hAnsi="Arial" w:cs="Arial"/>
                <w:sz w:val="16"/>
                <w:szCs w:val="16"/>
              </w:rPr>
              <w:t>New in FY10</w:t>
            </w:r>
          </w:p>
        </w:tc>
        <w:tc>
          <w:tcPr>
            <w:tcW w:w="242" w:type="pct"/>
            <w:tcBorders>
              <w:top w:val="nil"/>
              <w:left w:val="nil"/>
              <w:bottom w:val="single" w:sz="4" w:space="0" w:color="auto"/>
              <w:right w:val="single" w:sz="4" w:space="0" w:color="auto"/>
            </w:tcBorders>
            <w:shd w:val="clear" w:color="auto" w:fill="auto"/>
            <w:vAlign w:val="bottom"/>
            <w:hideMark/>
          </w:tcPr>
          <w:p w14:paraId="36293818" w14:textId="77777777" w:rsidR="005B7046" w:rsidRPr="00CA3E58" w:rsidRDefault="005B7046" w:rsidP="0001256C">
            <w:pPr>
              <w:jc w:val="both"/>
              <w:rPr>
                <w:rFonts w:ascii="Arial" w:hAnsi="Arial" w:cs="Arial"/>
                <w:sz w:val="16"/>
                <w:szCs w:val="16"/>
              </w:rPr>
            </w:pPr>
            <w:r w:rsidRPr="00CA3E58">
              <w:rPr>
                <w:rFonts w:ascii="Arial" w:hAnsi="Arial" w:cs="Arial"/>
                <w:sz w:val="16"/>
                <w:szCs w:val="16"/>
              </w:rPr>
              <w:t>New in FY10</w:t>
            </w:r>
          </w:p>
        </w:tc>
        <w:tc>
          <w:tcPr>
            <w:tcW w:w="242" w:type="pct"/>
            <w:tcBorders>
              <w:top w:val="nil"/>
              <w:left w:val="nil"/>
              <w:bottom w:val="single" w:sz="4" w:space="0" w:color="auto"/>
              <w:right w:val="single" w:sz="4" w:space="0" w:color="auto"/>
            </w:tcBorders>
            <w:shd w:val="clear" w:color="auto" w:fill="auto"/>
            <w:vAlign w:val="bottom"/>
            <w:hideMark/>
          </w:tcPr>
          <w:p w14:paraId="6659BFEA" w14:textId="77777777" w:rsidR="005B7046" w:rsidRPr="00CA3E58" w:rsidRDefault="005B7046" w:rsidP="0001256C">
            <w:pPr>
              <w:jc w:val="both"/>
              <w:rPr>
                <w:rFonts w:ascii="Arial" w:hAnsi="Arial" w:cs="Arial"/>
                <w:sz w:val="16"/>
                <w:szCs w:val="16"/>
              </w:rPr>
            </w:pPr>
            <w:r w:rsidRPr="00CA3E58">
              <w:rPr>
                <w:rFonts w:ascii="Arial" w:hAnsi="Arial" w:cs="Arial"/>
                <w:sz w:val="16"/>
                <w:szCs w:val="16"/>
              </w:rPr>
              <w:t>New in FY10</w:t>
            </w:r>
          </w:p>
        </w:tc>
        <w:tc>
          <w:tcPr>
            <w:tcW w:w="274" w:type="pct"/>
            <w:tcBorders>
              <w:top w:val="nil"/>
              <w:left w:val="nil"/>
              <w:bottom w:val="single" w:sz="4" w:space="0" w:color="auto"/>
              <w:right w:val="single" w:sz="4" w:space="0" w:color="auto"/>
            </w:tcBorders>
            <w:shd w:val="clear" w:color="auto" w:fill="auto"/>
            <w:noWrap/>
            <w:vAlign w:val="bottom"/>
            <w:hideMark/>
          </w:tcPr>
          <w:p w14:paraId="1C2473FD" w14:textId="77777777" w:rsidR="005B7046" w:rsidRPr="00CA3E58" w:rsidRDefault="005B7046" w:rsidP="0001256C">
            <w:pPr>
              <w:jc w:val="both"/>
              <w:rPr>
                <w:rFonts w:ascii="Arial" w:hAnsi="Arial" w:cs="Arial"/>
                <w:sz w:val="16"/>
                <w:szCs w:val="16"/>
              </w:rPr>
            </w:pPr>
            <w:r w:rsidRPr="00CA3E58">
              <w:rPr>
                <w:rFonts w:ascii="Arial" w:hAnsi="Arial" w:cs="Arial"/>
                <w:sz w:val="16"/>
                <w:szCs w:val="16"/>
              </w:rPr>
              <w:t>6,094</w:t>
            </w:r>
          </w:p>
        </w:tc>
        <w:tc>
          <w:tcPr>
            <w:tcW w:w="273" w:type="pct"/>
            <w:tcBorders>
              <w:top w:val="nil"/>
              <w:left w:val="nil"/>
              <w:bottom w:val="single" w:sz="4" w:space="0" w:color="auto"/>
              <w:right w:val="single" w:sz="4" w:space="0" w:color="auto"/>
            </w:tcBorders>
            <w:shd w:val="clear" w:color="auto" w:fill="auto"/>
            <w:noWrap/>
            <w:vAlign w:val="bottom"/>
            <w:hideMark/>
          </w:tcPr>
          <w:p w14:paraId="3D826DAD" w14:textId="77777777" w:rsidR="005B7046" w:rsidRPr="00CA3E58" w:rsidRDefault="005B7046" w:rsidP="0001256C">
            <w:pPr>
              <w:jc w:val="both"/>
              <w:rPr>
                <w:rFonts w:ascii="Arial" w:hAnsi="Arial" w:cs="Arial"/>
                <w:sz w:val="16"/>
                <w:szCs w:val="16"/>
              </w:rPr>
            </w:pPr>
            <w:r w:rsidRPr="00CA3E58">
              <w:rPr>
                <w:rFonts w:ascii="Arial" w:hAnsi="Arial" w:cs="Arial"/>
                <w:sz w:val="16"/>
                <w:szCs w:val="16"/>
              </w:rPr>
              <w:t>7,115</w:t>
            </w:r>
          </w:p>
        </w:tc>
        <w:tc>
          <w:tcPr>
            <w:tcW w:w="255" w:type="pct"/>
            <w:tcBorders>
              <w:top w:val="nil"/>
              <w:left w:val="nil"/>
              <w:bottom w:val="single" w:sz="4" w:space="0" w:color="auto"/>
              <w:right w:val="single" w:sz="4" w:space="0" w:color="auto"/>
            </w:tcBorders>
            <w:shd w:val="clear" w:color="auto" w:fill="auto"/>
            <w:noWrap/>
            <w:vAlign w:val="bottom"/>
            <w:hideMark/>
          </w:tcPr>
          <w:p w14:paraId="4FB66B9A" w14:textId="77777777" w:rsidR="005B7046" w:rsidRPr="00CA3E58" w:rsidRDefault="005B7046" w:rsidP="0001256C">
            <w:pPr>
              <w:jc w:val="both"/>
              <w:rPr>
                <w:rFonts w:ascii="Arial" w:hAnsi="Arial" w:cs="Arial"/>
                <w:sz w:val="16"/>
                <w:szCs w:val="16"/>
              </w:rPr>
            </w:pPr>
            <w:r w:rsidRPr="00CA3E58">
              <w:rPr>
                <w:rFonts w:ascii="Arial" w:hAnsi="Arial" w:cs="Arial"/>
                <w:sz w:val="16"/>
                <w:szCs w:val="16"/>
              </w:rPr>
              <w:t>7,843</w:t>
            </w:r>
          </w:p>
        </w:tc>
        <w:tc>
          <w:tcPr>
            <w:tcW w:w="350" w:type="pct"/>
            <w:tcBorders>
              <w:top w:val="single" w:sz="4" w:space="0" w:color="auto"/>
              <w:left w:val="nil"/>
              <w:bottom w:val="single" w:sz="4" w:space="0" w:color="auto"/>
              <w:right w:val="single" w:sz="4" w:space="0" w:color="auto"/>
            </w:tcBorders>
            <w:shd w:val="clear" w:color="auto" w:fill="auto"/>
            <w:noWrap/>
            <w:vAlign w:val="bottom"/>
            <w:hideMark/>
          </w:tcPr>
          <w:p w14:paraId="244AC00C" w14:textId="77777777" w:rsidR="005B7046" w:rsidRPr="00CA3E58" w:rsidRDefault="007B4A48" w:rsidP="007B4A48">
            <w:pPr>
              <w:jc w:val="both"/>
              <w:rPr>
                <w:rFonts w:ascii="Arial" w:hAnsi="Arial" w:cs="Arial"/>
                <w:sz w:val="16"/>
                <w:szCs w:val="16"/>
              </w:rPr>
            </w:pPr>
            <w:r>
              <w:rPr>
                <w:rFonts w:ascii="Arial" w:hAnsi="Arial" w:cs="Arial"/>
                <w:sz w:val="16"/>
                <w:szCs w:val="16"/>
              </w:rPr>
              <w:t>8,005</w:t>
            </w:r>
          </w:p>
        </w:tc>
        <w:tc>
          <w:tcPr>
            <w:tcW w:w="394" w:type="pct"/>
            <w:tcBorders>
              <w:top w:val="single" w:sz="4" w:space="0" w:color="auto"/>
              <w:left w:val="nil"/>
              <w:bottom w:val="single" w:sz="4" w:space="0" w:color="auto"/>
              <w:right w:val="nil"/>
            </w:tcBorders>
            <w:shd w:val="clear" w:color="auto" w:fill="auto"/>
            <w:noWrap/>
            <w:vAlign w:val="bottom"/>
            <w:hideMark/>
          </w:tcPr>
          <w:p w14:paraId="62B662AD" w14:textId="77777777" w:rsidR="005B7046" w:rsidRPr="00CA3E58" w:rsidRDefault="00701256" w:rsidP="0001256C">
            <w:pPr>
              <w:jc w:val="both"/>
              <w:rPr>
                <w:rFonts w:ascii="Arial" w:hAnsi="Arial" w:cs="Arial"/>
                <w:sz w:val="16"/>
                <w:szCs w:val="16"/>
              </w:rPr>
            </w:pPr>
            <w:r>
              <w:rPr>
                <w:rFonts w:ascii="Arial" w:hAnsi="Arial" w:cs="Arial"/>
                <w:sz w:val="16"/>
                <w:szCs w:val="16"/>
              </w:rPr>
              <w:t>8,776</w:t>
            </w:r>
          </w:p>
        </w:tc>
        <w:tc>
          <w:tcPr>
            <w:tcW w:w="328" w:type="pct"/>
            <w:tcBorders>
              <w:top w:val="nil"/>
              <w:left w:val="single" w:sz="4" w:space="0" w:color="auto"/>
              <w:bottom w:val="single" w:sz="4" w:space="0" w:color="auto"/>
              <w:right w:val="single" w:sz="4" w:space="0" w:color="auto"/>
            </w:tcBorders>
            <w:shd w:val="clear" w:color="auto" w:fill="auto"/>
            <w:noWrap/>
            <w:vAlign w:val="bottom"/>
            <w:hideMark/>
          </w:tcPr>
          <w:p w14:paraId="09F46A48" w14:textId="77777777" w:rsidR="005B7046" w:rsidRPr="00CA3E58" w:rsidRDefault="00701256" w:rsidP="0001256C">
            <w:pPr>
              <w:jc w:val="both"/>
              <w:rPr>
                <w:rFonts w:ascii="Arial" w:hAnsi="Arial" w:cs="Arial"/>
                <w:sz w:val="16"/>
                <w:szCs w:val="16"/>
              </w:rPr>
            </w:pPr>
            <w:r>
              <w:rPr>
                <w:rFonts w:ascii="Arial" w:hAnsi="Arial" w:cs="Arial"/>
                <w:sz w:val="16"/>
                <w:szCs w:val="16"/>
              </w:rPr>
              <w:t>10,</w:t>
            </w:r>
            <w:r w:rsidR="008C647E">
              <w:rPr>
                <w:rFonts w:ascii="Arial" w:hAnsi="Arial" w:cs="Arial"/>
                <w:sz w:val="16"/>
                <w:szCs w:val="16"/>
              </w:rPr>
              <w:t>205</w:t>
            </w:r>
          </w:p>
        </w:tc>
      </w:tr>
      <w:tr w:rsidR="005B7046" w:rsidRPr="00CA3E58" w14:paraId="73887C8A" w14:textId="77777777" w:rsidTr="00507E6F">
        <w:trPr>
          <w:trHeight w:val="475"/>
        </w:trPr>
        <w:tc>
          <w:tcPr>
            <w:tcW w:w="937" w:type="pct"/>
            <w:tcBorders>
              <w:top w:val="nil"/>
              <w:left w:val="single" w:sz="4" w:space="0" w:color="auto"/>
              <w:bottom w:val="single" w:sz="8" w:space="0" w:color="auto"/>
              <w:right w:val="single" w:sz="8" w:space="0" w:color="auto"/>
            </w:tcBorders>
            <w:shd w:val="clear" w:color="auto" w:fill="auto"/>
            <w:vAlign w:val="bottom"/>
            <w:hideMark/>
          </w:tcPr>
          <w:p w14:paraId="489B5911" w14:textId="77777777" w:rsidR="005B7046" w:rsidRPr="008C751A" w:rsidRDefault="005B7046" w:rsidP="0001256C">
            <w:pPr>
              <w:jc w:val="both"/>
              <w:rPr>
                <w:rFonts w:ascii="Arial" w:hAnsi="Arial" w:cs="Arial"/>
                <w:b/>
                <w:bCs/>
                <w:sz w:val="18"/>
                <w:szCs w:val="18"/>
              </w:rPr>
            </w:pPr>
            <w:r w:rsidRPr="008C751A">
              <w:rPr>
                <w:rFonts w:ascii="Arial" w:hAnsi="Arial" w:cs="Arial"/>
                <w:b/>
                <w:bCs/>
                <w:sz w:val="18"/>
                <w:szCs w:val="18"/>
              </w:rPr>
              <w:t>OUTPUT</w:t>
            </w:r>
          </w:p>
        </w:tc>
        <w:tc>
          <w:tcPr>
            <w:tcW w:w="1160" w:type="pct"/>
            <w:tcBorders>
              <w:top w:val="nil"/>
              <w:left w:val="nil"/>
              <w:bottom w:val="single" w:sz="8" w:space="0" w:color="auto"/>
              <w:right w:val="single" w:sz="8" w:space="0" w:color="auto"/>
            </w:tcBorders>
            <w:shd w:val="clear" w:color="auto" w:fill="auto"/>
            <w:vAlign w:val="bottom"/>
            <w:hideMark/>
          </w:tcPr>
          <w:p w14:paraId="0AB4B8FF" w14:textId="77777777" w:rsidR="005B7046" w:rsidRPr="008C751A" w:rsidRDefault="005B7046" w:rsidP="0001256C">
            <w:pPr>
              <w:jc w:val="both"/>
              <w:rPr>
                <w:rFonts w:ascii="Arial" w:hAnsi="Arial" w:cs="Arial"/>
                <w:sz w:val="18"/>
                <w:szCs w:val="18"/>
              </w:rPr>
            </w:pPr>
            <w:r w:rsidRPr="008C751A">
              <w:rPr>
                <w:rFonts w:ascii="Arial" w:hAnsi="Arial" w:cs="Arial"/>
                <w:sz w:val="18"/>
                <w:szCs w:val="18"/>
              </w:rPr>
              <w:t>Number of officers hired</w:t>
            </w:r>
          </w:p>
        </w:tc>
        <w:tc>
          <w:tcPr>
            <w:tcW w:w="302" w:type="pct"/>
            <w:tcBorders>
              <w:top w:val="nil"/>
              <w:left w:val="nil"/>
              <w:bottom w:val="single" w:sz="4" w:space="0" w:color="auto"/>
              <w:right w:val="single" w:sz="4" w:space="0" w:color="auto"/>
            </w:tcBorders>
            <w:shd w:val="clear" w:color="auto" w:fill="auto"/>
            <w:vAlign w:val="bottom"/>
            <w:hideMark/>
          </w:tcPr>
          <w:p w14:paraId="5229C914" w14:textId="77777777" w:rsidR="005B7046" w:rsidRPr="00CA3E58" w:rsidRDefault="005B7046" w:rsidP="0001256C">
            <w:pPr>
              <w:jc w:val="both"/>
              <w:rPr>
                <w:rFonts w:ascii="Arial" w:hAnsi="Arial" w:cs="Arial"/>
                <w:sz w:val="16"/>
                <w:szCs w:val="16"/>
              </w:rPr>
            </w:pPr>
            <w:r w:rsidRPr="00CA3E58">
              <w:rPr>
                <w:rFonts w:ascii="Arial" w:hAnsi="Arial" w:cs="Arial"/>
                <w:sz w:val="16"/>
                <w:szCs w:val="16"/>
              </w:rPr>
              <w:t>New in FY10</w:t>
            </w:r>
          </w:p>
        </w:tc>
        <w:tc>
          <w:tcPr>
            <w:tcW w:w="243" w:type="pct"/>
            <w:tcBorders>
              <w:top w:val="nil"/>
              <w:left w:val="nil"/>
              <w:bottom w:val="single" w:sz="4" w:space="0" w:color="auto"/>
              <w:right w:val="single" w:sz="4" w:space="0" w:color="auto"/>
            </w:tcBorders>
            <w:shd w:val="clear" w:color="auto" w:fill="auto"/>
            <w:vAlign w:val="bottom"/>
            <w:hideMark/>
          </w:tcPr>
          <w:p w14:paraId="2813F82E" w14:textId="77777777" w:rsidR="005B7046" w:rsidRPr="00CA3E58" w:rsidRDefault="005B7046" w:rsidP="0001256C">
            <w:pPr>
              <w:jc w:val="both"/>
              <w:rPr>
                <w:rFonts w:ascii="Arial" w:hAnsi="Arial" w:cs="Arial"/>
                <w:sz w:val="16"/>
                <w:szCs w:val="16"/>
              </w:rPr>
            </w:pPr>
            <w:r w:rsidRPr="00CA3E58">
              <w:rPr>
                <w:rFonts w:ascii="Arial" w:hAnsi="Arial" w:cs="Arial"/>
                <w:sz w:val="16"/>
                <w:szCs w:val="16"/>
              </w:rPr>
              <w:t>New in FY10</w:t>
            </w:r>
          </w:p>
        </w:tc>
        <w:tc>
          <w:tcPr>
            <w:tcW w:w="242" w:type="pct"/>
            <w:tcBorders>
              <w:top w:val="nil"/>
              <w:left w:val="nil"/>
              <w:bottom w:val="single" w:sz="4" w:space="0" w:color="auto"/>
              <w:right w:val="single" w:sz="4" w:space="0" w:color="auto"/>
            </w:tcBorders>
            <w:shd w:val="clear" w:color="auto" w:fill="auto"/>
            <w:vAlign w:val="bottom"/>
            <w:hideMark/>
          </w:tcPr>
          <w:p w14:paraId="2124D67A" w14:textId="77777777" w:rsidR="005B7046" w:rsidRPr="00CA3E58" w:rsidRDefault="005B7046" w:rsidP="0001256C">
            <w:pPr>
              <w:jc w:val="both"/>
              <w:rPr>
                <w:rFonts w:ascii="Arial" w:hAnsi="Arial" w:cs="Arial"/>
                <w:sz w:val="16"/>
                <w:szCs w:val="16"/>
              </w:rPr>
            </w:pPr>
            <w:r w:rsidRPr="00CA3E58">
              <w:rPr>
                <w:rFonts w:ascii="Arial" w:hAnsi="Arial" w:cs="Arial"/>
                <w:sz w:val="16"/>
                <w:szCs w:val="16"/>
              </w:rPr>
              <w:t>New in FY10</w:t>
            </w:r>
          </w:p>
        </w:tc>
        <w:tc>
          <w:tcPr>
            <w:tcW w:w="242" w:type="pct"/>
            <w:tcBorders>
              <w:top w:val="nil"/>
              <w:left w:val="nil"/>
              <w:bottom w:val="single" w:sz="4" w:space="0" w:color="auto"/>
              <w:right w:val="single" w:sz="4" w:space="0" w:color="auto"/>
            </w:tcBorders>
            <w:shd w:val="clear" w:color="auto" w:fill="auto"/>
            <w:vAlign w:val="bottom"/>
            <w:hideMark/>
          </w:tcPr>
          <w:p w14:paraId="1D44D107" w14:textId="77777777" w:rsidR="005B7046" w:rsidRPr="00CA3E58" w:rsidRDefault="005B7046" w:rsidP="0001256C">
            <w:pPr>
              <w:jc w:val="both"/>
              <w:rPr>
                <w:rFonts w:ascii="Arial" w:hAnsi="Arial" w:cs="Arial"/>
                <w:sz w:val="16"/>
                <w:szCs w:val="16"/>
              </w:rPr>
            </w:pPr>
            <w:r w:rsidRPr="00CA3E58">
              <w:rPr>
                <w:rFonts w:ascii="Arial" w:hAnsi="Arial" w:cs="Arial"/>
                <w:sz w:val="16"/>
                <w:szCs w:val="16"/>
              </w:rPr>
              <w:t>New in FY10</w:t>
            </w:r>
          </w:p>
        </w:tc>
        <w:tc>
          <w:tcPr>
            <w:tcW w:w="274" w:type="pct"/>
            <w:tcBorders>
              <w:top w:val="nil"/>
              <w:left w:val="nil"/>
              <w:bottom w:val="single" w:sz="4" w:space="0" w:color="auto"/>
              <w:right w:val="single" w:sz="4" w:space="0" w:color="auto"/>
            </w:tcBorders>
            <w:shd w:val="clear" w:color="auto" w:fill="auto"/>
            <w:noWrap/>
            <w:vAlign w:val="bottom"/>
            <w:hideMark/>
          </w:tcPr>
          <w:p w14:paraId="7413B0B0" w14:textId="77777777" w:rsidR="005B7046" w:rsidRPr="00CA3E58" w:rsidRDefault="005B7046" w:rsidP="0001256C">
            <w:pPr>
              <w:jc w:val="both"/>
              <w:rPr>
                <w:rFonts w:ascii="Arial" w:hAnsi="Arial" w:cs="Arial"/>
                <w:sz w:val="16"/>
                <w:szCs w:val="16"/>
              </w:rPr>
            </w:pPr>
            <w:r w:rsidRPr="00CA3E58">
              <w:rPr>
                <w:rFonts w:ascii="Arial" w:hAnsi="Arial" w:cs="Arial"/>
                <w:sz w:val="16"/>
                <w:szCs w:val="16"/>
              </w:rPr>
              <w:t>4,169</w:t>
            </w:r>
          </w:p>
        </w:tc>
        <w:tc>
          <w:tcPr>
            <w:tcW w:w="273" w:type="pct"/>
            <w:tcBorders>
              <w:top w:val="nil"/>
              <w:left w:val="nil"/>
              <w:bottom w:val="single" w:sz="4" w:space="0" w:color="auto"/>
              <w:right w:val="single" w:sz="4" w:space="0" w:color="auto"/>
            </w:tcBorders>
            <w:shd w:val="clear" w:color="auto" w:fill="auto"/>
            <w:noWrap/>
            <w:vAlign w:val="bottom"/>
            <w:hideMark/>
          </w:tcPr>
          <w:p w14:paraId="326E4427" w14:textId="77777777" w:rsidR="005B7046" w:rsidRPr="00CA3E58" w:rsidRDefault="005B7046" w:rsidP="0001256C">
            <w:pPr>
              <w:jc w:val="both"/>
              <w:rPr>
                <w:rFonts w:ascii="Arial" w:hAnsi="Arial" w:cs="Arial"/>
                <w:sz w:val="16"/>
                <w:szCs w:val="16"/>
              </w:rPr>
            </w:pPr>
            <w:r w:rsidRPr="00CA3E58">
              <w:rPr>
                <w:rFonts w:ascii="Arial" w:hAnsi="Arial" w:cs="Arial"/>
                <w:sz w:val="16"/>
                <w:szCs w:val="16"/>
              </w:rPr>
              <w:t>5,305</w:t>
            </w:r>
          </w:p>
        </w:tc>
        <w:tc>
          <w:tcPr>
            <w:tcW w:w="255" w:type="pct"/>
            <w:tcBorders>
              <w:top w:val="nil"/>
              <w:left w:val="nil"/>
              <w:bottom w:val="single" w:sz="4" w:space="0" w:color="auto"/>
              <w:right w:val="single" w:sz="4" w:space="0" w:color="auto"/>
            </w:tcBorders>
            <w:shd w:val="clear" w:color="auto" w:fill="auto"/>
            <w:noWrap/>
            <w:vAlign w:val="bottom"/>
            <w:hideMark/>
          </w:tcPr>
          <w:p w14:paraId="4B395B84" w14:textId="77777777" w:rsidR="005B7046" w:rsidRPr="00CA3E58" w:rsidRDefault="005B7046" w:rsidP="0001256C">
            <w:pPr>
              <w:jc w:val="both"/>
              <w:rPr>
                <w:rFonts w:ascii="Arial" w:hAnsi="Arial" w:cs="Arial"/>
                <w:sz w:val="16"/>
                <w:szCs w:val="16"/>
              </w:rPr>
            </w:pPr>
            <w:r w:rsidRPr="00CA3E58">
              <w:rPr>
                <w:rFonts w:ascii="Arial" w:hAnsi="Arial" w:cs="Arial"/>
                <w:sz w:val="16"/>
                <w:szCs w:val="16"/>
              </w:rPr>
              <w:t>5,669</w:t>
            </w:r>
          </w:p>
        </w:tc>
        <w:tc>
          <w:tcPr>
            <w:tcW w:w="350" w:type="pct"/>
            <w:tcBorders>
              <w:top w:val="single" w:sz="4" w:space="0" w:color="auto"/>
              <w:left w:val="nil"/>
              <w:bottom w:val="single" w:sz="4" w:space="0" w:color="auto"/>
              <w:right w:val="single" w:sz="4" w:space="0" w:color="auto"/>
            </w:tcBorders>
            <w:shd w:val="clear" w:color="auto" w:fill="auto"/>
            <w:noWrap/>
            <w:vAlign w:val="bottom"/>
            <w:hideMark/>
          </w:tcPr>
          <w:p w14:paraId="7278BE80" w14:textId="77777777" w:rsidR="005B7046" w:rsidRPr="00CA3E58" w:rsidRDefault="005B7046" w:rsidP="0001256C">
            <w:pPr>
              <w:jc w:val="both"/>
              <w:rPr>
                <w:rFonts w:ascii="Arial" w:hAnsi="Arial" w:cs="Arial"/>
                <w:sz w:val="16"/>
                <w:szCs w:val="16"/>
              </w:rPr>
            </w:pPr>
            <w:r>
              <w:rPr>
                <w:rFonts w:ascii="Arial" w:hAnsi="Arial" w:cs="Arial"/>
                <w:sz w:val="16"/>
                <w:szCs w:val="16"/>
              </w:rPr>
              <w:t>5,930</w:t>
            </w:r>
          </w:p>
        </w:tc>
        <w:tc>
          <w:tcPr>
            <w:tcW w:w="394" w:type="pct"/>
            <w:tcBorders>
              <w:top w:val="single" w:sz="4" w:space="0" w:color="auto"/>
              <w:left w:val="nil"/>
              <w:bottom w:val="single" w:sz="4" w:space="0" w:color="auto"/>
              <w:right w:val="nil"/>
            </w:tcBorders>
            <w:shd w:val="clear" w:color="auto" w:fill="auto"/>
            <w:noWrap/>
            <w:vAlign w:val="bottom"/>
            <w:hideMark/>
          </w:tcPr>
          <w:p w14:paraId="1D3135C1" w14:textId="77777777" w:rsidR="005B7046" w:rsidRPr="00CA3E58" w:rsidRDefault="00701256" w:rsidP="0001256C">
            <w:pPr>
              <w:jc w:val="both"/>
              <w:rPr>
                <w:rFonts w:ascii="Arial" w:hAnsi="Arial" w:cs="Arial"/>
                <w:sz w:val="16"/>
                <w:szCs w:val="16"/>
              </w:rPr>
            </w:pPr>
            <w:r>
              <w:rPr>
                <w:rFonts w:ascii="Arial" w:hAnsi="Arial" w:cs="Arial"/>
                <w:sz w:val="16"/>
                <w:szCs w:val="16"/>
              </w:rPr>
              <w:t>7,479</w:t>
            </w:r>
          </w:p>
        </w:tc>
        <w:tc>
          <w:tcPr>
            <w:tcW w:w="328" w:type="pct"/>
            <w:tcBorders>
              <w:top w:val="nil"/>
              <w:left w:val="single" w:sz="4" w:space="0" w:color="auto"/>
              <w:bottom w:val="single" w:sz="4" w:space="0" w:color="auto"/>
              <w:right w:val="single" w:sz="4" w:space="0" w:color="auto"/>
            </w:tcBorders>
            <w:shd w:val="clear" w:color="auto" w:fill="auto"/>
            <w:noWrap/>
            <w:vAlign w:val="bottom"/>
            <w:hideMark/>
          </w:tcPr>
          <w:p w14:paraId="03E7ED55" w14:textId="77777777" w:rsidR="005B7046" w:rsidRPr="00CA3E58" w:rsidRDefault="00701256" w:rsidP="0001256C">
            <w:pPr>
              <w:jc w:val="both"/>
              <w:rPr>
                <w:rFonts w:ascii="Arial" w:hAnsi="Arial" w:cs="Arial"/>
                <w:sz w:val="16"/>
                <w:szCs w:val="16"/>
              </w:rPr>
            </w:pPr>
            <w:r>
              <w:rPr>
                <w:rFonts w:ascii="Arial" w:hAnsi="Arial" w:cs="Arial"/>
                <w:sz w:val="16"/>
                <w:szCs w:val="16"/>
              </w:rPr>
              <w:t>8,310</w:t>
            </w:r>
          </w:p>
        </w:tc>
      </w:tr>
      <w:tr w:rsidR="005B7046" w:rsidRPr="00CA3E58" w14:paraId="48DC2E19" w14:textId="77777777" w:rsidTr="00507E6F">
        <w:trPr>
          <w:trHeight w:val="475"/>
        </w:trPr>
        <w:tc>
          <w:tcPr>
            <w:tcW w:w="937" w:type="pct"/>
            <w:tcBorders>
              <w:top w:val="nil"/>
              <w:left w:val="single" w:sz="4" w:space="0" w:color="auto"/>
              <w:bottom w:val="single" w:sz="8" w:space="0" w:color="auto"/>
              <w:right w:val="single" w:sz="8" w:space="0" w:color="auto"/>
            </w:tcBorders>
            <w:shd w:val="clear" w:color="auto" w:fill="auto"/>
            <w:vAlign w:val="bottom"/>
            <w:hideMark/>
          </w:tcPr>
          <w:p w14:paraId="561EAFD8" w14:textId="77777777" w:rsidR="005B7046" w:rsidRPr="008C751A" w:rsidRDefault="005B7046" w:rsidP="0001256C">
            <w:pPr>
              <w:jc w:val="both"/>
              <w:rPr>
                <w:rFonts w:ascii="Arial" w:hAnsi="Arial" w:cs="Arial"/>
                <w:b/>
                <w:bCs/>
                <w:sz w:val="18"/>
                <w:szCs w:val="18"/>
              </w:rPr>
            </w:pPr>
            <w:r w:rsidRPr="008C751A">
              <w:rPr>
                <w:rFonts w:ascii="Arial" w:hAnsi="Arial" w:cs="Arial"/>
                <w:b/>
                <w:bCs/>
                <w:sz w:val="18"/>
                <w:szCs w:val="18"/>
              </w:rPr>
              <w:t>OUTPUT</w:t>
            </w:r>
          </w:p>
        </w:tc>
        <w:tc>
          <w:tcPr>
            <w:tcW w:w="1160" w:type="pct"/>
            <w:tcBorders>
              <w:top w:val="nil"/>
              <w:left w:val="nil"/>
              <w:bottom w:val="single" w:sz="8" w:space="0" w:color="auto"/>
              <w:right w:val="single" w:sz="8" w:space="0" w:color="auto"/>
            </w:tcBorders>
            <w:shd w:val="clear" w:color="auto" w:fill="auto"/>
            <w:vAlign w:val="bottom"/>
            <w:hideMark/>
          </w:tcPr>
          <w:p w14:paraId="724CD918" w14:textId="77777777" w:rsidR="005B7046" w:rsidRPr="008C751A" w:rsidRDefault="005B7046" w:rsidP="0001256C">
            <w:pPr>
              <w:jc w:val="both"/>
              <w:rPr>
                <w:rFonts w:ascii="Arial" w:hAnsi="Arial" w:cs="Arial"/>
                <w:sz w:val="18"/>
                <w:szCs w:val="18"/>
              </w:rPr>
            </w:pPr>
            <w:r w:rsidRPr="008C751A">
              <w:rPr>
                <w:rFonts w:ascii="Arial" w:hAnsi="Arial" w:cs="Arial"/>
                <w:sz w:val="18"/>
                <w:szCs w:val="18"/>
              </w:rPr>
              <w:t xml:space="preserve">Number of people trained </w:t>
            </w:r>
          </w:p>
        </w:tc>
        <w:tc>
          <w:tcPr>
            <w:tcW w:w="302" w:type="pct"/>
            <w:tcBorders>
              <w:top w:val="nil"/>
              <w:left w:val="nil"/>
              <w:bottom w:val="single" w:sz="8" w:space="0" w:color="auto"/>
              <w:right w:val="single" w:sz="4" w:space="0" w:color="auto"/>
            </w:tcBorders>
            <w:shd w:val="clear" w:color="auto" w:fill="auto"/>
            <w:noWrap/>
            <w:vAlign w:val="bottom"/>
            <w:hideMark/>
          </w:tcPr>
          <w:p w14:paraId="09314F94" w14:textId="77777777" w:rsidR="005B7046" w:rsidRPr="00CA3E58" w:rsidRDefault="005B7046" w:rsidP="0001256C">
            <w:pPr>
              <w:jc w:val="both"/>
              <w:rPr>
                <w:rFonts w:ascii="Arial" w:hAnsi="Arial" w:cs="Arial"/>
                <w:sz w:val="16"/>
                <w:szCs w:val="16"/>
              </w:rPr>
            </w:pPr>
            <w:r w:rsidRPr="00CA3E58">
              <w:rPr>
                <w:rFonts w:ascii="Arial" w:hAnsi="Arial" w:cs="Arial"/>
                <w:sz w:val="16"/>
                <w:szCs w:val="16"/>
              </w:rPr>
              <w:t>62,829</w:t>
            </w:r>
          </w:p>
        </w:tc>
        <w:tc>
          <w:tcPr>
            <w:tcW w:w="243" w:type="pct"/>
            <w:tcBorders>
              <w:top w:val="nil"/>
              <w:left w:val="nil"/>
              <w:bottom w:val="single" w:sz="8" w:space="0" w:color="auto"/>
              <w:right w:val="single" w:sz="4" w:space="0" w:color="auto"/>
            </w:tcBorders>
            <w:shd w:val="clear" w:color="auto" w:fill="auto"/>
            <w:noWrap/>
            <w:vAlign w:val="bottom"/>
            <w:hideMark/>
          </w:tcPr>
          <w:p w14:paraId="43C69CEF" w14:textId="77777777" w:rsidR="005B7046" w:rsidRPr="00CA3E58" w:rsidRDefault="005B7046" w:rsidP="0001256C">
            <w:pPr>
              <w:jc w:val="both"/>
              <w:rPr>
                <w:rFonts w:ascii="Arial" w:hAnsi="Arial" w:cs="Arial"/>
                <w:sz w:val="16"/>
                <w:szCs w:val="16"/>
              </w:rPr>
            </w:pPr>
            <w:r w:rsidRPr="00CA3E58">
              <w:rPr>
                <w:rFonts w:ascii="Arial" w:hAnsi="Arial" w:cs="Arial"/>
                <w:sz w:val="16"/>
                <w:szCs w:val="16"/>
              </w:rPr>
              <w:t>40,584</w:t>
            </w:r>
          </w:p>
        </w:tc>
        <w:tc>
          <w:tcPr>
            <w:tcW w:w="242" w:type="pct"/>
            <w:tcBorders>
              <w:top w:val="nil"/>
              <w:left w:val="nil"/>
              <w:bottom w:val="single" w:sz="8" w:space="0" w:color="auto"/>
              <w:right w:val="single" w:sz="4" w:space="0" w:color="auto"/>
            </w:tcBorders>
            <w:shd w:val="clear" w:color="auto" w:fill="auto"/>
            <w:noWrap/>
            <w:vAlign w:val="bottom"/>
            <w:hideMark/>
          </w:tcPr>
          <w:p w14:paraId="357F5132" w14:textId="77777777" w:rsidR="005B7046" w:rsidRPr="00CA3E58" w:rsidRDefault="005B7046" w:rsidP="0001256C">
            <w:pPr>
              <w:jc w:val="both"/>
              <w:rPr>
                <w:rFonts w:ascii="Arial" w:hAnsi="Arial" w:cs="Arial"/>
                <w:sz w:val="16"/>
                <w:szCs w:val="16"/>
              </w:rPr>
            </w:pPr>
            <w:r w:rsidRPr="00CA3E58">
              <w:rPr>
                <w:rFonts w:ascii="Arial" w:hAnsi="Arial" w:cs="Arial"/>
                <w:sz w:val="16"/>
                <w:szCs w:val="16"/>
              </w:rPr>
              <w:t>20,236</w:t>
            </w:r>
          </w:p>
        </w:tc>
        <w:tc>
          <w:tcPr>
            <w:tcW w:w="242" w:type="pct"/>
            <w:tcBorders>
              <w:top w:val="nil"/>
              <w:left w:val="nil"/>
              <w:bottom w:val="single" w:sz="8" w:space="0" w:color="auto"/>
              <w:right w:val="single" w:sz="4" w:space="0" w:color="auto"/>
            </w:tcBorders>
            <w:shd w:val="clear" w:color="auto" w:fill="auto"/>
            <w:noWrap/>
            <w:vAlign w:val="bottom"/>
            <w:hideMark/>
          </w:tcPr>
          <w:p w14:paraId="705AB2DE" w14:textId="77777777" w:rsidR="005B7046" w:rsidRPr="00CA3E58" w:rsidRDefault="005B7046" w:rsidP="0001256C">
            <w:pPr>
              <w:jc w:val="both"/>
              <w:rPr>
                <w:rFonts w:ascii="Arial" w:hAnsi="Arial" w:cs="Arial"/>
                <w:sz w:val="16"/>
                <w:szCs w:val="16"/>
              </w:rPr>
            </w:pPr>
            <w:r w:rsidRPr="00CA3E58">
              <w:rPr>
                <w:rFonts w:ascii="Arial" w:hAnsi="Arial" w:cs="Arial"/>
                <w:sz w:val="16"/>
                <w:szCs w:val="16"/>
              </w:rPr>
              <w:t>19,574</w:t>
            </w:r>
          </w:p>
        </w:tc>
        <w:tc>
          <w:tcPr>
            <w:tcW w:w="274" w:type="pct"/>
            <w:tcBorders>
              <w:top w:val="nil"/>
              <w:left w:val="nil"/>
              <w:bottom w:val="single" w:sz="8" w:space="0" w:color="auto"/>
              <w:right w:val="single" w:sz="4" w:space="0" w:color="auto"/>
            </w:tcBorders>
            <w:shd w:val="clear" w:color="auto" w:fill="auto"/>
            <w:noWrap/>
            <w:vAlign w:val="bottom"/>
            <w:hideMark/>
          </w:tcPr>
          <w:p w14:paraId="628CE855" w14:textId="77777777" w:rsidR="005B7046" w:rsidRPr="00CA3E58" w:rsidRDefault="005B7046" w:rsidP="0001256C">
            <w:pPr>
              <w:jc w:val="both"/>
              <w:rPr>
                <w:rFonts w:ascii="Arial" w:hAnsi="Arial" w:cs="Arial"/>
                <w:sz w:val="16"/>
                <w:szCs w:val="16"/>
              </w:rPr>
            </w:pPr>
            <w:r w:rsidRPr="00CA3E58">
              <w:rPr>
                <w:rFonts w:ascii="Arial" w:hAnsi="Arial" w:cs="Arial"/>
                <w:sz w:val="16"/>
                <w:szCs w:val="16"/>
              </w:rPr>
              <w:t>13,506</w:t>
            </w:r>
          </w:p>
        </w:tc>
        <w:tc>
          <w:tcPr>
            <w:tcW w:w="273" w:type="pct"/>
            <w:tcBorders>
              <w:top w:val="nil"/>
              <w:left w:val="nil"/>
              <w:bottom w:val="single" w:sz="8" w:space="0" w:color="auto"/>
              <w:right w:val="single" w:sz="4" w:space="0" w:color="auto"/>
            </w:tcBorders>
            <w:shd w:val="clear" w:color="auto" w:fill="auto"/>
            <w:noWrap/>
            <w:vAlign w:val="bottom"/>
            <w:hideMark/>
          </w:tcPr>
          <w:p w14:paraId="52B9DE1E" w14:textId="77777777" w:rsidR="005B7046" w:rsidRPr="00CA3E58" w:rsidRDefault="005B7046" w:rsidP="0001256C">
            <w:pPr>
              <w:jc w:val="both"/>
              <w:rPr>
                <w:rFonts w:ascii="Arial" w:hAnsi="Arial" w:cs="Arial"/>
                <w:sz w:val="16"/>
                <w:szCs w:val="16"/>
              </w:rPr>
            </w:pPr>
            <w:r w:rsidRPr="00CA3E58">
              <w:rPr>
                <w:rFonts w:ascii="Arial" w:hAnsi="Arial" w:cs="Arial"/>
                <w:sz w:val="16"/>
                <w:szCs w:val="16"/>
              </w:rPr>
              <w:t>10,975</w:t>
            </w:r>
          </w:p>
        </w:tc>
        <w:tc>
          <w:tcPr>
            <w:tcW w:w="255" w:type="pct"/>
            <w:tcBorders>
              <w:top w:val="nil"/>
              <w:left w:val="nil"/>
              <w:bottom w:val="single" w:sz="8" w:space="0" w:color="auto"/>
              <w:right w:val="single" w:sz="4" w:space="0" w:color="auto"/>
            </w:tcBorders>
            <w:shd w:val="clear" w:color="auto" w:fill="auto"/>
            <w:noWrap/>
            <w:vAlign w:val="bottom"/>
            <w:hideMark/>
          </w:tcPr>
          <w:p w14:paraId="3F8B0B8D" w14:textId="77777777" w:rsidR="005B7046" w:rsidRPr="00CA3E58" w:rsidRDefault="005B7046" w:rsidP="0001256C">
            <w:pPr>
              <w:jc w:val="both"/>
              <w:rPr>
                <w:rFonts w:ascii="Arial" w:hAnsi="Arial" w:cs="Arial"/>
                <w:sz w:val="16"/>
                <w:szCs w:val="16"/>
              </w:rPr>
            </w:pPr>
            <w:r w:rsidRPr="00CA3E58">
              <w:rPr>
                <w:rFonts w:ascii="Arial" w:hAnsi="Arial" w:cs="Arial"/>
                <w:sz w:val="16"/>
                <w:szCs w:val="16"/>
              </w:rPr>
              <w:t>17,000</w:t>
            </w:r>
          </w:p>
        </w:tc>
        <w:tc>
          <w:tcPr>
            <w:tcW w:w="350" w:type="pct"/>
            <w:tcBorders>
              <w:top w:val="single" w:sz="4" w:space="0" w:color="auto"/>
              <w:left w:val="nil"/>
              <w:bottom w:val="single" w:sz="8" w:space="0" w:color="auto"/>
              <w:right w:val="single" w:sz="4" w:space="0" w:color="auto"/>
            </w:tcBorders>
            <w:shd w:val="clear" w:color="auto" w:fill="auto"/>
            <w:noWrap/>
            <w:vAlign w:val="bottom"/>
            <w:hideMark/>
          </w:tcPr>
          <w:p w14:paraId="5446F437" w14:textId="77777777" w:rsidR="005B7046" w:rsidRPr="00CA3E58" w:rsidRDefault="005B7046" w:rsidP="0001256C">
            <w:pPr>
              <w:jc w:val="both"/>
              <w:rPr>
                <w:rFonts w:ascii="Arial" w:hAnsi="Arial" w:cs="Arial"/>
                <w:sz w:val="16"/>
                <w:szCs w:val="16"/>
              </w:rPr>
            </w:pPr>
            <w:r>
              <w:rPr>
                <w:rFonts w:ascii="Arial" w:hAnsi="Arial" w:cs="Arial"/>
                <w:sz w:val="16"/>
                <w:szCs w:val="16"/>
              </w:rPr>
              <w:t>8,675</w:t>
            </w:r>
          </w:p>
        </w:tc>
        <w:tc>
          <w:tcPr>
            <w:tcW w:w="394" w:type="pct"/>
            <w:tcBorders>
              <w:top w:val="single" w:sz="4" w:space="0" w:color="auto"/>
              <w:left w:val="nil"/>
              <w:bottom w:val="single" w:sz="8" w:space="0" w:color="auto"/>
              <w:right w:val="nil"/>
            </w:tcBorders>
            <w:shd w:val="clear" w:color="auto" w:fill="auto"/>
            <w:noWrap/>
            <w:vAlign w:val="bottom"/>
            <w:hideMark/>
          </w:tcPr>
          <w:p w14:paraId="4113D392" w14:textId="77777777" w:rsidR="005B7046" w:rsidRPr="00CA3E58" w:rsidRDefault="005B7046" w:rsidP="0001256C">
            <w:pPr>
              <w:jc w:val="both"/>
              <w:rPr>
                <w:rFonts w:ascii="Arial" w:hAnsi="Arial" w:cs="Arial"/>
                <w:sz w:val="16"/>
                <w:szCs w:val="16"/>
              </w:rPr>
            </w:pPr>
            <w:r w:rsidRPr="00CA3E58">
              <w:rPr>
                <w:rFonts w:ascii="Arial" w:hAnsi="Arial" w:cs="Arial"/>
                <w:sz w:val="16"/>
                <w:szCs w:val="16"/>
              </w:rPr>
              <w:t>17,000</w:t>
            </w:r>
          </w:p>
        </w:tc>
        <w:tc>
          <w:tcPr>
            <w:tcW w:w="328" w:type="pct"/>
            <w:tcBorders>
              <w:top w:val="nil"/>
              <w:left w:val="single" w:sz="4" w:space="0" w:color="auto"/>
              <w:bottom w:val="single" w:sz="4" w:space="0" w:color="auto"/>
              <w:right w:val="single" w:sz="4" w:space="0" w:color="auto"/>
            </w:tcBorders>
            <w:shd w:val="clear" w:color="auto" w:fill="auto"/>
            <w:vAlign w:val="bottom"/>
            <w:hideMark/>
          </w:tcPr>
          <w:p w14:paraId="30A86FF7" w14:textId="77777777" w:rsidR="005B7046" w:rsidRPr="00CA3E58" w:rsidRDefault="005B7046" w:rsidP="0001256C">
            <w:pPr>
              <w:jc w:val="both"/>
              <w:rPr>
                <w:rFonts w:ascii="Arial" w:hAnsi="Arial" w:cs="Arial"/>
                <w:sz w:val="16"/>
                <w:szCs w:val="16"/>
              </w:rPr>
            </w:pPr>
            <w:r>
              <w:rPr>
                <w:rFonts w:ascii="Arial" w:hAnsi="Arial" w:cs="Arial"/>
                <w:sz w:val="16"/>
                <w:szCs w:val="16"/>
              </w:rPr>
              <w:t>13,000</w:t>
            </w:r>
          </w:p>
        </w:tc>
      </w:tr>
      <w:tr w:rsidR="005B7046" w:rsidRPr="00CA3E58" w14:paraId="11ACC146" w14:textId="77777777" w:rsidTr="005B7046">
        <w:trPr>
          <w:trHeight w:val="255"/>
        </w:trPr>
        <w:tc>
          <w:tcPr>
            <w:tcW w:w="937" w:type="pct"/>
            <w:tcBorders>
              <w:top w:val="nil"/>
              <w:left w:val="single" w:sz="4" w:space="0" w:color="auto"/>
              <w:bottom w:val="nil"/>
              <w:right w:val="nil"/>
            </w:tcBorders>
            <w:shd w:val="clear" w:color="auto" w:fill="auto"/>
            <w:noWrap/>
            <w:vAlign w:val="bottom"/>
            <w:hideMark/>
          </w:tcPr>
          <w:p w14:paraId="41E146FB" w14:textId="77777777" w:rsidR="005B7046" w:rsidRPr="00CA3E58" w:rsidRDefault="005B7046" w:rsidP="0001256C">
            <w:pPr>
              <w:jc w:val="both"/>
              <w:rPr>
                <w:rFonts w:ascii="Arial" w:hAnsi="Arial" w:cs="Arial"/>
                <w:sz w:val="20"/>
                <w:szCs w:val="20"/>
              </w:rPr>
            </w:pPr>
          </w:p>
        </w:tc>
        <w:tc>
          <w:tcPr>
            <w:tcW w:w="1160" w:type="pct"/>
            <w:tcBorders>
              <w:top w:val="nil"/>
              <w:left w:val="nil"/>
              <w:bottom w:val="nil"/>
              <w:right w:val="nil"/>
            </w:tcBorders>
            <w:shd w:val="clear" w:color="auto" w:fill="auto"/>
            <w:noWrap/>
            <w:vAlign w:val="bottom"/>
            <w:hideMark/>
          </w:tcPr>
          <w:p w14:paraId="7A6CD31D" w14:textId="77777777" w:rsidR="005B7046" w:rsidRPr="00CA3E58" w:rsidRDefault="005B7046" w:rsidP="0001256C">
            <w:pPr>
              <w:jc w:val="both"/>
              <w:rPr>
                <w:rFonts w:ascii="Arial" w:hAnsi="Arial" w:cs="Arial"/>
                <w:sz w:val="20"/>
                <w:szCs w:val="20"/>
              </w:rPr>
            </w:pPr>
          </w:p>
        </w:tc>
        <w:tc>
          <w:tcPr>
            <w:tcW w:w="302" w:type="pct"/>
            <w:tcBorders>
              <w:top w:val="nil"/>
              <w:left w:val="nil"/>
              <w:bottom w:val="nil"/>
              <w:right w:val="nil"/>
            </w:tcBorders>
            <w:shd w:val="clear" w:color="auto" w:fill="auto"/>
            <w:noWrap/>
            <w:vAlign w:val="bottom"/>
            <w:hideMark/>
          </w:tcPr>
          <w:p w14:paraId="3BEBE7C3" w14:textId="77777777" w:rsidR="005B7046" w:rsidRPr="00CA3E58" w:rsidRDefault="005B7046" w:rsidP="0001256C">
            <w:pPr>
              <w:jc w:val="both"/>
              <w:rPr>
                <w:rFonts w:ascii="Arial" w:hAnsi="Arial" w:cs="Arial"/>
                <w:sz w:val="20"/>
                <w:szCs w:val="20"/>
              </w:rPr>
            </w:pPr>
          </w:p>
        </w:tc>
        <w:tc>
          <w:tcPr>
            <w:tcW w:w="243" w:type="pct"/>
            <w:tcBorders>
              <w:top w:val="nil"/>
              <w:left w:val="nil"/>
              <w:bottom w:val="nil"/>
              <w:right w:val="nil"/>
            </w:tcBorders>
            <w:shd w:val="clear" w:color="auto" w:fill="auto"/>
            <w:noWrap/>
            <w:vAlign w:val="bottom"/>
            <w:hideMark/>
          </w:tcPr>
          <w:p w14:paraId="6426F0CA" w14:textId="77777777" w:rsidR="005B7046" w:rsidRPr="00CA3E58" w:rsidRDefault="005B7046" w:rsidP="0001256C">
            <w:pPr>
              <w:jc w:val="both"/>
              <w:rPr>
                <w:rFonts w:ascii="Arial" w:hAnsi="Arial" w:cs="Arial"/>
                <w:sz w:val="20"/>
                <w:szCs w:val="20"/>
              </w:rPr>
            </w:pPr>
          </w:p>
        </w:tc>
        <w:tc>
          <w:tcPr>
            <w:tcW w:w="242" w:type="pct"/>
            <w:tcBorders>
              <w:top w:val="nil"/>
              <w:left w:val="nil"/>
              <w:bottom w:val="nil"/>
              <w:right w:val="nil"/>
            </w:tcBorders>
            <w:shd w:val="clear" w:color="auto" w:fill="auto"/>
            <w:noWrap/>
            <w:vAlign w:val="bottom"/>
            <w:hideMark/>
          </w:tcPr>
          <w:p w14:paraId="44F06420" w14:textId="77777777" w:rsidR="005B7046" w:rsidRPr="00CA3E58" w:rsidRDefault="005B7046" w:rsidP="0001256C">
            <w:pPr>
              <w:jc w:val="both"/>
              <w:rPr>
                <w:rFonts w:ascii="Arial" w:hAnsi="Arial" w:cs="Arial"/>
                <w:sz w:val="20"/>
                <w:szCs w:val="20"/>
              </w:rPr>
            </w:pPr>
          </w:p>
        </w:tc>
        <w:tc>
          <w:tcPr>
            <w:tcW w:w="242" w:type="pct"/>
            <w:tcBorders>
              <w:top w:val="nil"/>
              <w:left w:val="nil"/>
              <w:bottom w:val="nil"/>
              <w:right w:val="nil"/>
            </w:tcBorders>
            <w:shd w:val="clear" w:color="auto" w:fill="auto"/>
            <w:noWrap/>
            <w:vAlign w:val="bottom"/>
            <w:hideMark/>
          </w:tcPr>
          <w:p w14:paraId="553E0B4C" w14:textId="77777777" w:rsidR="005B7046" w:rsidRPr="00CA3E58" w:rsidRDefault="005B7046" w:rsidP="0001256C">
            <w:pPr>
              <w:jc w:val="both"/>
              <w:rPr>
                <w:rFonts w:ascii="Arial" w:hAnsi="Arial" w:cs="Arial"/>
                <w:sz w:val="20"/>
                <w:szCs w:val="20"/>
              </w:rPr>
            </w:pPr>
          </w:p>
        </w:tc>
        <w:tc>
          <w:tcPr>
            <w:tcW w:w="274" w:type="pct"/>
            <w:tcBorders>
              <w:top w:val="nil"/>
              <w:left w:val="nil"/>
              <w:bottom w:val="nil"/>
              <w:right w:val="nil"/>
            </w:tcBorders>
            <w:shd w:val="clear" w:color="auto" w:fill="auto"/>
            <w:noWrap/>
            <w:vAlign w:val="bottom"/>
            <w:hideMark/>
          </w:tcPr>
          <w:p w14:paraId="48443D1F" w14:textId="77777777" w:rsidR="005B7046" w:rsidRPr="00CA3E58" w:rsidRDefault="005B7046" w:rsidP="0001256C">
            <w:pPr>
              <w:jc w:val="both"/>
              <w:rPr>
                <w:rFonts w:ascii="Arial" w:hAnsi="Arial" w:cs="Arial"/>
                <w:sz w:val="20"/>
                <w:szCs w:val="20"/>
              </w:rPr>
            </w:pPr>
          </w:p>
        </w:tc>
        <w:tc>
          <w:tcPr>
            <w:tcW w:w="273" w:type="pct"/>
            <w:tcBorders>
              <w:top w:val="nil"/>
              <w:left w:val="nil"/>
              <w:bottom w:val="nil"/>
              <w:right w:val="nil"/>
            </w:tcBorders>
            <w:shd w:val="clear" w:color="auto" w:fill="auto"/>
            <w:noWrap/>
            <w:vAlign w:val="bottom"/>
            <w:hideMark/>
          </w:tcPr>
          <w:p w14:paraId="7CE9B848" w14:textId="77777777" w:rsidR="005B7046" w:rsidRPr="00CA3E58" w:rsidRDefault="005B7046" w:rsidP="0001256C">
            <w:pPr>
              <w:jc w:val="both"/>
              <w:rPr>
                <w:rFonts w:ascii="Arial" w:hAnsi="Arial" w:cs="Arial"/>
                <w:sz w:val="20"/>
                <w:szCs w:val="20"/>
              </w:rPr>
            </w:pPr>
          </w:p>
        </w:tc>
        <w:tc>
          <w:tcPr>
            <w:tcW w:w="255" w:type="pct"/>
            <w:tcBorders>
              <w:top w:val="nil"/>
              <w:left w:val="nil"/>
              <w:bottom w:val="nil"/>
              <w:right w:val="nil"/>
            </w:tcBorders>
            <w:shd w:val="clear" w:color="auto" w:fill="auto"/>
            <w:noWrap/>
            <w:vAlign w:val="bottom"/>
            <w:hideMark/>
          </w:tcPr>
          <w:p w14:paraId="2D4FA32F" w14:textId="77777777" w:rsidR="005B7046" w:rsidRPr="00CA3E58" w:rsidRDefault="005B7046" w:rsidP="0001256C">
            <w:pPr>
              <w:jc w:val="both"/>
              <w:rPr>
                <w:rFonts w:ascii="Arial" w:hAnsi="Arial" w:cs="Arial"/>
                <w:sz w:val="20"/>
                <w:szCs w:val="20"/>
              </w:rPr>
            </w:pPr>
          </w:p>
        </w:tc>
        <w:tc>
          <w:tcPr>
            <w:tcW w:w="350" w:type="pct"/>
            <w:tcBorders>
              <w:top w:val="nil"/>
              <w:left w:val="nil"/>
              <w:bottom w:val="nil"/>
              <w:right w:val="nil"/>
            </w:tcBorders>
            <w:shd w:val="clear" w:color="auto" w:fill="auto"/>
            <w:noWrap/>
            <w:vAlign w:val="bottom"/>
            <w:hideMark/>
          </w:tcPr>
          <w:p w14:paraId="633413D2" w14:textId="77777777" w:rsidR="005B7046" w:rsidRPr="00CA3E58" w:rsidRDefault="005B7046" w:rsidP="0001256C">
            <w:pPr>
              <w:jc w:val="both"/>
              <w:rPr>
                <w:rFonts w:ascii="Arial" w:hAnsi="Arial" w:cs="Arial"/>
                <w:sz w:val="20"/>
                <w:szCs w:val="20"/>
              </w:rPr>
            </w:pPr>
          </w:p>
        </w:tc>
        <w:tc>
          <w:tcPr>
            <w:tcW w:w="394" w:type="pct"/>
            <w:tcBorders>
              <w:top w:val="nil"/>
              <w:left w:val="nil"/>
              <w:bottom w:val="nil"/>
              <w:right w:val="nil"/>
            </w:tcBorders>
            <w:shd w:val="clear" w:color="auto" w:fill="auto"/>
            <w:noWrap/>
            <w:vAlign w:val="bottom"/>
            <w:hideMark/>
          </w:tcPr>
          <w:p w14:paraId="5FE93FA5" w14:textId="77777777" w:rsidR="005B7046" w:rsidRPr="00CA3E58" w:rsidRDefault="005B7046" w:rsidP="0001256C">
            <w:pPr>
              <w:jc w:val="both"/>
              <w:rPr>
                <w:rFonts w:ascii="Arial" w:hAnsi="Arial" w:cs="Arial"/>
                <w:sz w:val="20"/>
                <w:szCs w:val="20"/>
              </w:rPr>
            </w:pPr>
          </w:p>
        </w:tc>
        <w:tc>
          <w:tcPr>
            <w:tcW w:w="328" w:type="pct"/>
            <w:tcBorders>
              <w:top w:val="nil"/>
              <w:left w:val="nil"/>
              <w:bottom w:val="nil"/>
              <w:right w:val="single" w:sz="4" w:space="0" w:color="auto"/>
            </w:tcBorders>
            <w:shd w:val="clear" w:color="auto" w:fill="auto"/>
            <w:noWrap/>
            <w:vAlign w:val="bottom"/>
            <w:hideMark/>
          </w:tcPr>
          <w:p w14:paraId="123B8D69" w14:textId="77777777" w:rsidR="005B7046" w:rsidRPr="00CA3E58" w:rsidRDefault="005B7046" w:rsidP="0001256C">
            <w:pPr>
              <w:jc w:val="both"/>
              <w:rPr>
                <w:rFonts w:ascii="Arial" w:hAnsi="Arial" w:cs="Arial"/>
                <w:sz w:val="20"/>
                <w:szCs w:val="20"/>
              </w:rPr>
            </w:pPr>
          </w:p>
        </w:tc>
      </w:tr>
      <w:tr w:rsidR="005B7046" w:rsidRPr="00CA3E58" w14:paraId="1EFA11C6" w14:textId="77777777" w:rsidTr="005B7046">
        <w:trPr>
          <w:trHeight w:val="255"/>
        </w:trPr>
        <w:tc>
          <w:tcPr>
            <w:tcW w:w="2097" w:type="pct"/>
            <w:gridSpan w:val="2"/>
            <w:tcBorders>
              <w:top w:val="nil"/>
              <w:left w:val="single" w:sz="4" w:space="0" w:color="auto"/>
              <w:bottom w:val="single" w:sz="4" w:space="0" w:color="auto"/>
              <w:right w:val="nil"/>
            </w:tcBorders>
            <w:shd w:val="clear" w:color="auto" w:fill="auto"/>
            <w:noWrap/>
            <w:vAlign w:val="bottom"/>
            <w:hideMark/>
          </w:tcPr>
          <w:p w14:paraId="2B7F62E3" w14:textId="77777777" w:rsidR="005B7046" w:rsidRDefault="005B7046" w:rsidP="0001256C">
            <w:pPr>
              <w:jc w:val="both"/>
              <w:rPr>
                <w:rFonts w:ascii="Arial" w:hAnsi="Arial" w:cs="Arial"/>
                <w:b/>
                <w:bCs/>
                <w:sz w:val="16"/>
                <w:szCs w:val="16"/>
              </w:rPr>
            </w:pPr>
            <w:r w:rsidRPr="00CA3E58">
              <w:rPr>
                <w:rFonts w:ascii="Arial" w:hAnsi="Arial" w:cs="Arial"/>
                <w:b/>
                <w:bCs/>
                <w:sz w:val="16"/>
                <w:szCs w:val="16"/>
              </w:rPr>
              <w:t>N/A = Data unavailable</w:t>
            </w:r>
          </w:p>
          <w:p w14:paraId="51016ABE" w14:textId="77777777" w:rsidR="005B7046" w:rsidRDefault="005B7046" w:rsidP="0001256C">
            <w:pPr>
              <w:jc w:val="both"/>
              <w:rPr>
                <w:rFonts w:ascii="Arial" w:hAnsi="Arial" w:cs="Arial"/>
                <w:b/>
                <w:bCs/>
                <w:sz w:val="16"/>
                <w:szCs w:val="16"/>
              </w:rPr>
            </w:pPr>
          </w:p>
          <w:p w14:paraId="3E68D16B" w14:textId="77777777" w:rsidR="005B7046" w:rsidRPr="00CA3E58" w:rsidRDefault="005B7046" w:rsidP="0001256C">
            <w:pPr>
              <w:jc w:val="both"/>
              <w:rPr>
                <w:rFonts w:ascii="Arial" w:hAnsi="Arial" w:cs="Arial"/>
                <w:b/>
                <w:bCs/>
                <w:sz w:val="16"/>
                <w:szCs w:val="16"/>
              </w:rPr>
            </w:pPr>
            <w:r w:rsidRPr="00FE6BC0">
              <w:rPr>
                <w:rFonts w:ascii="Arial" w:hAnsi="Arial" w:cs="Arial"/>
                <w:b/>
                <w:bCs/>
                <w:sz w:val="16"/>
                <w:szCs w:val="16"/>
                <w:vertAlign w:val="superscript"/>
              </w:rPr>
              <w:t>1/</w:t>
            </w:r>
            <w:r>
              <w:rPr>
                <w:rFonts w:ascii="Arial" w:hAnsi="Arial" w:cs="Arial"/>
                <w:b/>
                <w:bCs/>
                <w:sz w:val="16"/>
                <w:szCs w:val="16"/>
              </w:rPr>
              <w:t xml:space="preserve"> This output measure may be retired in FY14 and replaced with a new outcome measure.  COPS will notify JMD by 6/25/12</w:t>
            </w:r>
          </w:p>
        </w:tc>
        <w:tc>
          <w:tcPr>
            <w:tcW w:w="302" w:type="pct"/>
            <w:tcBorders>
              <w:top w:val="nil"/>
              <w:left w:val="nil"/>
              <w:bottom w:val="single" w:sz="4" w:space="0" w:color="auto"/>
              <w:right w:val="nil"/>
            </w:tcBorders>
            <w:shd w:val="clear" w:color="auto" w:fill="auto"/>
            <w:noWrap/>
            <w:vAlign w:val="bottom"/>
            <w:hideMark/>
          </w:tcPr>
          <w:p w14:paraId="5636B9E8" w14:textId="77777777" w:rsidR="005B7046" w:rsidRPr="00CA3E58" w:rsidRDefault="005B7046" w:rsidP="0001256C">
            <w:pPr>
              <w:jc w:val="both"/>
              <w:rPr>
                <w:rFonts w:ascii="Arial" w:hAnsi="Arial" w:cs="Arial"/>
                <w:sz w:val="20"/>
                <w:szCs w:val="20"/>
              </w:rPr>
            </w:pPr>
          </w:p>
        </w:tc>
        <w:tc>
          <w:tcPr>
            <w:tcW w:w="243" w:type="pct"/>
            <w:tcBorders>
              <w:top w:val="nil"/>
              <w:left w:val="nil"/>
              <w:bottom w:val="single" w:sz="4" w:space="0" w:color="auto"/>
              <w:right w:val="nil"/>
            </w:tcBorders>
            <w:shd w:val="clear" w:color="auto" w:fill="auto"/>
            <w:noWrap/>
            <w:vAlign w:val="bottom"/>
            <w:hideMark/>
          </w:tcPr>
          <w:p w14:paraId="0C86D06D" w14:textId="77777777" w:rsidR="005B7046" w:rsidRPr="00CA3E58" w:rsidRDefault="005B7046" w:rsidP="0001256C">
            <w:pPr>
              <w:jc w:val="both"/>
              <w:rPr>
                <w:rFonts w:ascii="Arial" w:hAnsi="Arial" w:cs="Arial"/>
                <w:sz w:val="20"/>
                <w:szCs w:val="20"/>
              </w:rPr>
            </w:pPr>
          </w:p>
        </w:tc>
        <w:tc>
          <w:tcPr>
            <w:tcW w:w="242" w:type="pct"/>
            <w:tcBorders>
              <w:top w:val="nil"/>
              <w:left w:val="nil"/>
              <w:bottom w:val="single" w:sz="4" w:space="0" w:color="auto"/>
              <w:right w:val="nil"/>
            </w:tcBorders>
            <w:shd w:val="clear" w:color="auto" w:fill="auto"/>
            <w:noWrap/>
            <w:vAlign w:val="bottom"/>
            <w:hideMark/>
          </w:tcPr>
          <w:p w14:paraId="2AF6A297" w14:textId="77777777" w:rsidR="005B7046" w:rsidRPr="00CA3E58" w:rsidRDefault="005B7046" w:rsidP="0001256C">
            <w:pPr>
              <w:jc w:val="both"/>
              <w:rPr>
                <w:rFonts w:ascii="Arial" w:hAnsi="Arial" w:cs="Arial"/>
                <w:sz w:val="20"/>
                <w:szCs w:val="20"/>
              </w:rPr>
            </w:pPr>
          </w:p>
        </w:tc>
        <w:tc>
          <w:tcPr>
            <w:tcW w:w="242" w:type="pct"/>
            <w:tcBorders>
              <w:top w:val="nil"/>
              <w:left w:val="nil"/>
              <w:bottom w:val="single" w:sz="4" w:space="0" w:color="auto"/>
              <w:right w:val="nil"/>
            </w:tcBorders>
            <w:shd w:val="clear" w:color="auto" w:fill="auto"/>
            <w:noWrap/>
            <w:vAlign w:val="bottom"/>
            <w:hideMark/>
          </w:tcPr>
          <w:p w14:paraId="52C84F26" w14:textId="77777777" w:rsidR="005B7046" w:rsidRPr="00CA3E58" w:rsidRDefault="005B7046" w:rsidP="0001256C">
            <w:pPr>
              <w:jc w:val="both"/>
              <w:rPr>
                <w:rFonts w:ascii="Arial" w:hAnsi="Arial" w:cs="Arial"/>
                <w:sz w:val="20"/>
                <w:szCs w:val="20"/>
              </w:rPr>
            </w:pPr>
          </w:p>
        </w:tc>
        <w:tc>
          <w:tcPr>
            <w:tcW w:w="274" w:type="pct"/>
            <w:tcBorders>
              <w:top w:val="nil"/>
              <w:left w:val="nil"/>
              <w:bottom w:val="single" w:sz="4" w:space="0" w:color="auto"/>
              <w:right w:val="nil"/>
            </w:tcBorders>
            <w:shd w:val="clear" w:color="auto" w:fill="auto"/>
            <w:noWrap/>
            <w:vAlign w:val="bottom"/>
            <w:hideMark/>
          </w:tcPr>
          <w:p w14:paraId="69914BE7" w14:textId="77777777" w:rsidR="005B7046" w:rsidRPr="00CA3E58" w:rsidRDefault="005B7046" w:rsidP="0001256C">
            <w:pPr>
              <w:jc w:val="both"/>
              <w:rPr>
                <w:rFonts w:ascii="Arial" w:hAnsi="Arial" w:cs="Arial"/>
                <w:sz w:val="20"/>
                <w:szCs w:val="20"/>
              </w:rPr>
            </w:pPr>
          </w:p>
        </w:tc>
        <w:tc>
          <w:tcPr>
            <w:tcW w:w="273" w:type="pct"/>
            <w:tcBorders>
              <w:top w:val="nil"/>
              <w:left w:val="nil"/>
              <w:bottom w:val="single" w:sz="4" w:space="0" w:color="auto"/>
              <w:right w:val="nil"/>
            </w:tcBorders>
            <w:shd w:val="clear" w:color="auto" w:fill="auto"/>
            <w:noWrap/>
            <w:vAlign w:val="bottom"/>
            <w:hideMark/>
          </w:tcPr>
          <w:p w14:paraId="0619DABA" w14:textId="77777777" w:rsidR="005B7046" w:rsidRPr="00CA3E58" w:rsidRDefault="005B7046" w:rsidP="0001256C">
            <w:pPr>
              <w:jc w:val="both"/>
              <w:rPr>
                <w:rFonts w:ascii="Arial" w:hAnsi="Arial" w:cs="Arial"/>
                <w:sz w:val="20"/>
                <w:szCs w:val="20"/>
              </w:rPr>
            </w:pPr>
          </w:p>
        </w:tc>
        <w:tc>
          <w:tcPr>
            <w:tcW w:w="255" w:type="pct"/>
            <w:tcBorders>
              <w:top w:val="nil"/>
              <w:left w:val="nil"/>
              <w:bottom w:val="single" w:sz="4" w:space="0" w:color="auto"/>
              <w:right w:val="nil"/>
            </w:tcBorders>
            <w:shd w:val="clear" w:color="auto" w:fill="auto"/>
            <w:noWrap/>
            <w:vAlign w:val="bottom"/>
            <w:hideMark/>
          </w:tcPr>
          <w:p w14:paraId="28E8C413" w14:textId="77777777" w:rsidR="005B7046" w:rsidRPr="00CA3E58" w:rsidRDefault="005B7046" w:rsidP="0001256C">
            <w:pPr>
              <w:jc w:val="both"/>
              <w:rPr>
                <w:rFonts w:ascii="Arial" w:hAnsi="Arial" w:cs="Arial"/>
                <w:sz w:val="20"/>
                <w:szCs w:val="20"/>
              </w:rPr>
            </w:pPr>
          </w:p>
        </w:tc>
        <w:tc>
          <w:tcPr>
            <w:tcW w:w="350" w:type="pct"/>
            <w:tcBorders>
              <w:top w:val="nil"/>
              <w:left w:val="nil"/>
              <w:bottom w:val="single" w:sz="4" w:space="0" w:color="auto"/>
              <w:right w:val="nil"/>
            </w:tcBorders>
            <w:shd w:val="clear" w:color="auto" w:fill="auto"/>
            <w:noWrap/>
            <w:vAlign w:val="bottom"/>
            <w:hideMark/>
          </w:tcPr>
          <w:p w14:paraId="04B6D0B7" w14:textId="77777777" w:rsidR="005B7046" w:rsidRPr="00CA3E58" w:rsidRDefault="005B7046" w:rsidP="0001256C">
            <w:pPr>
              <w:jc w:val="both"/>
              <w:rPr>
                <w:rFonts w:ascii="Arial" w:hAnsi="Arial" w:cs="Arial"/>
                <w:sz w:val="20"/>
                <w:szCs w:val="20"/>
              </w:rPr>
            </w:pPr>
          </w:p>
        </w:tc>
        <w:tc>
          <w:tcPr>
            <w:tcW w:w="394" w:type="pct"/>
            <w:tcBorders>
              <w:top w:val="nil"/>
              <w:left w:val="nil"/>
              <w:bottom w:val="single" w:sz="4" w:space="0" w:color="auto"/>
              <w:right w:val="nil"/>
            </w:tcBorders>
            <w:shd w:val="clear" w:color="auto" w:fill="auto"/>
            <w:noWrap/>
            <w:vAlign w:val="bottom"/>
            <w:hideMark/>
          </w:tcPr>
          <w:p w14:paraId="7471BEB7" w14:textId="77777777" w:rsidR="005B7046" w:rsidRPr="00CA3E58" w:rsidRDefault="005B7046" w:rsidP="0001256C">
            <w:pPr>
              <w:jc w:val="both"/>
              <w:rPr>
                <w:rFonts w:ascii="Arial" w:hAnsi="Arial" w:cs="Arial"/>
                <w:sz w:val="20"/>
                <w:szCs w:val="20"/>
              </w:rPr>
            </w:pPr>
          </w:p>
        </w:tc>
        <w:tc>
          <w:tcPr>
            <w:tcW w:w="328" w:type="pct"/>
            <w:tcBorders>
              <w:top w:val="nil"/>
              <w:left w:val="nil"/>
              <w:bottom w:val="single" w:sz="4" w:space="0" w:color="auto"/>
              <w:right w:val="single" w:sz="4" w:space="0" w:color="auto"/>
            </w:tcBorders>
            <w:shd w:val="clear" w:color="auto" w:fill="auto"/>
            <w:noWrap/>
            <w:vAlign w:val="bottom"/>
            <w:hideMark/>
          </w:tcPr>
          <w:p w14:paraId="4AAE6233" w14:textId="77777777" w:rsidR="005B7046" w:rsidRPr="00CA3E58" w:rsidRDefault="005B7046" w:rsidP="0001256C">
            <w:pPr>
              <w:jc w:val="both"/>
              <w:rPr>
                <w:rFonts w:ascii="Arial" w:hAnsi="Arial" w:cs="Arial"/>
                <w:sz w:val="20"/>
                <w:szCs w:val="20"/>
              </w:rPr>
            </w:pPr>
          </w:p>
        </w:tc>
      </w:tr>
    </w:tbl>
    <w:p w14:paraId="7A88AB33" w14:textId="77777777" w:rsidR="005B7046" w:rsidRDefault="005B7046" w:rsidP="0001256C">
      <w:pPr>
        <w:tabs>
          <w:tab w:val="left" w:pos="465"/>
          <w:tab w:val="left" w:pos="13140"/>
        </w:tabs>
        <w:jc w:val="both"/>
        <w:rPr>
          <w:sz w:val="16"/>
        </w:rPr>
      </w:pPr>
    </w:p>
    <w:p w14:paraId="681CAE4C" w14:textId="77777777" w:rsidR="005B7046" w:rsidRDefault="005B7046" w:rsidP="0001256C">
      <w:pPr>
        <w:tabs>
          <w:tab w:val="left" w:pos="13140"/>
        </w:tabs>
        <w:jc w:val="both"/>
        <w:rPr>
          <w:sz w:val="16"/>
        </w:rPr>
      </w:pPr>
    </w:p>
    <w:p w14:paraId="2F5793AB" w14:textId="77777777" w:rsidR="005B7046" w:rsidRDefault="005B7046" w:rsidP="0001256C">
      <w:pPr>
        <w:tabs>
          <w:tab w:val="left" w:pos="13140"/>
        </w:tabs>
        <w:jc w:val="both"/>
        <w:rPr>
          <w:sz w:val="16"/>
        </w:rPr>
        <w:sectPr w:rsidR="005B7046" w:rsidSect="00570964">
          <w:pgSz w:w="15840" w:h="12240" w:orient="landscape" w:code="1"/>
          <w:pgMar w:top="720" w:right="720" w:bottom="720" w:left="720" w:header="432" w:footer="432" w:gutter="0"/>
          <w:cols w:space="720"/>
          <w:docGrid w:linePitch="326"/>
        </w:sectPr>
      </w:pPr>
    </w:p>
    <w:p w14:paraId="4DC8DCD7" w14:textId="77777777" w:rsidR="005B7046" w:rsidRPr="00534392" w:rsidRDefault="005B7046" w:rsidP="0001256C">
      <w:pPr>
        <w:pStyle w:val="BodyText"/>
        <w:jc w:val="both"/>
        <w:rPr>
          <w:b/>
        </w:rPr>
      </w:pPr>
      <w:r w:rsidRPr="00534392">
        <w:rPr>
          <w:b/>
        </w:rPr>
        <w:lastRenderedPageBreak/>
        <w:t>3.   Performance, Resources, and Strategies</w:t>
      </w:r>
    </w:p>
    <w:p w14:paraId="2DCCF627" w14:textId="77777777" w:rsidR="005B7046" w:rsidRPr="00DC4C9F" w:rsidRDefault="005B7046" w:rsidP="0001256C">
      <w:pPr>
        <w:pStyle w:val="BodyText"/>
        <w:jc w:val="both"/>
      </w:pPr>
    </w:p>
    <w:p w14:paraId="2B0C0C0A" w14:textId="77777777" w:rsidR="005B7046" w:rsidRDefault="005B7046" w:rsidP="0001256C">
      <w:pPr>
        <w:jc w:val="both"/>
      </w:pPr>
      <w:r w:rsidRPr="00B57F8A">
        <w:t xml:space="preserve">The Community Oriented Policing decision unit significantly enhances the Department’s ability to support </w:t>
      </w:r>
      <w:r w:rsidRPr="00B57F8A">
        <w:rPr>
          <w:b/>
          <w:bCs/>
        </w:rPr>
        <w:t>Strategic Goal/Objective (</w:t>
      </w:r>
      <w:r>
        <w:rPr>
          <w:b/>
          <w:bCs/>
        </w:rPr>
        <w:t>3</w:t>
      </w:r>
      <w:r w:rsidRPr="00B57F8A">
        <w:rPr>
          <w:b/>
          <w:bCs/>
        </w:rPr>
        <w:t xml:space="preserve">.1): </w:t>
      </w:r>
    </w:p>
    <w:p w14:paraId="08369542" w14:textId="77777777" w:rsidR="005B7046" w:rsidRPr="008F7AE7" w:rsidRDefault="005B7046" w:rsidP="0001256C">
      <w:pPr>
        <w:jc w:val="both"/>
      </w:pPr>
      <w:r>
        <w:t xml:space="preserve">Promote and strengthen </w:t>
      </w:r>
      <w:r w:rsidRPr="008F7AE7">
        <w:t xml:space="preserve">relationships </w:t>
      </w:r>
      <w:r>
        <w:t xml:space="preserve">and strategies for the administration of justice </w:t>
      </w:r>
      <w:r w:rsidRPr="008F7AE7">
        <w:t>with state, local</w:t>
      </w:r>
      <w:r>
        <w:t>,</w:t>
      </w:r>
      <w:r w:rsidRPr="008F7AE7">
        <w:t xml:space="preserve"> </w:t>
      </w:r>
      <w:r>
        <w:t>t</w:t>
      </w:r>
      <w:r w:rsidRPr="008F7AE7">
        <w:t>ribal</w:t>
      </w:r>
      <w:r>
        <w:t>, and international</w:t>
      </w:r>
      <w:r w:rsidRPr="008F7AE7">
        <w:t xml:space="preserve"> law enforcement</w:t>
      </w:r>
    </w:p>
    <w:p w14:paraId="3108AC3D" w14:textId="77777777" w:rsidR="005B7046" w:rsidRPr="00B57F8A" w:rsidRDefault="005B7046" w:rsidP="0001256C">
      <w:pPr>
        <w:numPr>
          <w:ilvl w:val="12"/>
          <w:numId w:val="0"/>
        </w:numPr>
        <w:tabs>
          <w:tab w:val="left" w:pos="0"/>
        </w:tabs>
        <w:jc w:val="both"/>
      </w:pPr>
    </w:p>
    <w:p w14:paraId="34C480E5" w14:textId="77777777" w:rsidR="005B7046" w:rsidRPr="00B57F8A" w:rsidRDefault="005B7046" w:rsidP="0001256C">
      <w:pPr>
        <w:ind w:right="-18"/>
        <w:jc w:val="both"/>
        <w:rPr>
          <w:i/>
        </w:rPr>
      </w:pPr>
      <w:r w:rsidRPr="00B57F8A">
        <w:t>The COPS Office is the primary source of federal funding that directly assists state, local, and tribal law enforcement agencies, and the communities they serve, to advance their community policing practices. The grants, technical assistance, training, and best practices offered through COPS programs focus on and specialize in supporting the law enforcement community’s efforts to enhance public safety and address community concerns and priorities through the development and implementation of comprehensive community policing strategies. The programs proposed in the FY 201</w:t>
      </w:r>
      <w:r>
        <w:t>4</w:t>
      </w:r>
      <w:r w:rsidRPr="00B57F8A">
        <w:t xml:space="preserve"> budget directly support state, local, and tribal law enforcement’s ability to prevent crime and more effectively address shifts in public safety needs as they arise.</w:t>
      </w:r>
    </w:p>
    <w:p w14:paraId="719197C5" w14:textId="77777777" w:rsidR="005B7046" w:rsidRPr="00B57F8A" w:rsidRDefault="005B7046" w:rsidP="0001256C">
      <w:pPr>
        <w:ind w:right="-18"/>
        <w:jc w:val="both"/>
        <w:rPr>
          <w:highlight w:val="red"/>
        </w:rPr>
      </w:pPr>
    </w:p>
    <w:p w14:paraId="797864D0" w14:textId="77777777" w:rsidR="005B7046" w:rsidRPr="00B57F8A" w:rsidRDefault="005B7046" w:rsidP="0001256C">
      <w:pPr>
        <w:pStyle w:val="BodyText"/>
        <w:jc w:val="both"/>
      </w:pPr>
      <w:r w:rsidRPr="00B57F8A">
        <w:t xml:space="preserve">a. </w:t>
      </w:r>
      <w:r w:rsidRPr="00B57F8A">
        <w:tab/>
        <w:t xml:space="preserve">  Performance Plan and Report for Outcomes</w:t>
      </w:r>
    </w:p>
    <w:p w14:paraId="1AC07055" w14:textId="77777777" w:rsidR="005B7046" w:rsidRPr="00B57F8A" w:rsidRDefault="005B7046" w:rsidP="0001256C">
      <w:pPr>
        <w:pStyle w:val="BodyText"/>
        <w:jc w:val="both"/>
      </w:pPr>
    </w:p>
    <w:p w14:paraId="63A22E97" w14:textId="77777777" w:rsidR="005B7046" w:rsidRPr="00B57F8A" w:rsidRDefault="005B7046" w:rsidP="0001256C">
      <w:pPr>
        <w:jc w:val="both"/>
      </w:pPr>
      <w:r w:rsidRPr="00B57F8A">
        <w:t xml:space="preserve">The COPS Office’s principal performance measures for hiring grant programs are: (1) the number of officers funded, (2) the number of officers hired, and </w:t>
      </w:r>
      <w:r>
        <w:t>initiated</w:t>
      </w:r>
      <w:r w:rsidRPr="00B57F8A">
        <w:t xml:space="preserve"> in FY</w:t>
      </w:r>
      <w:r w:rsidR="000908F2">
        <w:t xml:space="preserve"> </w:t>
      </w:r>
      <w:r w:rsidRPr="00B57F8A">
        <w:t>2013, (3</w:t>
      </w:r>
      <w:r>
        <w:t xml:space="preserve">) </w:t>
      </w:r>
      <w:r w:rsidRPr="00AD1BE0">
        <w:t>COPS Off</w:t>
      </w:r>
      <w:r>
        <w:t>ice-related contribution to a 3 percent</w:t>
      </w:r>
      <w:r w:rsidRPr="00AD1BE0">
        <w:t xml:space="preserve"> rate of change over 36 months in homicide violent crime rates through the implementation of a comprehensive community policing strategy within targeted COPS-funded cities compared to the crime rates of cities of similar size and demographics that have not received COPS funding.  </w:t>
      </w:r>
      <w:r w:rsidRPr="00B57F8A">
        <w:t xml:space="preserve"> These measures demonstrate the impact of COPS hiring grants on law enforcement’s ability to implement community policing strategies through the hiring and/or re-hiring of additional community policing officers to their community’s streets.</w:t>
      </w:r>
      <w:r>
        <w:t xml:space="preserve">  Such measures demonstrate the COPS Office’s commitment to ensure that we execute evidence-based grant-making and promote public adoption of evidence-based community policing practices in the law enforcement field.</w:t>
      </w:r>
    </w:p>
    <w:p w14:paraId="5FE23C28" w14:textId="77777777" w:rsidR="005B7046" w:rsidRDefault="005B7046" w:rsidP="0001256C">
      <w:pPr>
        <w:jc w:val="both"/>
      </w:pPr>
    </w:p>
    <w:p w14:paraId="052ABA8E" w14:textId="77777777" w:rsidR="005B7046" w:rsidRDefault="005B7046" w:rsidP="0001256C">
      <w:pPr>
        <w:jc w:val="both"/>
        <w:rPr>
          <w:b/>
          <w:i/>
        </w:rPr>
      </w:pPr>
      <w:r w:rsidRPr="00B57F8A">
        <w:t>From 1994 through 2008, COPS hiring grants funded over 12</w:t>
      </w:r>
      <w:r>
        <w:t>4,6</w:t>
      </w:r>
      <w:r w:rsidRPr="00B57F8A">
        <w:t>00 officers in over 13,000 of the nation’s 18,000 law enforcement jurisdictions.  The COPS Office met its original goal of hiring 100,000 officers in 2007. The 2007 COPS Count Survey results indicated that 109,581 officers funded through the COPS hiring programs had been hired.</w:t>
      </w:r>
      <w:r w:rsidRPr="00B57F8A">
        <w:rPr>
          <w:b/>
          <w:i/>
        </w:rPr>
        <w:t xml:space="preserve"> </w:t>
      </w:r>
    </w:p>
    <w:p w14:paraId="53437BE7" w14:textId="77777777" w:rsidR="005B7046" w:rsidRDefault="005B7046" w:rsidP="0001256C">
      <w:pPr>
        <w:jc w:val="both"/>
        <w:rPr>
          <w:b/>
          <w:i/>
        </w:rPr>
      </w:pPr>
    </w:p>
    <w:p w14:paraId="5EF52E19" w14:textId="77777777" w:rsidR="005B7046" w:rsidRPr="00B57F8A" w:rsidRDefault="005B7046" w:rsidP="0001256C">
      <w:pPr>
        <w:jc w:val="both"/>
        <w:rPr>
          <w:b/>
          <w:i/>
        </w:rPr>
      </w:pPr>
      <w:r w:rsidRPr="00B57F8A">
        <w:t xml:space="preserve">The Administration’s priority of funding additional law enforcement officers to improve public safety began in FY 2009 with the COPS Hiring Recovery Program (CHRP), funded by the American Recovery and Reinvestment Act (ARRA). </w:t>
      </w:r>
      <w:r w:rsidR="00DC301E">
        <w:t xml:space="preserve"> </w:t>
      </w:r>
      <w:r w:rsidRPr="00B57F8A">
        <w:t xml:space="preserve">In FY 2009, the COPS Office funded 4,699 officer positions under </w:t>
      </w:r>
      <w:r>
        <w:t>CHRP</w:t>
      </w:r>
      <w:r w:rsidRPr="00B57F8A">
        <w:t>. In FY 2</w:t>
      </w:r>
      <w:r w:rsidR="00CE0F1E">
        <w:t>010, the COPS Office funded 1,395</w:t>
      </w:r>
      <w:r w:rsidRPr="00B57F8A">
        <w:t xml:space="preserve"> additional officer positions</w:t>
      </w:r>
      <w:r>
        <w:t>. In FY 2011 and FY 2012, th</w:t>
      </w:r>
      <w:r w:rsidR="00DC301E">
        <w:t xml:space="preserve">e COPS Office funded 1,021 and </w:t>
      </w:r>
      <w:r w:rsidR="002975EA">
        <w:t>890</w:t>
      </w:r>
      <w:r>
        <w:t xml:space="preserve"> positions, respectively</w:t>
      </w:r>
      <w:r w:rsidRPr="002719A4">
        <w:t xml:space="preserve">.  Thus, the total number of officers that the COPS Office funded in FY 2009 through FY 2012 was more than </w:t>
      </w:r>
      <w:r w:rsidR="002719A4" w:rsidRPr="002719A4">
        <w:t>8,0</w:t>
      </w:r>
      <w:r w:rsidRPr="002719A4">
        <w:t>00.</w:t>
      </w:r>
      <w:r>
        <w:t xml:space="preserve">  </w:t>
      </w:r>
    </w:p>
    <w:p w14:paraId="7EF66579" w14:textId="77777777" w:rsidR="005B7046" w:rsidRDefault="005B7046" w:rsidP="0001256C">
      <w:pPr>
        <w:jc w:val="both"/>
      </w:pPr>
    </w:p>
    <w:p w14:paraId="4D9FBE7B" w14:textId="77777777" w:rsidR="005B7046" w:rsidRDefault="005B7046" w:rsidP="0001256C">
      <w:pPr>
        <w:jc w:val="both"/>
      </w:pPr>
      <w:r>
        <w:t xml:space="preserve">In FY 2012, the COPS Office established a veteran’s requirement for CHP awards to </w:t>
      </w:r>
      <w:r w:rsidRPr="00CB0B46">
        <w:t xml:space="preserve">support the hiring of officers who are military veterans that served on or after September 11, 2001. In FY 2012, the COPS Office </w:t>
      </w:r>
      <w:r>
        <w:t>funded more than 8</w:t>
      </w:r>
      <w:r w:rsidRPr="00CB0B46">
        <w:t xml:space="preserve">00 officer </w:t>
      </w:r>
      <w:r>
        <w:t>positions that</w:t>
      </w:r>
      <w:r w:rsidRPr="00CB0B46">
        <w:t xml:space="preserve"> </w:t>
      </w:r>
      <w:r w:rsidR="002719A4">
        <w:t xml:space="preserve">are required to be filled </w:t>
      </w:r>
      <w:r w:rsidRPr="00CB0B46">
        <w:t>by military veterans. As of the latest progress reporting pe</w:t>
      </w:r>
      <w:r>
        <w:t>riod (December 2012), more than 5,9</w:t>
      </w:r>
      <w:r w:rsidRPr="00CB0B46">
        <w:t xml:space="preserve">00 of the officer positions funded have been hired.  Of these filled positions, 4,189 are for new hires and 1,670 are for rehired positions. In FY 2013, the COPS Office anticipates funding approximately </w:t>
      </w:r>
      <w:r w:rsidR="00DC301E">
        <w:t>9</w:t>
      </w:r>
      <w:r w:rsidR="001825B1">
        <w:t>00</w:t>
      </w:r>
      <w:r w:rsidRPr="00CB0B46">
        <w:t xml:space="preserve"> additional officer positions. Combined with the FY 2014 request to support </w:t>
      </w:r>
      <w:r w:rsidRPr="00CB0B46">
        <w:lastRenderedPageBreak/>
        <w:t xml:space="preserve">approximately </w:t>
      </w:r>
      <w:r w:rsidR="00DC301E">
        <w:t>1,</w:t>
      </w:r>
      <w:r w:rsidR="001825B1">
        <w:t>400</w:t>
      </w:r>
      <w:r w:rsidR="00DC301E">
        <w:t xml:space="preserve"> </w:t>
      </w:r>
      <w:r w:rsidRPr="00CB0B46">
        <w:t xml:space="preserve">additional officer positions, by the end of FY 2014, the COPS Office anticipates funding </w:t>
      </w:r>
      <w:r w:rsidR="001825B1">
        <w:t>approximately</w:t>
      </w:r>
      <w:r w:rsidRPr="00CB0B46">
        <w:t xml:space="preserve"> </w:t>
      </w:r>
      <w:r w:rsidR="00627DD0">
        <w:t>2,</w:t>
      </w:r>
      <w:r w:rsidR="001825B1">
        <w:t>3</w:t>
      </w:r>
      <w:r w:rsidR="00DC301E">
        <w:t xml:space="preserve">00 </w:t>
      </w:r>
      <w:r w:rsidRPr="00CB0B46">
        <w:t xml:space="preserve">additional officer positions between FY 2013 and FY 2014. This will bring the total number of officer positions funded since FY 2009 to approximately </w:t>
      </w:r>
      <w:r w:rsidR="00DC301E">
        <w:t>10,</w:t>
      </w:r>
      <w:r w:rsidR="008C647E">
        <w:t>20</w:t>
      </w:r>
      <w:r w:rsidR="001825B1">
        <w:t>0</w:t>
      </w:r>
      <w:r w:rsidRPr="00CB0B46">
        <w:t xml:space="preserve"> officers. Of the </w:t>
      </w:r>
      <w:r w:rsidR="00DC301E">
        <w:t>10,</w:t>
      </w:r>
      <w:r w:rsidR="008C647E">
        <w:t>20</w:t>
      </w:r>
      <w:r w:rsidR="001825B1">
        <w:t>0</w:t>
      </w:r>
      <w:r w:rsidRPr="00CB0B46">
        <w:t xml:space="preserve"> funded officer positions, the COPS Office estimates </w:t>
      </w:r>
      <w:r w:rsidR="00DC301E">
        <w:t>8,3</w:t>
      </w:r>
      <w:r w:rsidR="001825B1">
        <w:t>00</w:t>
      </w:r>
      <w:r w:rsidRPr="00CB0B46">
        <w:t xml:space="preserve"> will be hired by the end of FY 2014.</w:t>
      </w:r>
      <w:r w:rsidR="00627DD0">
        <w:t xml:space="preserve"> </w:t>
      </w:r>
    </w:p>
    <w:p w14:paraId="045B4157" w14:textId="77777777" w:rsidR="005B7046" w:rsidRDefault="005B7046" w:rsidP="0001256C">
      <w:pPr>
        <w:jc w:val="both"/>
      </w:pPr>
    </w:p>
    <w:p w14:paraId="3BE6531D" w14:textId="77777777" w:rsidR="005B7046" w:rsidRDefault="00EF70D2" w:rsidP="0001256C">
      <w:pPr>
        <w:jc w:val="both"/>
      </w:pPr>
      <w:r>
        <w:rPr>
          <w:noProof/>
        </w:rPr>
        <w:drawing>
          <wp:inline distT="0" distB="0" distL="0" distR="0" wp14:anchorId="77D00442" wp14:editId="02405BC8">
            <wp:extent cx="5429250" cy="3179445"/>
            <wp:effectExtent l="0" t="0" r="19050" b="2095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0E0F5555" w14:textId="77777777" w:rsidR="00DC301E" w:rsidRDefault="00DC301E" w:rsidP="0001256C">
      <w:pPr>
        <w:pStyle w:val="BodyText2"/>
        <w:numPr>
          <w:ilvl w:val="12"/>
          <w:numId w:val="0"/>
        </w:numPr>
        <w:jc w:val="both"/>
        <w:rPr>
          <w:sz w:val="24"/>
          <w:szCs w:val="24"/>
        </w:rPr>
      </w:pPr>
    </w:p>
    <w:p w14:paraId="7D495087" w14:textId="77777777" w:rsidR="005B7046" w:rsidRDefault="005B7046" w:rsidP="0001256C">
      <w:pPr>
        <w:pStyle w:val="BodyText2"/>
        <w:numPr>
          <w:ilvl w:val="12"/>
          <w:numId w:val="0"/>
        </w:numPr>
        <w:jc w:val="both"/>
        <w:rPr>
          <w:sz w:val="24"/>
          <w:szCs w:val="24"/>
        </w:rPr>
      </w:pPr>
      <w:r w:rsidRPr="00B57F8A">
        <w:rPr>
          <w:sz w:val="24"/>
          <w:szCs w:val="24"/>
        </w:rPr>
        <w:t xml:space="preserve">The COPS Office continues to ensure that our knowledge resources are distributed to state, local, and tribal law enforcement agencies by focusing additional emphasis on marketing these products and improving knowledge resource recipients’ satisfaction.  Since FY 2007, the COPS Office has distributed over </w:t>
      </w:r>
      <w:r>
        <w:rPr>
          <w:sz w:val="24"/>
          <w:szCs w:val="24"/>
        </w:rPr>
        <w:t>8.5 million</w:t>
      </w:r>
      <w:r w:rsidRPr="00B57F8A">
        <w:rPr>
          <w:sz w:val="24"/>
          <w:szCs w:val="24"/>
        </w:rPr>
        <w:t xml:space="preserve"> knowledge resource products. </w:t>
      </w:r>
    </w:p>
    <w:p w14:paraId="00A34328" w14:textId="77777777" w:rsidR="005B7046" w:rsidRDefault="005B7046" w:rsidP="0001256C">
      <w:pPr>
        <w:pStyle w:val="BodyText2"/>
        <w:numPr>
          <w:ilvl w:val="12"/>
          <w:numId w:val="0"/>
        </w:numPr>
        <w:jc w:val="both"/>
        <w:rPr>
          <w:sz w:val="24"/>
          <w:szCs w:val="24"/>
        </w:rPr>
      </w:pPr>
    </w:p>
    <w:p w14:paraId="12540F9B" w14:textId="77777777" w:rsidR="005B7046" w:rsidRDefault="005B7046" w:rsidP="0001256C">
      <w:pPr>
        <w:pStyle w:val="BodyText2"/>
        <w:numPr>
          <w:ilvl w:val="12"/>
          <w:numId w:val="0"/>
        </w:numPr>
        <w:jc w:val="both"/>
        <w:rPr>
          <w:sz w:val="24"/>
          <w:szCs w:val="24"/>
        </w:rPr>
      </w:pPr>
      <w:r>
        <w:rPr>
          <w:noProof/>
        </w:rPr>
        <w:drawing>
          <wp:inline distT="0" distB="0" distL="0" distR="0" wp14:anchorId="7A0DA83F" wp14:editId="78FC799D">
            <wp:extent cx="5572125" cy="3067050"/>
            <wp:effectExtent l="0" t="0" r="9525" b="1905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3DE75805" w14:textId="77777777" w:rsidR="005B7046" w:rsidRDefault="005B7046" w:rsidP="0001256C">
      <w:pPr>
        <w:jc w:val="both"/>
        <w:rPr>
          <w:color w:val="000000"/>
        </w:rPr>
        <w:sectPr w:rsidR="005B7046" w:rsidSect="004A5DB2">
          <w:pgSz w:w="12240" w:h="15840" w:code="1"/>
          <w:pgMar w:top="1152" w:right="1440" w:bottom="576" w:left="1440" w:header="432" w:footer="432" w:gutter="0"/>
          <w:cols w:space="720"/>
          <w:docGrid w:linePitch="326"/>
        </w:sectPr>
      </w:pPr>
    </w:p>
    <w:p w14:paraId="6F288B52" w14:textId="77777777" w:rsidR="005B7046" w:rsidRDefault="005B7046" w:rsidP="0001256C">
      <w:pPr>
        <w:ind w:left="720"/>
        <w:jc w:val="both"/>
      </w:pPr>
      <w:r w:rsidRPr="00A21AB3">
        <w:rPr>
          <w:color w:val="000000"/>
        </w:rPr>
        <w:lastRenderedPageBreak/>
        <w:t>In FY 201</w:t>
      </w:r>
      <w:r>
        <w:rPr>
          <w:color w:val="000000"/>
        </w:rPr>
        <w:t>4</w:t>
      </w:r>
      <w:r w:rsidRPr="00A21AB3">
        <w:rPr>
          <w:color w:val="000000"/>
        </w:rPr>
        <w:t xml:space="preserve">, the </w:t>
      </w:r>
      <w:r>
        <w:rPr>
          <w:color w:val="000000"/>
        </w:rPr>
        <w:t>first year results of</w:t>
      </w:r>
      <w:r w:rsidRPr="00A21AB3">
        <w:rPr>
          <w:color w:val="000000"/>
        </w:rPr>
        <w:t xml:space="preserve"> a new performance measure </w:t>
      </w:r>
      <w:r>
        <w:rPr>
          <w:color w:val="000000"/>
        </w:rPr>
        <w:t>introduced in FY</w:t>
      </w:r>
      <w:r w:rsidR="000908F2">
        <w:rPr>
          <w:color w:val="000000"/>
        </w:rPr>
        <w:t xml:space="preserve"> </w:t>
      </w:r>
      <w:r>
        <w:rPr>
          <w:color w:val="000000"/>
        </w:rPr>
        <w:t xml:space="preserve">2013 will be available. This measure </w:t>
      </w:r>
      <w:r w:rsidRPr="00A21AB3">
        <w:rPr>
          <w:color w:val="000000"/>
        </w:rPr>
        <w:t>demonstrate</w:t>
      </w:r>
      <w:r>
        <w:rPr>
          <w:color w:val="000000"/>
        </w:rPr>
        <w:t>s</w:t>
      </w:r>
      <w:r w:rsidRPr="00A21AB3">
        <w:rPr>
          <w:color w:val="000000"/>
        </w:rPr>
        <w:t xml:space="preserve"> the positive impact of COPS programs and activities on violent crime in targeted areas.  More specifically, </w:t>
      </w:r>
      <w:r>
        <w:rPr>
          <w:color w:val="000000"/>
        </w:rPr>
        <w:t>the long-term outcome is anticipated to</w:t>
      </w:r>
      <w:r w:rsidR="00D318CE" w:rsidRPr="00D318CE">
        <w:rPr>
          <w:color w:val="000000"/>
        </w:rPr>
        <w:t xml:space="preserve"> </w:t>
      </w:r>
      <w:r>
        <w:rPr>
          <w:color w:val="000000"/>
        </w:rPr>
        <w:t xml:space="preserve">show </w:t>
      </w:r>
      <w:r w:rsidRPr="00A21AB3">
        <w:rPr>
          <w:color w:val="000000"/>
        </w:rPr>
        <w:t xml:space="preserve">a </w:t>
      </w:r>
      <w:r w:rsidR="00E9605D">
        <w:rPr>
          <w:color w:val="000000"/>
        </w:rPr>
        <w:t xml:space="preserve">COPS </w:t>
      </w:r>
      <w:r>
        <w:rPr>
          <w:color w:val="000000"/>
        </w:rPr>
        <w:t xml:space="preserve">Office contribution to </w:t>
      </w:r>
      <w:r>
        <w:t xml:space="preserve">a </w:t>
      </w:r>
      <w:r w:rsidR="00E9605D">
        <w:t>three</w:t>
      </w:r>
      <w:r>
        <w:t xml:space="preserve"> percent</w:t>
      </w:r>
      <w:r w:rsidRPr="00AD1BE0">
        <w:t xml:space="preserve"> rate of change over 36 months in homicide violent crime rates through the implementation of a comprehensive community policing strategy within targeted COPS-funded cities compared to the crime rates of cities of similar size and demographics that have not received COPS funding.  </w:t>
      </w:r>
      <w:r w:rsidRPr="00B57F8A">
        <w:t xml:space="preserve"> </w:t>
      </w:r>
    </w:p>
    <w:p w14:paraId="0175C6AC" w14:textId="77777777" w:rsidR="005B7046" w:rsidRDefault="005B7046" w:rsidP="0001256C">
      <w:pPr>
        <w:ind w:left="720"/>
        <w:jc w:val="both"/>
        <w:rPr>
          <w:color w:val="000000"/>
        </w:rPr>
      </w:pPr>
    </w:p>
    <w:p w14:paraId="1E536DF5" w14:textId="77777777" w:rsidR="005B7046" w:rsidRPr="00272DA3" w:rsidRDefault="005B7046" w:rsidP="0001256C">
      <w:pPr>
        <w:ind w:left="720"/>
        <w:jc w:val="both"/>
      </w:pPr>
      <w:r>
        <w:rPr>
          <w:color w:val="000000"/>
        </w:rPr>
        <w:t>A</w:t>
      </w:r>
      <w:r w:rsidRPr="00A21AB3">
        <w:rPr>
          <w:color w:val="000000"/>
        </w:rPr>
        <w:t>nnually, the law enforcement agencies selected to participate in this measure submit the results of the geographically targete</w:t>
      </w:r>
      <w:r>
        <w:rPr>
          <w:color w:val="000000"/>
        </w:rPr>
        <w:t>d violent crime rate data.  The data is compared to the respective cities’ aggregate violent crime rate data</w:t>
      </w:r>
      <w:r w:rsidRPr="00A21AB3">
        <w:rPr>
          <w:color w:val="000000"/>
        </w:rPr>
        <w:t xml:space="preserve">, in order to determine the </w:t>
      </w:r>
      <w:r>
        <w:rPr>
          <w:color w:val="000000"/>
        </w:rPr>
        <w:t xml:space="preserve">percent </w:t>
      </w:r>
      <w:r w:rsidRPr="00A21AB3">
        <w:rPr>
          <w:color w:val="000000"/>
        </w:rPr>
        <w:t xml:space="preserve">rate of change. The baseline </w:t>
      </w:r>
      <w:r>
        <w:rPr>
          <w:color w:val="000000"/>
        </w:rPr>
        <w:t>was</w:t>
      </w:r>
      <w:r w:rsidRPr="00A21AB3">
        <w:rPr>
          <w:color w:val="000000"/>
        </w:rPr>
        <w:t xml:space="preserve"> established in FY</w:t>
      </w:r>
      <w:r w:rsidR="000908F2">
        <w:rPr>
          <w:color w:val="000000"/>
        </w:rPr>
        <w:t xml:space="preserve"> </w:t>
      </w:r>
      <w:r w:rsidRPr="00A21AB3">
        <w:rPr>
          <w:color w:val="000000"/>
        </w:rPr>
        <w:t>2012 through the following data sources: FY</w:t>
      </w:r>
      <w:r w:rsidR="000908F2">
        <w:rPr>
          <w:color w:val="000000"/>
        </w:rPr>
        <w:t xml:space="preserve"> </w:t>
      </w:r>
      <w:r w:rsidRPr="00A21AB3">
        <w:rPr>
          <w:color w:val="000000"/>
        </w:rPr>
        <w:t>2011 COPS hiring grant application, estimated and officially reported Uniform Crime Rate data and the COPS Merged Progress Report.</w:t>
      </w:r>
      <w:r w:rsidRPr="00272DA3">
        <w:rPr>
          <w:color w:val="000000"/>
        </w:rPr>
        <w:t xml:space="preserve"> </w:t>
      </w:r>
    </w:p>
    <w:p w14:paraId="01AE0FB3" w14:textId="77777777" w:rsidR="005B7046" w:rsidRDefault="005B7046" w:rsidP="0001256C">
      <w:pPr>
        <w:pStyle w:val="BodyText"/>
        <w:ind w:left="720"/>
        <w:jc w:val="both"/>
      </w:pPr>
    </w:p>
    <w:p w14:paraId="0D9CEDC8" w14:textId="77777777" w:rsidR="005B7046" w:rsidRPr="00B57F8A" w:rsidRDefault="005B7046" w:rsidP="0001256C">
      <w:pPr>
        <w:pStyle w:val="BodyText"/>
        <w:ind w:left="720"/>
        <w:jc w:val="both"/>
      </w:pPr>
      <w:r w:rsidRPr="00B57F8A">
        <w:t>b.</w:t>
      </w:r>
      <w:r w:rsidRPr="00B57F8A">
        <w:tab/>
        <w:t xml:space="preserve">  Strategies to Accomplish Outcomes</w:t>
      </w:r>
    </w:p>
    <w:p w14:paraId="585ABFC7" w14:textId="77777777" w:rsidR="005B7046" w:rsidRPr="00B57F8A" w:rsidRDefault="005B7046" w:rsidP="0001256C">
      <w:pPr>
        <w:pStyle w:val="BodyText"/>
        <w:ind w:left="720"/>
        <w:jc w:val="both"/>
      </w:pPr>
    </w:p>
    <w:p w14:paraId="2C7C0B46" w14:textId="77777777" w:rsidR="005B7046" w:rsidRPr="00B57F8A" w:rsidRDefault="005B7046" w:rsidP="0001256C">
      <w:pPr>
        <w:ind w:left="720"/>
        <w:jc w:val="both"/>
      </w:pPr>
      <w:r w:rsidRPr="00B57F8A">
        <w:t>In FY 201</w:t>
      </w:r>
      <w:r>
        <w:t>4,</w:t>
      </w:r>
      <w:r w:rsidRPr="00B57F8A">
        <w:t xml:space="preserve"> the COPS Office plans to continue efforts to align grant and knowledge resources toward enhancing the public safety in the communities of grantees and knowledge resource recipients</w:t>
      </w:r>
      <w:r>
        <w:t xml:space="preserve"> that are</w:t>
      </w:r>
      <w:r w:rsidRPr="00B57F8A">
        <w:t xml:space="preserve"> implementing community policing strategies.  To meet these performance outcomes, the Office will focus resources toward those strategic objectives and initiatives that will best ensure effectiveness and positively impact performance outcomes as outlined in the community policing enhancement section of the budget overview.</w:t>
      </w:r>
    </w:p>
    <w:p w14:paraId="2DC953A6" w14:textId="77777777" w:rsidR="005B7046" w:rsidRPr="00B57F8A" w:rsidRDefault="005B7046" w:rsidP="0001256C">
      <w:pPr>
        <w:pStyle w:val="BodyText"/>
        <w:ind w:left="720"/>
        <w:jc w:val="both"/>
        <w:rPr>
          <w:i/>
          <w:iCs/>
        </w:rPr>
      </w:pPr>
    </w:p>
    <w:p w14:paraId="1F9ACB44" w14:textId="77777777" w:rsidR="005B7046" w:rsidRDefault="005B7046" w:rsidP="0001256C">
      <w:pPr>
        <w:pStyle w:val="BodyText"/>
        <w:ind w:left="720"/>
        <w:jc w:val="both"/>
        <w:rPr>
          <w:iCs/>
        </w:rPr>
      </w:pPr>
      <w:r w:rsidRPr="00B57F8A">
        <w:rPr>
          <w:iCs/>
        </w:rPr>
        <w:t xml:space="preserve">c. </w:t>
      </w:r>
      <w:r w:rsidRPr="00B57F8A">
        <w:rPr>
          <w:iCs/>
        </w:rPr>
        <w:tab/>
        <w:t>Priority Goals</w:t>
      </w:r>
    </w:p>
    <w:p w14:paraId="1074BFE1" w14:textId="77777777" w:rsidR="005B7046" w:rsidRDefault="005B7046" w:rsidP="0001256C">
      <w:pPr>
        <w:ind w:left="720"/>
        <w:jc w:val="both"/>
      </w:pPr>
      <w:r>
        <w:t>N/A</w:t>
      </w:r>
    </w:p>
    <w:p w14:paraId="69F1DBD9" w14:textId="77777777" w:rsidR="005B7046" w:rsidRDefault="005B7046" w:rsidP="0001256C">
      <w:pPr>
        <w:jc w:val="both"/>
        <w:rPr>
          <w:iCs/>
          <w:szCs w:val="20"/>
        </w:rPr>
      </w:pPr>
    </w:p>
    <w:p w14:paraId="7E8C0E1D" w14:textId="77777777" w:rsidR="00633069" w:rsidRDefault="00633069">
      <w:pPr>
        <w:rPr>
          <w:b/>
        </w:rPr>
      </w:pPr>
      <w:r>
        <w:rPr>
          <w:b/>
        </w:rPr>
        <w:br w:type="page"/>
      </w:r>
    </w:p>
    <w:p w14:paraId="5E065928" w14:textId="77777777" w:rsidR="008E43FC" w:rsidRDefault="006E724A" w:rsidP="0001256C">
      <w:pPr>
        <w:pStyle w:val="BodyText"/>
        <w:widowControl w:val="0"/>
        <w:jc w:val="both"/>
        <w:rPr>
          <w:b/>
          <w:szCs w:val="24"/>
        </w:rPr>
      </w:pPr>
      <w:r>
        <w:rPr>
          <w:b/>
          <w:szCs w:val="24"/>
        </w:rPr>
        <w:lastRenderedPageBreak/>
        <w:t xml:space="preserve">V.  </w:t>
      </w:r>
      <w:r w:rsidR="00E9605D">
        <w:rPr>
          <w:b/>
          <w:szCs w:val="24"/>
        </w:rPr>
        <w:t>Program Increases by Item</w:t>
      </w:r>
    </w:p>
    <w:p w14:paraId="34973FA7" w14:textId="77777777" w:rsidR="00341D32" w:rsidRDefault="00341D32" w:rsidP="0001256C">
      <w:pPr>
        <w:pStyle w:val="BodyText"/>
        <w:jc w:val="both"/>
        <w:rPr>
          <w:b/>
          <w:szCs w:val="24"/>
        </w:rPr>
      </w:pPr>
    </w:p>
    <w:p w14:paraId="2971C7A1" w14:textId="77777777" w:rsidR="00341D32" w:rsidRPr="009273C7" w:rsidRDefault="00341D32" w:rsidP="0001256C">
      <w:pPr>
        <w:pStyle w:val="xl19"/>
        <w:tabs>
          <w:tab w:val="left" w:pos="3420"/>
          <w:tab w:val="right" w:pos="8640"/>
        </w:tabs>
        <w:spacing w:before="0" w:after="0"/>
        <w:jc w:val="both"/>
        <w:rPr>
          <w:b/>
          <w:szCs w:val="24"/>
        </w:rPr>
      </w:pPr>
      <w:r>
        <w:rPr>
          <w:b/>
          <w:szCs w:val="24"/>
        </w:rPr>
        <w:t>A</w:t>
      </w:r>
      <w:r w:rsidRPr="009273C7">
        <w:rPr>
          <w:b/>
          <w:szCs w:val="24"/>
        </w:rPr>
        <w:t xml:space="preserve">. Item Name: </w:t>
      </w:r>
      <w:r w:rsidRPr="009273C7">
        <w:rPr>
          <w:b/>
          <w:szCs w:val="24"/>
        </w:rPr>
        <w:tab/>
      </w:r>
      <w:r>
        <w:rPr>
          <w:b/>
          <w:szCs w:val="24"/>
        </w:rPr>
        <w:t>Comprehensive School Safety Program</w:t>
      </w:r>
    </w:p>
    <w:p w14:paraId="0D043CCA" w14:textId="77777777" w:rsidR="00341D32" w:rsidRPr="009273C7" w:rsidRDefault="00341D32" w:rsidP="0001256C">
      <w:pPr>
        <w:pStyle w:val="xl19"/>
        <w:tabs>
          <w:tab w:val="left" w:pos="3420"/>
          <w:tab w:val="right" w:pos="8640"/>
        </w:tabs>
        <w:spacing w:before="0" w:after="0"/>
        <w:jc w:val="both"/>
        <w:rPr>
          <w:szCs w:val="24"/>
        </w:rPr>
      </w:pPr>
    </w:p>
    <w:p w14:paraId="769CC7ED" w14:textId="77777777" w:rsidR="00341D32" w:rsidRPr="009273C7" w:rsidRDefault="00341D32" w:rsidP="0001256C">
      <w:pPr>
        <w:pStyle w:val="xl19"/>
        <w:tabs>
          <w:tab w:val="left" w:pos="3420"/>
          <w:tab w:val="right" w:pos="8640"/>
        </w:tabs>
        <w:spacing w:before="0" w:after="0"/>
        <w:jc w:val="both"/>
        <w:rPr>
          <w:szCs w:val="24"/>
        </w:rPr>
      </w:pPr>
      <w:r w:rsidRPr="009273C7">
        <w:rPr>
          <w:szCs w:val="24"/>
        </w:rPr>
        <w:t xml:space="preserve">Budget Decision Unit(s): </w:t>
      </w:r>
      <w:r w:rsidRPr="009273C7">
        <w:rPr>
          <w:szCs w:val="24"/>
        </w:rPr>
        <w:tab/>
        <w:t>Community Oriented Policing</w:t>
      </w:r>
    </w:p>
    <w:p w14:paraId="77AED84A" w14:textId="77777777" w:rsidR="00341D32" w:rsidRPr="009273C7" w:rsidRDefault="00341D32" w:rsidP="0001256C">
      <w:pPr>
        <w:pStyle w:val="xl19"/>
        <w:tabs>
          <w:tab w:val="left" w:pos="3420"/>
          <w:tab w:val="right" w:pos="8640"/>
        </w:tabs>
        <w:spacing w:before="0" w:after="0"/>
        <w:jc w:val="both"/>
        <w:rPr>
          <w:szCs w:val="24"/>
        </w:rPr>
      </w:pPr>
      <w:r w:rsidRPr="009273C7">
        <w:rPr>
          <w:szCs w:val="24"/>
        </w:rPr>
        <w:t>Organizational Program:</w:t>
      </w:r>
      <w:r w:rsidRPr="009273C7">
        <w:rPr>
          <w:szCs w:val="24"/>
        </w:rPr>
        <w:tab/>
      </w:r>
      <w:r>
        <w:rPr>
          <w:szCs w:val="24"/>
        </w:rPr>
        <w:t>Comprehensive School Safety Program</w:t>
      </w:r>
    </w:p>
    <w:p w14:paraId="09AC7F34" w14:textId="77777777" w:rsidR="00341D32" w:rsidRPr="009273C7" w:rsidRDefault="00341D32" w:rsidP="0001256C">
      <w:pPr>
        <w:pStyle w:val="xl19"/>
        <w:tabs>
          <w:tab w:val="left" w:pos="3420"/>
          <w:tab w:val="right" w:pos="8640"/>
        </w:tabs>
        <w:spacing w:before="0" w:after="0"/>
        <w:jc w:val="both"/>
        <w:rPr>
          <w:szCs w:val="24"/>
        </w:rPr>
      </w:pPr>
    </w:p>
    <w:p w14:paraId="3998AC28" w14:textId="77777777" w:rsidR="00341D32" w:rsidRPr="009273C7" w:rsidRDefault="00341D32" w:rsidP="0001256C">
      <w:pPr>
        <w:pStyle w:val="xl19"/>
        <w:tabs>
          <w:tab w:val="left" w:pos="2340"/>
          <w:tab w:val="right" w:pos="3060"/>
          <w:tab w:val="left" w:pos="3600"/>
          <w:tab w:val="right" w:pos="4500"/>
          <w:tab w:val="left" w:pos="5310"/>
          <w:tab w:val="right" w:pos="6300"/>
        </w:tabs>
        <w:spacing w:before="0" w:after="0"/>
        <w:jc w:val="both"/>
        <w:rPr>
          <w:szCs w:val="24"/>
        </w:rPr>
      </w:pPr>
      <w:r w:rsidRPr="009273C7">
        <w:rPr>
          <w:szCs w:val="24"/>
        </w:rPr>
        <w:t xml:space="preserve">Program Increase: Positions </w:t>
      </w:r>
      <w:r w:rsidR="000908F2" w:rsidRPr="009273C7">
        <w:rPr>
          <w:szCs w:val="24"/>
        </w:rPr>
        <w:t>0 FTE</w:t>
      </w:r>
      <w:r w:rsidRPr="009273C7">
        <w:rPr>
          <w:szCs w:val="24"/>
        </w:rPr>
        <w:t xml:space="preserve"> </w:t>
      </w:r>
      <w:r w:rsidR="000908F2" w:rsidRPr="009273C7">
        <w:rPr>
          <w:szCs w:val="24"/>
        </w:rPr>
        <w:t>0 Dollars</w:t>
      </w:r>
      <w:r w:rsidRPr="009273C7">
        <w:rPr>
          <w:szCs w:val="24"/>
        </w:rPr>
        <w:t xml:space="preserve"> </w:t>
      </w:r>
      <w:r>
        <w:rPr>
          <w:szCs w:val="24"/>
        </w:rPr>
        <w:t>150,000,000</w:t>
      </w:r>
    </w:p>
    <w:p w14:paraId="31115233" w14:textId="77777777" w:rsidR="00341D32" w:rsidRPr="009273C7" w:rsidRDefault="00341D32" w:rsidP="0001256C">
      <w:pPr>
        <w:jc w:val="both"/>
      </w:pPr>
    </w:p>
    <w:p w14:paraId="008B35F0" w14:textId="77777777" w:rsidR="00341D32" w:rsidRPr="009273C7" w:rsidRDefault="00341D32" w:rsidP="0001256C">
      <w:pPr>
        <w:pStyle w:val="xl24"/>
        <w:spacing w:before="0" w:after="0"/>
        <w:jc w:val="both"/>
        <w:rPr>
          <w:szCs w:val="24"/>
        </w:rPr>
      </w:pPr>
      <w:r w:rsidRPr="009273C7">
        <w:rPr>
          <w:szCs w:val="24"/>
        </w:rPr>
        <w:t>Description of Item</w:t>
      </w:r>
    </w:p>
    <w:p w14:paraId="77A0EFA2" w14:textId="77777777" w:rsidR="00341D32" w:rsidRPr="004359B7" w:rsidRDefault="00341D32" w:rsidP="0001256C">
      <w:pPr>
        <w:jc w:val="both"/>
      </w:pPr>
      <w:r w:rsidRPr="004359B7">
        <w:t>Since its creation in 1994, the COPS Office has dedicated significant grant funding to school safety programs.  The COPS Office believes that school resource officers play a unique role in preserving order and safety, providing security, addressing crime and disorder problems, and serving as liaisons between the school and police.  Additionally, school resource officers can act as resource liaisons by developing relationships with at-risk youth and referring students to professional services within both the school (guidance counselors</w:t>
      </w:r>
      <w:r w:rsidR="009B72DA">
        <w:t xml:space="preserve"> and </w:t>
      </w:r>
      <w:r w:rsidRPr="004359B7">
        <w:t>social workers</w:t>
      </w:r>
      <w:r w:rsidR="009B72DA">
        <w:t>,</w:t>
      </w:r>
      <w:r w:rsidRPr="004359B7">
        <w:t>) and the community (youth and family service organizations).</w:t>
      </w:r>
    </w:p>
    <w:p w14:paraId="74160393" w14:textId="77777777" w:rsidR="00341D32" w:rsidRPr="004359B7" w:rsidRDefault="00341D32" w:rsidP="0001256C">
      <w:pPr>
        <w:jc w:val="both"/>
      </w:pPr>
    </w:p>
    <w:p w14:paraId="0B940F2C" w14:textId="77777777" w:rsidR="00341D32" w:rsidRPr="004359B7" w:rsidRDefault="00341D32" w:rsidP="0001256C">
      <w:pPr>
        <w:jc w:val="both"/>
      </w:pPr>
      <w:r w:rsidRPr="004359B7">
        <w:t xml:space="preserve">The </w:t>
      </w:r>
      <w:r>
        <w:t xml:space="preserve">COPS Office </w:t>
      </w:r>
      <w:r w:rsidRPr="004359B7">
        <w:t xml:space="preserve">is proposing a new Comprehensive School Safety Program, which will help school districts hire staff and make other critical investments in school safety.  The program will </w:t>
      </w:r>
      <w:r>
        <w:t>provide</w:t>
      </w:r>
      <w:r w:rsidRPr="004359B7">
        <w:t xml:space="preserve"> $150 million </w:t>
      </w:r>
      <w:r>
        <w:t xml:space="preserve">to support the hiring of </w:t>
      </w:r>
      <w:r w:rsidRPr="005B50A4">
        <w:t xml:space="preserve"> school safety personnel, including</w:t>
      </w:r>
      <w:r w:rsidRPr="005B50A4">
        <w:rPr>
          <w:color w:val="1F497D"/>
        </w:rPr>
        <w:t xml:space="preserve"> </w:t>
      </w:r>
      <w:r w:rsidRPr="005B50A4">
        <w:t>sworn school resource officers,</w:t>
      </w:r>
      <w:r w:rsidRPr="005B50A4">
        <w:rPr>
          <w:color w:val="1F497D"/>
        </w:rPr>
        <w:t xml:space="preserve"> </w:t>
      </w:r>
      <w:r w:rsidRPr="005B50A4">
        <w:t>civilian public safety personnel, school counselors, school psychologists, other qualified psychologists, school social workers, and child and adolescent psychiatrists</w:t>
      </w:r>
      <w:r>
        <w:rPr>
          <w:color w:val="000000"/>
        </w:rPr>
        <w:t xml:space="preserve">; the </w:t>
      </w:r>
      <w:r>
        <w:t>purchasing of</w:t>
      </w:r>
      <w:r w:rsidRPr="00842122">
        <w:t xml:space="preserve"> school safety equipment; </w:t>
      </w:r>
      <w:r>
        <w:t xml:space="preserve">the </w:t>
      </w:r>
      <w:r w:rsidRPr="00842122">
        <w:t>develop</w:t>
      </w:r>
      <w:r>
        <w:t>ment and updating</w:t>
      </w:r>
      <w:r w:rsidRPr="00842122">
        <w:t xml:space="preserve"> public safety plans; conduct</w:t>
      </w:r>
      <w:r>
        <w:t>ing</w:t>
      </w:r>
      <w:r w:rsidRPr="00842122">
        <w:t xml:space="preserve"> threat assessments; and train</w:t>
      </w:r>
      <w:r>
        <w:t>ing</w:t>
      </w:r>
      <w:r w:rsidRPr="00842122">
        <w:t xml:space="preserve"> “crisis intervention teams” of law enforcement officers to work with the mental health community to respond to and assist students in crisis.</w:t>
      </w:r>
      <w:r>
        <w:t xml:space="preserve">  </w:t>
      </w:r>
    </w:p>
    <w:p w14:paraId="4A16CCB2" w14:textId="77777777" w:rsidR="00341D32" w:rsidRPr="009273C7" w:rsidRDefault="00341D32" w:rsidP="0001256C">
      <w:pPr>
        <w:jc w:val="both"/>
        <w:rPr>
          <w:u w:val="single"/>
        </w:rPr>
      </w:pPr>
    </w:p>
    <w:p w14:paraId="67B7ADF7" w14:textId="77777777" w:rsidR="00626B03" w:rsidRDefault="00626B03" w:rsidP="00626B03">
      <w:pPr>
        <w:autoSpaceDE w:val="0"/>
        <w:autoSpaceDN w:val="0"/>
        <w:adjustRightInd w:val="0"/>
        <w:jc w:val="both"/>
      </w:pPr>
      <w:r>
        <w:t>This Comprehensive School Safety Program would provide funding for holistic, integrated, and individually tailored school safety and security resources for primary and secondary schools.  The program aims to bring the law enforcement, mental health, and education disciplines together to provide a comprehensive approach to school safety.  Law enforcement and school districts, in consultation with school mental health professionals, should come together to apply for funding that fills the gaps in their own school safety and security efforts.</w:t>
      </w:r>
    </w:p>
    <w:p w14:paraId="0C99CCC0" w14:textId="77777777" w:rsidR="00626B03" w:rsidRDefault="00626B03" w:rsidP="00626B03">
      <w:pPr>
        <w:autoSpaceDE w:val="0"/>
        <w:autoSpaceDN w:val="0"/>
        <w:adjustRightInd w:val="0"/>
        <w:jc w:val="both"/>
        <w:rPr>
          <w:color w:val="000000"/>
        </w:rPr>
      </w:pPr>
    </w:p>
    <w:p w14:paraId="0350AA6F" w14:textId="77777777" w:rsidR="00626B03" w:rsidRPr="00197434" w:rsidRDefault="00626B03" w:rsidP="00626B03">
      <w:pPr>
        <w:autoSpaceDE w:val="0"/>
        <w:autoSpaceDN w:val="0"/>
        <w:adjustRightInd w:val="0"/>
        <w:jc w:val="both"/>
        <w:rPr>
          <w:color w:val="000000"/>
        </w:rPr>
      </w:pPr>
      <w:r w:rsidRPr="00197434">
        <w:rPr>
          <w:color w:val="000000"/>
        </w:rPr>
        <w:t>With assistance from the Department of Education (and flexible transfer authority)</w:t>
      </w:r>
      <w:r>
        <w:rPr>
          <w:color w:val="000000"/>
        </w:rPr>
        <w:t>,</w:t>
      </w:r>
      <w:r w:rsidRPr="00197434">
        <w:rPr>
          <w:color w:val="000000"/>
        </w:rPr>
        <w:t xml:space="preserve"> the program will support demand-driven grants, </w:t>
      </w:r>
      <w:r>
        <w:rPr>
          <w:color w:val="000000"/>
        </w:rPr>
        <w:t xml:space="preserve">providing support for the hiring of school safety personnel, including medical health professionals and counselors, equipment, and safety assessments.  Applications will be </w:t>
      </w:r>
      <w:r w:rsidRPr="00197434">
        <w:rPr>
          <w:color w:val="000000"/>
        </w:rPr>
        <w:t xml:space="preserve">driven by local needs and </w:t>
      </w:r>
      <w:r>
        <w:rPr>
          <w:color w:val="000000"/>
        </w:rPr>
        <w:t xml:space="preserve">evaluated on the basis of </w:t>
      </w:r>
      <w:r w:rsidRPr="00197434">
        <w:rPr>
          <w:color w:val="000000"/>
        </w:rPr>
        <w:t xml:space="preserve">the quality </w:t>
      </w:r>
      <w:r>
        <w:rPr>
          <w:color w:val="000000"/>
        </w:rPr>
        <w:t xml:space="preserve">of the comprehensive safety plans submitted with the applications that show how all of the funding requests and proposed activities are linked together.  </w:t>
      </w:r>
      <w:r w:rsidRPr="00197434">
        <w:rPr>
          <w:color w:val="000000"/>
        </w:rPr>
        <w:t xml:space="preserve">Funding may also be used to support training for </w:t>
      </w:r>
      <w:r>
        <w:rPr>
          <w:color w:val="000000"/>
        </w:rPr>
        <w:t xml:space="preserve">any </w:t>
      </w:r>
      <w:r w:rsidRPr="00197434">
        <w:rPr>
          <w:color w:val="000000"/>
        </w:rPr>
        <w:t xml:space="preserve">personnel hired to ensure that their presence in the schools does not lead to unnecessarily harsh discipline and arrests for youth misbehaving, and that they will support other school personnel in implementing evidence-based positive behavior strategies. </w:t>
      </w:r>
    </w:p>
    <w:p w14:paraId="48A71F25" w14:textId="77777777" w:rsidR="00626B03" w:rsidRPr="00923240" w:rsidRDefault="00626B03" w:rsidP="00626B03">
      <w:pPr>
        <w:autoSpaceDE w:val="0"/>
        <w:autoSpaceDN w:val="0"/>
        <w:adjustRightInd w:val="0"/>
        <w:jc w:val="both"/>
      </w:pPr>
    </w:p>
    <w:p w14:paraId="4E629879" w14:textId="77777777" w:rsidR="00626B03" w:rsidRPr="009273C7" w:rsidRDefault="00626B03" w:rsidP="00626B03">
      <w:pPr>
        <w:pStyle w:val="BodyText3"/>
        <w:jc w:val="both"/>
        <w:rPr>
          <w:color w:val="auto"/>
          <w:szCs w:val="24"/>
          <w:u w:val="single"/>
        </w:rPr>
      </w:pPr>
      <w:r w:rsidRPr="009273C7">
        <w:rPr>
          <w:color w:val="auto"/>
          <w:szCs w:val="24"/>
          <w:u w:val="single"/>
        </w:rPr>
        <w:t xml:space="preserve">Impact on Performance (Relationship of </w:t>
      </w:r>
      <w:r>
        <w:rPr>
          <w:color w:val="auto"/>
          <w:szCs w:val="24"/>
          <w:u w:val="single"/>
        </w:rPr>
        <w:t xml:space="preserve">Increase </w:t>
      </w:r>
      <w:r w:rsidRPr="009273C7">
        <w:rPr>
          <w:color w:val="auto"/>
          <w:szCs w:val="24"/>
          <w:u w:val="single"/>
        </w:rPr>
        <w:t>to Strategic Goals)</w:t>
      </w:r>
    </w:p>
    <w:p w14:paraId="3780361F" w14:textId="77777777" w:rsidR="00626B03" w:rsidRDefault="00626B03" w:rsidP="00626B03">
      <w:pPr>
        <w:jc w:val="both"/>
      </w:pPr>
      <w:r w:rsidRPr="00A9426D">
        <w:t xml:space="preserve">In </w:t>
      </w:r>
      <w:r>
        <w:t>support of</w:t>
      </w:r>
      <w:r w:rsidRPr="00A9426D">
        <w:t xml:space="preserve"> President</w:t>
      </w:r>
      <w:r>
        <w:t>’s 2013</w:t>
      </w:r>
      <w:r w:rsidRPr="00A9426D">
        <w:t xml:space="preserve"> plan to reduce gun violence, make schools safer and increase access to mental health services</w:t>
      </w:r>
      <w:r>
        <w:t xml:space="preserve">.  The COPS Office Comprehensive School Safety Program would bring the law enforcement, mental health, and education disciplines together to provide a comprehensive approach to school safety.  Law enforcement and school districts, in consultation </w:t>
      </w:r>
      <w:r>
        <w:lastRenderedPageBreak/>
        <w:t>with school mental health professionals, should come together to apply for funding that fills the gaps in their own school safety and security efforts.</w:t>
      </w:r>
    </w:p>
    <w:p w14:paraId="4CA906C6" w14:textId="77777777" w:rsidR="00B429B4" w:rsidRPr="009273C7" w:rsidRDefault="00B429B4" w:rsidP="0001256C">
      <w:pPr>
        <w:pStyle w:val="xl24"/>
        <w:spacing w:before="0" w:after="0"/>
        <w:jc w:val="both"/>
        <w:rPr>
          <w:szCs w:val="24"/>
        </w:rPr>
      </w:pPr>
    </w:p>
    <w:p w14:paraId="0B75A6A9" w14:textId="77777777" w:rsidR="00341D32" w:rsidRPr="009273C7" w:rsidRDefault="00341D32" w:rsidP="0001256C">
      <w:pPr>
        <w:pStyle w:val="xl24"/>
        <w:spacing w:before="0" w:after="0"/>
        <w:jc w:val="both"/>
        <w:rPr>
          <w:szCs w:val="24"/>
        </w:rPr>
      </w:pPr>
      <w:r w:rsidRPr="009273C7">
        <w:rPr>
          <w:szCs w:val="24"/>
        </w:rPr>
        <w:t>Base Funding</w:t>
      </w:r>
    </w:p>
    <w:p w14:paraId="3B8754DF" w14:textId="77777777" w:rsidR="00341D32" w:rsidRPr="009273C7" w:rsidRDefault="00341D32" w:rsidP="0001256C">
      <w:pPr>
        <w:pStyle w:val="xl24"/>
        <w:spacing w:before="0" w:after="0"/>
        <w:jc w:val="both"/>
        <w:rPr>
          <w:szCs w:val="24"/>
        </w:rPr>
      </w:pPr>
    </w:p>
    <w:tbl>
      <w:tblPr>
        <w:tblW w:w="9794"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6"/>
        <w:gridCol w:w="607"/>
        <w:gridCol w:w="617"/>
        <w:gridCol w:w="90"/>
        <w:gridCol w:w="1260"/>
        <w:gridCol w:w="603"/>
        <w:gridCol w:w="607"/>
        <w:gridCol w:w="672"/>
        <w:gridCol w:w="1358"/>
        <w:gridCol w:w="590"/>
        <w:gridCol w:w="607"/>
        <w:gridCol w:w="672"/>
        <w:gridCol w:w="1535"/>
      </w:tblGrid>
      <w:tr w:rsidR="00341D32" w:rsidRPr="009273C7" w14:paraId="205651C2" w14:textId="77777777" w:rsidTr="00341D32">
        <w:tc>
          <w:tcPr>
            <w:tcW w:w="3150" w:type="dxa"/>
            <w:gridSpan w:val="5"/>
            <w:shd w:val="clear" w:color="auto" w:fill="E6E6E6"/>
          </w:tcPr>
          <w:p w14:paraId="51CFC0AF" w14:textId="77777777" w:rsidR="00341D32" w:rsidRPr="009273C7" w:rsidRDefault="00341D32" w:rsidP="0001256C">
            <w:pPr>
              <w:pStyle w:val="Heading7"/>
              <w:jc w:val="both"/>
              <w:rPr>
                <w:szCs w:val="24"/>
              </w:rPr>
            </w:pPr>
            <w:r w:rsidRPr="009273C7">
              <w:rPr>
                <w:szCs w:val="24"/>
              </w:rPr>
              <w:t xml:space="preserve"> FY 201</w:t>
            </w:r>
            <w:r>
              <w:rPr>
                <w:szCs w:val="24"/>
              </w:rPr>
              <w:t>2</w:t>
            </w:r>
            <w:r w:rsidRPr="009273C7">
              <w:rPr>
                <w:szCs w:val="24"/>
              </w:rPr>
              <w:t xml:space="preserve"> Enacted (w/resc./supps)</w:t>
            </w:r>
          </w:p>
        </w:tc>
        <w:tc>
          <w:tcPr>
            <w:tcW w:w="3240" w:type="dxa"/>
            <w:gridSpan w:val="4"/>
            <w:shd w:val="clear" w:color="auto" w:fill="E6E6E6"/>
          </w:tcPr>
          <w:p w14:paraId="2A1FD2F7" w14:textId="77777777" w:rsidR="00341D32" w:rsidRPr="009273C7" w:rsidRDefault="00341D32" w:rsidP="0001256C">
            <w:pPr>
              <w:pStyle w:val="Heading7"/>
              <w:jc w:val="both"/>
              <w:rPr>
                <w:szCs w:val="24"/>
              </w:rPr>
            </w:pPr>
            <w:r w:rsidRPr="009273C7">
              <w:rPr>
                <w:szCs w:val="24"/>
              </w:rPr>
              <w:t>FY 201</w:t>
            </w:r>
            <w:r>
              <w:rPr>
                <w:szCs w:val="24"/>
              </w:rPr>
              <w:t>3</w:t>
            </w:r>
            <w:r w:rsidRPr="009273C7">
              <w:rPr>
                <w:szCs w:val="24"/>
              </w:rPr>
              <w:t xml:space="preserve"> </w:t>
            </w:r>
            <w:r>
              <w:rPr>
                <w:szCs w:val="24"/>
              </w:rPr>
              <w:t>Enacted</w:t>
            </w:r>
          </w:p>
        </w:tc>
        <w:tc>
          <w:tcPr>
            <w:tcW w:w="3404" w:type="dxa"/>
            <w:gridSpan w:val="4"/>
            <w:shd w:val="clear" w:color="auto" w:fill="E6E6E6"/>
          </w:tcPr>
          <w:p w14:paraId="21ED1BF5" w14:textId="77777777" w:rsidR="00341D32" w:rsidRPr="009273C7" w:rsidRDefault="00341D32" w:rsidP="0001256C">
            <w:pPr>
              <w:pStyle w:val="Heading7"/>
              <w:jc w:val="both"/>
              <w:rPr>
                <w:szCs w:val="24"/>
              </w:rPr>
            </w:pPr>
            <w:r w:rsidRPr="009273C7">
              <w:rPr>
                <w:szCs w:val="24"/>
              </w:rPr>
              <w:t>FY 201</w:t>
            </w:r>
            <w:r>
              <w:rPr>
                <w:szCs w:val="24"/>
              </w:rPr>
              <w:t>4</w:t>
            </w:r>
            <w:r w:rsidRPr="009273C7">
              <w:rPr>
                <w:szCs w:val="24"/>
              </w:rPr>
              <w:t xml:space="preserve"> Current Services</w:t>
            </w:r>
          </w:p>
        </w:tc>
      </w:tr>
      <w:tr w:rsidR="00341D32" w:rsidRPr="009273C7" w14:paraId="420C90B7" w14:textId="77777777" w:rsidTr="00341D32">
        <w:tc>
          <w:tcPr>
            <w:tcW w:w="576" w:type="dxa"/>
          </w:tcPr>
          <w:p w14:paraId="2A8B4B75" w14:textId="77777777" w:rsidR="00341D32" w:rsidRPr="009273C7" w:rsidRDefault="00341D32" w:rsidP="0001256C">
            <w:pPr>
              <w:pStyle w:val="xl24"/>
              <w:spacing w:before="0" w:after="0"/>
              <w:jc w:val="both"/>
              <w:rPr>
                <w:szCs w:val="24"/>
                <w:u w:val="none"/>
              </w:rPr>
            </w:pPr>
            <w:r w:rsidRPr="009273C7">
              <w:rPr>
                <w:szCs w:val="24"/>
                <w:u w:val="none"/>
              </w:rPr>
              <w:t>Pos</w:t>
            </w:r>
          </w:p>
        </w:tc>
        <w:tc>
          <w:tcPr>
            <w:tcW w:w="607" w:type="dxa"/>
          </w:tcPr>
          <w:p w14:paraId="3CDA8206" w14:textId="77777777" w:rsidR="00341D32" w:rsidRPr="009273C7" w:rsidRDefault="00341D32" w:rsidP="0001256C">
            <w:pPr>
              <w:pStyle w:val="xl24"/>
              <w:spacing w:before="0" w:after="0"/>
              <w:jc w:val="both"/>
              <w:rPr>
                <w:szCs w:val="24"/>
                <w:u w:val="none"/>
              </w:rPr>
            </w:pPr>
            <w:r w:rsidRPr="009273C7">
              <w:rPr>
                <w:szCs w:val="24"/>
                <w:u w:val="none"/>
              </w:rPr>
              <w:t>agt/</w:t>
            </w:r>
          </w:p>
          <w:p w14:paraId="25BAF4B3" w14:textId="77777777" w:rsidR="00341D32" w:rsidRPr="009273C7" w:rsidRDefault="00341D32" w:rsidP="0001256C">
            <w:pPr>
              <w:pStyle w:val="xl24"/>
              <w:spacing w:before="0" w:after="0"/>
              <w:jc w:val="both"/>
              <w:rPr>
                <w:szCs w:val="24"/>
                <w:u w:val="none"/>
              </w:rPr>
            </w:pPr>
            <w:r w:rsidRPr="009273C7">
              <w:rPr>
                <w:szCs w:val="24"/>
                <w:u w:val="none"/>
              </w:rPr>
              <w:t>atty</w:t>
            </w:r>
          </w:p>
        </w:tc>
        <w:tc>
          <w:tcPr>
            <w:tcW w:w="707" w:type="dxa"/>
            <w:gridSpan w:val="2"/>
          </w:tcPr>
          <w:p w14:paraId="104A4CAC" w14:textId="77777777" w:rsidR="00341D32" w:rsidRPr="009273C7" w:rsidRDefault="00341D32" w:rsidP="0001256C">
            <w:pPr>
              <w:pStyle w:val="xl24"/>
              <w:spacing w:before="0" w:after="0"/>
              <w:jc w:val="both"/>
              <w:rPr>
                <w:szCs w:val="24"/>
                <w:u w:val="none"/>
              </w:rPr>
            </w:pPr>
            <w:r w:rsidRPr="009273C7">
              <w:rPr>
                <w:szCs w:val="24"/>
                <w:u w:val="none"/>
              </w:rPr>
              <w:t>FTE</w:t>
            </w:r>
          </w:p>
        </w:tc>
        <w:tc>
          <w:tcPr>
            <w:tcW w:w="1260" w:type="dxa"/>
          </w:tcPr>
          <w:p w14:paraId="0D6C2D91" w14:textId="77777777" w:rsidR="00341D32" w:rsidRPr="009273C7" w:rsidRDefault="00341D32" w:rsidP="0001256C">
            <w:pPr>
              <w:pStyle w:val="xl24"/>
              <w:spacing w:before="0" w:after="0"/>
              <w:jc w:val="both"/>
              <w:rPr>
                <w:szCs w:val="24"/>
                <w:u w:val="none"/>
              </w:rPr>
            </w:pPr>
            <w:r w:rsidRPr="009273C7">
              <w:rPr>
                <w:szCs w:val="24"/>
                <w:u w:val="none"/>
              </w:rPr>
              <w:t>$(000)</w:t>
            </w:r>
          </w:p>
        </w:tc>
        <w:tc>
          <w:tcPr>
            <w:tcW w:w="603" w:type="dxa"/>
          </w:tcPr>
          <w:p w14:paraId="0A1CC74E" w14:textId="77777777" w:rsidR="00341D32" w:rsidRPr="009273C7" w:rsidRDefault="00341D32" w:rsidP="0001256C">
            <w:pPr>
              <w:pStyle w:val="xl24"/>
              <w:spacing w:before="0" w:after="0"/>
              <w:jc w:val="both"/>
              <w:rPr>
                <w:szCs w:val="24"/>
                <w:u w:val="none"/>
              </w:rPr>
            </w:pPr>
            <w:r w:rsidRPr="009273C7">
              <w:rPr>
                <w:szCs w:val="24"/>
                <w:u w:val="none"/>
              </w:rPr>
              <w:t>Pos</w:t>
            </w:r>
          </w:p>
        </w:tc>
        <w:tc>
          <w:tcPr>
            <w:tcW w:w="607" w:type="dxa"/>
          </w:tcPr>
          <w:p w14:paraId="0D16B496" w14:textId="77777777" w:rsidR="00341D32" w:rsidRPr="009273C7" w:rsidRDefault="00341D32" w:rsidP="0001256C">
            <w:pPr>
              <w:pStyle w:val="xl24"/>
              <w:spacing w:before="0" w:after="0"/>
              <w:jc w:val="both"/>
              <w:rPr>
                <w:szCs w:val="24"/>
                <w:u w:val="none"/>
              </w:rPr>
            </w:pPr>
            <w:r w:rsidRPr="009273C7">
              <w:rPr>
                <w:szCs w:val="24"/>
                <w:u w:val="none"/>
              </w:rPr>
              <w:t>agt/</w:t>
            </w:r>
          </w:p>
          <w:p w14:paraId="3B1A8947" w14:textId="77777777" w:rsidR="00341D32" w:rsidRPr="009273C7" w:rsidRDefault="00341D32" w:rsidP="0001256C">
            <w:pPr>
              <w:pStyle w:val="xl24"/>
              <w:spacing w:before="0" w:after="0"/>
              <w:jc w:val="both"/>
              <w:rPr>
                <w:szCs w:val="24"/>
                <w:u w:val="none"/>
              </w:rPr>
            </w:pPr>
            <w:r w:rsidRPr="009273C7">
              <w:rPr>
                <w:szCs w:val="24"/>
                <w:u w:val="none"/>
              </w:rPr>
              <w:t>atty</w:t>
            </w:r>
          </w:p>
        </w:tc>
        <w:tc>
          <w:tcPr>
            <w:tcW w:w="672" w:type="dxa"/>
          </w:tcPr>
          <w:p w14:paraId="041137C5" w14:textId="77777777" w:rsidR="00341D32" w:rsidRPr="009273C7" w:rsidRDefault="00341D32" w:rsidP="0001256C">
            <w:pPr>
              <w:pStyle w:val="xl24"/>
              <w:spacing w:before="0" w:after="0"/>
              <w:jc w:val="both"/>
              <w:rPr>
                <w:szCs w:val="24"/>
                <w:u w:val="none"/>
              </w:rPr>
            </w:pPr>
            <w:r w:rsidRPr="009273C7">
              <w:rPr>
                <w:szCs w:val="24"/>
                <w:u w:val="none"/>
              </w:rPr>
              <w:t>FTE</w:t>
            </w:r>
          </w:p>
        </w:tc>
        <w:tc>
          <w:tcPr>
            <w:tcW w:w="1358" w:type="dxa"/>
          </w:tcPr>
          <w:p w14:paraId="23954547" w14:textId="77777777" w:rsidR="00341D32" w:rsidRPr="009273C7" w:rsidRDefault="00341D32" w:rsidP="0001256C">
            <w:pPr>
              <w:pStyle w:val="xl24"/>
              <w:spacing w:before="0" w:after="0"/>
              <w:jc w:val="both"/>
              <w:rPr>
                <w:szCs w:val="24"/>
                <w:u w:val="none"/>
              </w:rPr>
            </w:pPr>
            <w:r w:rsidRPr="009273C7">
              <w:rPr>
                <w:szCs w:val="24"/>
                <w:u w:val="none"/>
              </w:rPr>
              <w:t>$(000)</w:t>
            </w:r>
          </w:p>
        </w:tc>
        <w:tc>
          <w:tcPr>
            <w:tcW w:w="590" w:type="dxa"/>
          </w:tcPr>
          <w:p w14:paraId="308F7DED" w14:textId="77777777" w:rsidR="00341D32" w:rsidRPr="009273C7" w:rsidRDefault="00341D32" w:rsidP="0001256C">
            <w:pPr>
              <w:pStyle w:val="xl24"/>
              <w:spacing w:before="0" w:after="0"/>
              <w:jc w:val="both"/>
              <w:rPr>
                <w:szCs w:val="24"/>
                <w:u w:val="none"/>
              </w:rPr>
            </w:pPr>
            <w:r w:rsidRPr="009273C7">
              <w:rPr>
                <w:szCs w:val="24"/>
                <w:u w:val="none"/>
              </w:rPr>
              <w:t>Pos</w:t>
            </w:r>
          </w:p>
        </w:tc>
        <w:tc>
          <w:tcPr>
            <w:tcW w:w="607" w:type="dxa"/>
          </w:tcPr>
          <w:p w14:paraId="0BDEAB5E" w14:textId="77777777" w:rsidR="00341D32" w:rsidRPr="009273C7" w:rsidRDefault="00341D32" w:rsidP="0001256C">
            <w:pPr>
              <w:pStyle w:val="xl24"/>
              <w:spacing w:before="0" w:after="0"/>
              <w:jc w:val="both"/>
              <w:rPr>
                <w:szCs w:val="24"/>
                <w:u w:val="none"/>
              </w:rPr>
            </w:pPr>
            <w:r w:rsidRPr="009273C7">
              <w:rPr>
                <w:szCs w:val="24"/>
                <w:u w:val="none"/>
              </w:rPr>
              <w:t>agt/</w:t>
            </w:r>
          </w:p>
          <w:p w14:paraId="7860E673" w14:textId="77777777" w:rsidR="00341D32" w:rsidRPr="009273C7" w:rsidRDefault="00341D32" w:rsidP="0001256C">
            <w:pPr>
              <w:pStyle w:val="xl24"/>
              <w:spacing w:before="0" w:after="0"/>
              <w:jc w:val="both"/>
              <w:rPr>
                <w:szCs w:val="24"/>
                <w:u w:val="none"/>
              </w:rPr>
            </w:pPr>
            <w:r w:rsidRPr="009273C7">
              <w:rPr>
                <w:szCs w:val="24"/>
                <w:u w:val="none"/>
              </w:rPr>
              <w:t>atty</w:t>
            </w:r>
          </w:p>
        </w:tc>
        <w:tc>
          <w:tcPr>
            <w:tcW w:w="672" w:type="dxa"/>
          </w:tcPr>
          <w:p w14:paraId="3875B78C" w14:textId="77777777" w:rsidR="00341D32" w:rsidRPr="009273C7" w:rsidRDefault="00341D32" w:rsidP="0001256C">
            <w:pPr>
              <w:pStyle w:val="xl24"/>
              <w:spacing w:before="0" w:after="0"/>
              <w:jc w:val="both"/>
              <w:rPr>
                <w:szCs w:val="24"/>
                <w:u w:val="none"/>
              </w:rPr>
            </w:pPr>
            <w:r w:rsidRPr="009273C7">
              <w:rPr>
                <w:szCs w:val="24"/>
                <w:u w:val="none"/>
              </w:rPr>
              <w:t>FTE</w:t>
            </w:r>
          </w:p>
        </w:tc>
        <w:tc>
          <w:tcPr>
            <w:tcW w:w="1535" w:type="dxa"/>
          </w:tcPr>
          <w:p w14:paraId="170F53BF" w14:textId="77777777" w:rsidR="00341D32" w:rsidRPr="009273C7" w:rsidRDefault="00341D32" w:rsidP="0001256C">
            <w:pPr>
              <w:pStyle w:val="xl24"/>
              <w:spacing w:before="0" w:after="0"/>
              <w:jc w:val="both"/>
              <w:rPr>
                <w:szCs w:val="24"/>
                <w:u w:val="none"/>
              </w:rPr>
            </w:pPr>
            <w:r w:rsidRPr="009273C7">
              <w:rPr>
                <w:szCs w:val="24"/>
                <w:u w:val="none"/>
              </w:rPr>
              <w:t>$(000)</w:t>
            </w:r>
          </w:p>
        </w:tc>
      </w:tr>
      <w:tr w:rsidR="00341D32" w:rsidRPr="009273C7" w14:paraId="0585C95C" w14:textId="77777777" w:rsidTr="00341D32">
        <w:tc>
          <w:tcPr>
            <w:tcW w:w="576" w:type="dxa"/>
          </w:tcPr>
          <w:p w14:paraId="77189D82" w14:textId="77777777" w:rsidR="00341D32" w:rsidRPr="009273C7" w:rsidRDefault="00341D32" w:rsidP="0001256C">
            <w:pPr>
              <w:pStyle w:val="xl24"/>
              <w:spacing w:before="0" w:after="0"/>
              <w:jc w:val="both"/>
              <w:rPr>
                <w:szCs w:val="24"/>
              </w:rPr>
            </w:pPr>
            <w:r>
              <w:rPr>
                <w:szCs w:val="24"/>
              </w:rPr>
              <w:t>0</w:t>
            </w:r>
          </w:p>
        </w:tc>
        <w:tc>
          <w:tcPr>
            <w:tcW w:w="607" w:type="dxa"/>
          </w:tcPr>
          <w:p w14:paraId="065F8D0D" w14:textId="77777777" w:rsidR="00341D32" w:rsidRPr="009273C7" w:rsidRDefault="00341D32" w:rsidP="0001256C">
            <w:pPr>
              <w:pStyle w:val="xl24"/>
              <w:spacing w:before="0" w:after="0"/>
              <w:jc w:val="both"/>
              <w:rPr>
                <w:szCs w:val="24"/>
              </w:rPr>
            </w:pPr>
            <w:r>
              <w:rPr>
                <w:szCs w:val="24"/>
              </w:rPr>
              <w:t>0</w:t>
            </w:r>
          </w:p>
        </w:tc>
        <w:tc>
          <w:tcPr>
            <w:tcW w:w="617" w:type="dxa"/>
          </w:tcPr>
          <w:p w14:paraId="1AB2D2EA" w14:textId="77777777" w:rsidR="00341D32" w:rsidRPr="009273C7" w:rsidRDefault="00341D32" w:rsidP="0001256C">
            <w:pPr>
              <w:pStyle w:val="xl24"/>
              <w:spacing w:before="0" w:after="0"/>
              <w:jc w:val="both"/>
              <w:rPr>
                <w:szCs w:val="24"/>
              </w:rPr>
            </w:pPr>
            <w:r>
              <w:rPr>
                <w:szCs w:val="24"/>
              </w:rPr>
              <w:t>0</w:t>
            </w:r>
          </w:p>
        </w:tc>
        <w:tc>
          <w:tcPr>
            <w:tcW w:w="1350" w:type="dxa"/>
            <w:gridSpan w:val="2"/>
          </w:tcPr>
          <w:p w14:paraId="59520E68" w14:textId="77777777" w:rsidR="00341D32" w:rsidRPr="009273C7" w:rsidRDefault="00341D32" w:rsidP="0001256C">
            <w:pPr>
              <w:pStyle w:val="xl24"/>
              <w:spacing w:before="0" w:after="0"/>
              <w:jc w:val="both"/>
              <w:rPr>
                <w:szCs w:val="24"/>
              </w:rPr>
            </w:pPr>
            <w:r>
              <w:rPr>
                <w:szCs w:val="24"/>
              </w:rPr>
              <w:t>0</w:t>
            </w:r>
          </w:p>
        </w:tc>
        <w:tc>
          <w:tcPr>
            <w:tcW w:w="603" w:type="dxa"/>
          </w:tcPr>
          <w:p w14:paraId="3BFF9CD9" w14:textId="77777777" w:rsidR="00341D32" w:rsidRPr="009273C7" w:rsidRDefault="00341D32" w:rsidP="0001256C">
            <w:pPr>
              <w:pStyle w:val="xl24"/>
              <w:spacing w:before="0" w:after="0"/>
              <w:jc w:val="both"/>
              <w:rPr>
                <w:szCs w:val="24"/>
              </w:rPr>
            </w:pPr>
            <w:r>
              <w:rPr>
                <w:szCs w:val="24"/>
              </w:rPr>
              <w:t>0</w:t>
            </w:r>
          </w:p>
        </w:tc>
        <w:tc>
          <w:tcPr>
            <w:tcW w:w="607" w:type="dxa"/>
          </w:tcPr>
          <w:p w14:paraId="58310E57" w14:textId="77777777" w:rsidR="00341D32" w:rsidRPr="009273C7" w:rsidRDefault="00341D32" w:rsidP="0001256C">
            <w:pPr>
              <w:pStyle w:val="xl24"/>
              <w:spacing w:before="0" w:after="0"/>
              <w:jc w:val="both"/>
              <w:rPr>
                <w:szCs w:val="24"/>
              </w:rPr>
            </w:pPr>
            <w:r>
              <w:rPr>
                <w:szCs w:val="24"/>
              </w:rPr>
              <w:t>0</w:t>
            </w:r>
          </w:p>
        </w:tc>
        <w:tc>
          <w:tcPr>
            <w:tcW w:w="672" w:type="dxa"/>
          </w:tcPr>
          <w:p w14:paraId="6D0013D1" w14:textId="77777777" w:rsidR="00341D32" w:rsidRPr="009273C7" w:rsidRDefault="00341D32" w:rsidP="0001256C">
            <w:pPr>
              <w:pStyle w:val="xl24"/>
              <w:spacing w:before="0" w:after="0"/>
              <w:jc w:val="both"/>
              <w:rPr>
                <w:szCs w:val="24"/>
              </w:rPr>
            </w:pPr>
            <w:r>
              <w:rPr>
                <w:szCs w:val="24"/>
              </w:rPr>
              <w:t>0</w:t>
            </w:r>
          </w:p>
        </w:tc>
        <w:tc>
          <w:tcPr>
            <w:tcW w:w="1358" w:type="dxa"/>
          </w:tcPr>
          <w:p w14:paraId="37052E90" w14:textId="77777777" w:rsidR="00341D32" w:rsidRPr="009273C7" w:rsidRDefault="00341D32" w:rsidP="0001256C">
            <w:pPr>
              <w:pStyle w:val="xl24"/>
              <w:spacing w:before="0" w:after="0"/>
              <w:jc w:val="both"/>
              <w:rPr>
                <w:szCs w:val="24"/>
              </w:rPr>
            </w:pPr>
            <w:r>
              <w:rPr>
                <w:szCs w:val="24"/>
              </w:rPr>
              <w:t>0</w:t>
            </w:r>
          </w:p>
        </w:tc>
        <w:tc>
          <w:tcPr>
            <w:tcW w:w="590" w:type="dxa"/>
          </w:tcPr>
          <w:p w14:paraId="5CD82B0B" w14:textId="77777777" w:rsidR="00341D32" w:rsidRPr="009273C7" w:rsidRDefault="00341D32" w:rsidP="0001256C">
            <w:pPr>
              <w:pStyle w:val="xl24"/>
              <w:spacing w:before="0" w:after="0"/>
              <w:jc w:val="both"/>
              <w:rPr>
                <w:szCs w:val="24"/>
              </w:rPr>
            </w:pPr>
            <w:r>
              <w:rPr>
                <w:szCs w:val="24"/>
              </w:rPr>
              <w:t>0</w:t>
            </w:r>
          </w:p>
        </w:tc>
        <w:tc>
          <w:tcPr>
            <w:tcW w:w="607" w:type="dxa"/>
          </w:tcPr>
          <w:p w14:paraId="6BF831F1" w14:textId="77777777" w:rsidR="00341D32" w:rsidRPr="009273C7" w:rsidRDefault="00341D32" w:rsidP="0001256C">
            <w:pPr>
              <w:pStyle w:val="xl24"/>
              <w:spacing w:before="0" w:after="0"/>
              <w:jc w:val="both"/>
              <w:rPr>
                <w:szCs w:val="24"/>
              </w:rPr>
            </w:pPr>
            <w:r>
              <w:rPr>
                <w:szCs w:val="24"/>
              </w:rPr>
              <w:t>0</w:t>
            </w:r>
          </w:p>
        </w:tc>
        <w:tc>
          <w:tcPr>
            <w:tcW w:w="672" w:type="dxa"/>
          </w:tcPr>
          <w:p w14:paraId="2BA0C870" w14:textId="77777777" w:rsidR="00341D32" w:rsidRPr="009273C7" w:rsidRDefault="00341D32" w:rsidP="0001256C">
            <w:pPr>
              <w:pStyle w:val="xl24"/>
              <w:spacing w:before="0" w:after="0"/>
              <w:jc w:val="both"/>
              <w:rPr>
                <w:szCs w:val="24"/>
              </w:rPr>
            </w:pPr>
            <w:r>
              <w:rPr>
                <w:szCs w:val="24"/>
              </w:rPr>
              <w:t>0</w:t>
            </w:r>
          </w:p>
        </w:tc>
        <w:tc>
          <w:tcPr>
            <w:tcW w:w="1535" w:type="dxa"/>
          </w:tcPr>
          <w:p w14:paraId="52363B17" w14:textId="77777777" w:rsidR="00341D32" w:rsidRPr="009273C7" w:rsidRDefault="003E4CEA" w:rsidP="0001256C">
            <w:pPr>
              <w:pStyle w:val="xl24"/>
              <w:spacing w:before="0" w:after="0"/>
              <w:jc w:val="both"/>
              <w:rPr>
                <w:szCs w:val="24"/>
              </w:rPr>
            </w:pPr>
            <w:r>
              <w:rPr>
                <w:szCs w:val="24"/>
              </w:rPr>
              <w:t>0</w:t>
            </w:r>
          </w:p>
        </w:tc>
      </w:tr>
    </w:tbl>
    <w:p w14:paraId="788A8664" w14:textId="77777777" w:rsidR="00341D32" w:rsidRPr="009273C7" w:rsidRDefault="00341D32" w:rsidP="0001256C">
      <w:pPr>
        <w:pStyle w:val="xl24"/>
        <w:spacing w:before="0" w:after="0"/>
        <w:jc w:val="both"/>
        <w:rPr>
          <w:szCs w:val="24"/>
        </w:rPr>
      </w:pPr>
    </w:p>
    <w:p w14:paraId="75529E77" w14:textId="77777777" w:rsidR="00341D32" w:rsidRPr="009273C7" w:rsidRDefault="00341D32" w:rsidP="0001256C">
      <w:pPr>
        <w:pStyle w:val="BodyText"/>
        <w:jc w:val="both"/>
        <w:rPr>
          <w:szCs w:val="24"/>
        </w:rPr>
      </w:pPr>
      <w:r w:rsidRPr="009273C7">
        <w:rPr>
          <w:szCs w:val="24"/>
          <w:u w:val="single"/>
        </w:rPr>
        <w:t xml:space="preserve">Personnel </w:t>
      </w:r>
      <w:r>
        <w:rPr>
          <w:szCs w:val="24"/>
          <w:u w:val="single"/>
        </w:rPr>
        <w:t>De</w:t>
      </w:r>
      <w:r w:rsidRPr="009273C7">
        <w:rPr>
          <w:szCs w:val="24"/>
          <w:u w:val="single"/>
        </w:rPr>
        <w:t>crease Cost Summary</w:t>
      </w:r>
    </w:p>
    <w:p w14:paraId="7D962A0C" w14:textId="77777777" w:rsidR="00341D32" w:rsidRPr="009273C7" w:rsidRDefault="00341D32" w:rsidP="0001256C">
      <w:pPr>
        <w:pStyle w:val="BodyText"/>
        <w:jc w:val="both"/>
        <w:rPr>
          <w:szCs w:val="24"/>
        </w:rPr>
      </w:pPr>
      <w:r w:rsidRPr="009273C7">
        <w:rPr>
          <w:szCs w:val="24"/>
        </w:rPr>
        <w:t>Not Applicable.</w:t>
      </w:r>
    </w:p>
    <w:p w14:paraId="04D80114" w14:textId="77777777" w:rsidR="00341D32" w:rsidRPr="009273C7" w:rsidRDefault="00341D32" w:rsidP="0001256C">
      <w:pPr>
        <w:jc w:val="both"/>
      </w:pPr>
    </w:p>
    <w:p w14:paraId="6DAE1356" w14:textId="77777777" w:rsidR="00341D32" w:rsidRPr="009273C7" w:rsidRDefault="00341D32" w:rsidP="0001256C">
      <w:pPr>
        <w:pStyle w:val="xl24"/>
        <w:spacing w:before="0" w:after="0"/>
        <w:jc w:val="both"/>
        <w:rPr>
          <w:szCs w:val="24"/>
        </w:rPr>
      </w:pPr>
      <w:r w:rsidRPr="009273C7">
        <w:rPr>
          <w:szCs w:val="24"/>
        </w:rPr>
        <w:t xml:space="preserve">Non-Personnel </w:t>
      </w:r>
      <w:r>
        <w:rPr>
          <w:szCs w:val="24"/>
        </w:rPr>
        <w:t>De</w:t>
      </w:r>
      <w:r w:rsidRPr="009273C7">
        <w:rPr>
          <w:szCs w:val="24"/>
        </w:rPr>
        <w:t>crease Cost Summary</w:t>
      </w:r>
    </w:p>
    <w:p w14:paraId="4A28B77D" w14:textId="77777777" w:rsidR="00341D32" w:rsidRPr="009273C7" w:rsidRDefault="00341D32" w:rsidP="0001256C">
      <w:pPr>
        <w:pStyle w:val="xl24"/>
        <w:spacing w:before="0" w:after="0"/>
        <w:jc w:val="both"/>
        <w:rPr>
          <w:szCs w:val="24"/>
          <w:u w:val="none"/>
        </w:rPr>
      </w:pPr>
      <w:r w:rsidRPr="009273C7">
        <w:rPr>
          <w:szCs w:val="24"/>
          <w:u w:val="none"/>
        </w:rPr>
        <w:t>Not Applicable.</w:t>
      </w:r>
    </w:p>
    <w:p w14:paraId="171409F5" w14:textId="77777777" w:rsidR="00341D32" w:rsidRDefault="00341D32" w:rsidP="0001256C">
      <w:pPr>
        <w:pStyle w:val="xl24"/>
        <w:spacing w:before="0" w:after="0"/>
        <w:jc w:val="both"/>
        <w:rPr>
          <w:szCs w:val="24"/>
        </w:rPr>
      </w:pPr>
    </w:p>
    <w:p w14:paraId="76CEC3C8" w14:textId="77777777" w:rsidR="00341D32" w:rsidRPr="009273C7" w:rsidRDefault="00341D32" w:rsidP="0001256C">
      <w:pPr>
        <w:pStyle w:val="xl24"/>
        <w:spacing w:before="0" w:after="0"/>
        <w:jc w:val="both"/>
        <w:rPr>
          <w:szCs w:val="24"/>
        </w:rPr>
      </w:pPr>
      <w:r w:rsidRPr="009273C7">
        <w:rPr>
          <w:szCs w:val="24"/>
        </w:rPr>
        <w:t>Total Request for this Item</w:t>
      </w:r>
    </w:p>
    <w:p w14:paraId="7539D04E" w14:textId="77777777" w:rsidR="00341D32" w:rsidRPr="009273C7" w:rsidRDefault="00341D32" w:rsidP="0001256C">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77"/>
        <w:gridCol w:w="875"/>
        <w:gridCol w:w="1070"/>
        <w:gridCol w:w="849"/>
        <w:gridCol w:w="1528"/>
        <w:gridCol w:w="1422"/>
        <w:gridCol w:w="2017"/>
      </w:tblGrid>
      <w:tr w:rsidR="00341D32" w:rsidRPr="009273C7" w14:paraId="594A30B6" w14:textId="77777777" w:rsidTr="00341D32">
        <w:trPr>
          <w:trHeight w:val="658"/>
        </w:trPr>
        <w:tc>
          <w:tcPr>
            <w:tcW w:w="1677" w:type="dxa"/>
            <w:shd w:val="clear" w:color="auto" w:fill="E6E6E6"/>
          </w:tcPr>
          <w:p w14:paraId="45F93BE5" w14:textId="77777777" w:rsidR="00341D32" w:rsidRPr="009273C7" w:rsidRDefault="00341D32" w:rsidP="0001256C">
            <w:pPr>
              <w:jc w:val="both"/>
            </w:pPr>
          </w:p>
          <w:p w14:paraId="057B87E7" w14:textId="77777777" w:rsidR="00341D32" w:rsidRPr="009273C7" w:rsidRDefault="00341D32" w:rsidP="0001256C">
            <w:pPr>
              <w:jc w:val="both"/>
            </w:pPr>
          </w:p>
        </w:tc>
        <w:tc>
          <w:tcPr>
            <w:tcW w:w="875" w:type="dxa"/>
            <w:vAlign w:val="center"/>
          </w:tcPr>
          <w:p w14:paraId="6F1955DF" w14:textId="77777777" w:rsidR="00341D32" w:rsidRPr="009273C7" w:rsidRDefault="00341D32" w:rsidP="0001256C">
            <w:pPr>
              <w:jc w:val="both"/>
            </w:pPr>
            <w:r w:rsidRPr="009273C7">
              <w:t>Pos</w:t>
            </w:r>
          </w:p>
        </w:tc>
        <w:tc>
          <w:tcPr>
            <w:tcW w:w="946" w:type="dxa"/>
            <w:vAlign w:val="center"/>
          </w:tcPr>
          <w:p w14:paraId="3A004B9E" w14:textId="77777777" w:rsidR="00341D32" w:rsidRPr="009273C7" w:rsidRDefault="00341D32" w:rsidP="0001256C">
            <w:pPr>
              <w:jc w:val="both"/>
            </w:pPr>
          </w:p>
          <w:p w14:paraId="3861ACC3" w14:textId="77777777" w:rsidR="00341D32" w:rsidRPr="009273C7" w:rsidRDefault="00341D32" w:rsidP="0001256C">
            <w:pPr>
              <w:jc w:val="both"/>
            </w:pPr>
            <w:r w:rsidRPr="009273C7">
              <w:t>Agt/Atty</w:t>
            </w:r>
          </w:p>
          <w:p w14:paraId="162D8FCE" w14:textId="77777777" w:rsidR="00341D32" w:rsidRPr="009273C7" w:rsidRDefault="00341D32" w:rsidP="0001256C">
            <w:pPr>
              <w:jc w:val="both"/>
            </w:pPr>
          </w:p>
        </w:tc>
        <w:tc>
          <w:tcPr>
            <w:tcW w:w="849" w:type="dxa"/>
            <w:vAlign w:val="center"/>
          </w:tcPr>
          <w:p w14:paraId="6CF298F1" w14:textId="77777777" w:rsidR="00341D32" w:rsidRPr="009273C7" w:rsidRDefault="00341D32" w:rsidP="0001256C">
            <w:pPr>
              <w:jc w:val="both"/>
            </w:pPr>
            <w:r w:rsidRPr="009273C7">
              <w:t>FTE</w:t>
            </w:r>
          </w:p>
        </w:tc>
        <w:tc>
          <w:tcPr>
            <w:tcW w:w="1528" w:type="dxa"/>
            <w:vAlign w:val="center"/>
          </w:tcPr>
          <w:p w14:paraId="31E23DDA" w14:textId="77777777" w:rsidR="00341D32" w:rsidRPr="009273C7" w:rsidRDefault="00341D32" w:rsidP="0001256C">
            <w:pPr>
              <w:jc w:val="both"/>
            </w:pPr>
            <w:r w:rsidRPr="009273C7">
              <w:t>Personnel</w:t>
            </w:r>
          </w:p>
          <w:p w14:paraId="4F6BA80A" w14:textId="77777777" w:rsidR="00341D32" w:rsidRPr="009273C7" w:rsidRDefault="00341D32" w:rsidP="0001256C">
            <w:pPr>
              <w:jc w:val="both"/>
            </w:pPr>
            <w:r w:rsidRPr="009273C7">
              <w:t>($000)</w:t>
            </w:r>
          </w:p>
        </w:tc>
        <w:tc>
          <w:tcPr>
            <w:tcW w:w="1422" w:type="dxa"/>
            <w:vAlign w:val="center"/>
          </w:tcPr>
          <w:p w14:paraId="701A6B49" w14:textId="77777777" w:rsidR="00341D32" w:rsidRPr="009273C7" w:rsidRDefault="00341D32" w:rsidP="0001256C">
            <w:pPr>
              <w:jc w:val="both"/>
            </w:pPr>
            <w:r w:rsidRPr="009273C7">
              <w:t>Non-Personnel</w:t>
            </w:r>
          </w:p>
          <w:p w14:paraId="4092BFB0" w14:textId="77777777" w:rsidR="00341D32" w:rsidRPr="009273C7" w:rsidRDefault="00341D32" w:rsidP="0001256C">
            <w:pPr>
              <w:jc w:val="both"/>
            </w:pPr>
            <w:r w:rsidRPr="009273C7">
              <w:t>($000)</w:t>
            </w:r>
          </w:p>
        </w:tc>
        <w:tc>
          <w:tcPr>
            <w:tcW w:w="2017" w:type="dxa"/>
            <w:vAlign w:val="center"/>
          </w:tcPr>
          <w:p w14:paraId="58D099A1" w14:textId="77777777" w:rsidR="00341D32" w:rsidRPr="009273C7" w:rsidRDefault="00341D32" w:rsidP="0001256C">
            <w:pPr>
              <w:jc w:val="both"/>
            </w:pPr>
            <w:r w:rsidRPr="009273C7">
              <w:t>Total</w:t>
            </w:r>
          </w:p>
          <w:p w14:paraId="55A29565" w14:textId="77777777" w:rsidR="00341D32" w:rsidRPr="009273C7" w:rsidRDefault="00341D32" w:rsidP="0001256C">
            <w:pPr>
              <w:jc w:val="both"/>
            </w:pPr>
            <w:r w:rsidRPr="009273C7">
              <w:t>($000)</w:t>
            </w:r>
          </w:p>
        </w:tc>
      </w:tr>
      <w:tr w:rsidR="00341D32" w:rsidRPr="009273C7" w14:paraId="3B11F325" w14:textId="77777777" w:rsidTr="00341D32">
        <w:trPr>
          <w:trHeight w:val="215"/>
        </w:trPr>
        <w:tc>
          <w:tcPr>
            <w:tcW w:w="1677" w:type="dxa"/>
          </w:tcPr>
          <w:p w14:paraId="0E3B9AF9" w14:textId="77777777" w:rsidR="00341D32" w:rsidRPr="009273C7" w:rsidRDefault="00341D32" w:rsidP="0001256C">
            <w:pPr>
              <w:jc w:val="both"/>
            </w:pPr>
            <w:r w:rsidRPr="009273C7">
              <w:t>Current Services</w:t>
            </w:r>
          </w:p>
        </w:tc>
        <w:tc>
          <w:tcPr>
            <w:tcW w:w="875" w:type="dxa"/>
            <w:vAlign w:val="center"/>
          </w:tcPr>
          <w:p w14:paraId="1FB508AB" w14:textId="77777777" w:rsidR="00341D32" w:rsidRPr="009273C7" w:rsidRDefault="00341D32" w:rsidP="0001256C">
            <w:pPr>
              <w:jc w:val="both"/>
            </w:pPr>
            <w:r>
              <w:t>0</w:t>
            </w:r>
          </w:p>
        </w:tc>
        <w:tc>
          <w:tcPr>
            <w:tcW w:w="946" w:type="dxa"/>
            <w:vAlign w:val="center"/>
          </w:tcPr>
          <w:p w14:paraId="7F1A4329" w14:textId="77777777" w:rsidR="00341D32" w:rsidRPr="009273C7" w:rsidRDefault="00341D32" w:rsidP="0001256C">
            <w:pPr>
              <w:jc w:val="both"/>
            </w:pPr>
            <w:r>
              <w:t>0</w:t>
            </w:r>
          </w:p>
        </w:tc>
        <w:tc>
          <w:tcPr>
            <w:tcW w:w="849" w:type="dxa"/>
            <w:vAlign w:val="center"/>
          </w:tcPr>
          <w:p w14:paraId="2D8F8132" w14:textId="77777777" w:rsidR="00341D32" w:rsidRPr="009273C7" w:rsidRDefault="00341D32" w:rsidP="0001256C">
            <w:pPr>
              <w:jc w:val="both"/>
            </w:pPr>
            <w:r>
              <w:t>0</w:t>
            </w:r>
          </w:p>
        </w:tc>
        <w:tc>
          <w:tcPr>
            <w:tcW w:w="1528" w:type="dxa"/>
            <w:vAlign w:val="center"/>
          </w:tcPr>
          <w:p w14:paraId="755C1408" w14:textId="77777777" w:rsidR="00341D32" w:rsidRPr="009273C7" w:rsidRDefault="00341D32" w:rsidP="0001256C">
            <w:pPr>
              <w:jc w:val="both"/>
            </w:pPr>
            <w:r>
              <w:t>0</w:t>
            </w:r>
          </w:p>
        </w:tc>
        <w:tc>
          <w:tcPr>
            <w:tcW w:w="1422" w:type="dxa"/>
            <w:vAlign w:val="center"/>
          </w:tcPr>
          <w:p w14:paraId="687971F0" w14:textId="77777777" w:rsidR="00341D32" w:rsidRPr="009273C7" w:rsidRDefault="00341D32" w:rsidP="0001256C">
            <w:pPr>
              <w:jc w:val="both"/>
            </w:pPr>
            <w:r>
              <w:t>0</w:t>
            </w:r>
          </w:p>
        </w:tc>
        <w:tc>
          <w:tcPr>
            <w:tcW w:w="2017" w:type="dxa"/>
            <w:vAlign w:val="center"/>
          </w:tcPr>
          <w:p w14:paraId="1614E7EC" w14:textId="77777777" w:rsidR="00341D32" w:rsidRPr="001A1887" w:rsidRDefault="003E4CEA" w:rsidP="0001256C">
            <w:pPr>
              <w:jc w:val="both"/>
            </w:pPr>
            <w:r>
              <w:t>0</w:t>
            </w:r>
          </w:p>
        </w:tc>
      </w:tr>
      <w:tr w:rsidR="00341D32" w:rsidRPr="009273C7" w14:paraId="760554EB" w14:textId="77777777" w:rsidTr="00341D32">
        <w:trPr>
          <w:trHeight w:val="215"/>
        </w:trPr>
        <w:tc>
          <w:tcPr>
            <w:tcW w:w="1677" w:type="dxa"/>
          </w:tcPr>
          <w:p w14:paraId="3AA9A4F0" w14:textId="77777777" w:rsidR="00341D32" w:rsidRPr="009273C7" w:rsidRDefault="00DC4097" w:rsidP="0001256C">
            <w:pPr>
              <w:jc w:val="both"/>
            </w:pPr>
            <w:r>
              <w:t>Increases</w:t>
            </w:r>
          </w:p>
        </w:tc>
        <w:tc>
          <w:tcPr>
            <w:tcW w:w="875" w:type="dxa"/>
            <w:vAlign w:val="center"/>
          </w:tcPr>
          <w:p w14:paraId="19296481" w14:textId="77777777" w:rsidR="00341D32" w:rsidRPr="009273C7" w:rsidRDefault="00341D32" w:rsidP="0001256C">
            <w:pPr>
              <w:jc w:val="both"/>
            </w:pPr>
            <w:r>
              <w:t>0</w:t>
            </w:r>
          </w:p>
        </w:tc>
        <w:tc>
          <w:tcPr>
            <w:tcW w:w="946" w:type="dxa"/>
          </w:tcPr>
          <w:p w14:paraId="6401701E" w14:textId="77777777" w:rsidR="00341D32" w:rsidRPr="009273C7" w:rsidRDefault="00341D32" w:rsidP="0001256C">
            <w:pPr>
              <w:jc w:val="both"/>
            </w:pPr>
            <w:r>
              <w:t>0</w:t>
            </w:r>
          </w:p>
        </w:tc>
        <w:tc>
          <w:tcPr>
            <w:tcW w:w="849" w:type="dxa"/>
          </w:tcPr>
          <w:p w14:paraId="26372523" w14:textId="77777777" w:rsidR="00341D32" w:rsidRPr="009273C7" w:rsidRDefault="00341D32" w:rsidP="0001256C">
            <w:pPr>
              <w:jc w:val="both"/>
            </w:pPr>
            <w:r>
              <w:t>0</w:t>
            </w:r>
          </w:p>
        </w:tc>
        <w:tc>
          <w:tcPr>
            <w:tcW w:w="1528" w:type="dxa"/>
          </w:tcPr>
          <w:p w14:paraId="2C987B52" w14:textId="77777777" w:rsidR="00341D32" w:rsidRPr="009273C7" w:rsidRDefault="00341D32" w:rsidP="0001256C">
            <w:pPr>
              <w:jc w:val="both"/>
            </w:pPr>
            <w:r>
              <w:t>0</w:t>
            </w:r>
          </w:p>
        </w:tc>
        <w:tc>
          <w:tcPr>
            <w:tcW w:w="1422" w:type="dxa"/>
            <w:vAlign w:val="center"/>
          </w:tcPr>
          <w:p w14:paraId="70BFB6D4" w14:textId="77777777" w:rsidR="00341D32" w:rsidRPr="000319B8" w:rsidRDefault="00341D32" w:rsidP="0001256C">
            <w:pPr>
              <w:jc w:val="both"/>
            </w:pPr>
            <w:r>
              <w:t>0</w:t>
            </w:r>
          </w:p>
        </w:tc>
        <w:tc>
          <w:tcPr>
            <w:tcW w:w="2017" w:type="dxa"/>
            <w:vAlign w:val="center"/>
          </w:tcPr>
          <w:p w14:paraId="05D5CC25" w14:textId="77777777" w:rsidR="00341D32" w:rsidRPr="009273C7" w:rsidRDefault="003E4CEA" w:rsidP="0001256C">
            <w:pPr>
              <w:jc w:val="both"/>
            </w:pPr>
            <w:r>
              <w:t>150,000</w:t>
            </w:r>
          </w:p>
        </w:tc>
      </w:tr>
      <w:tr w:rsidR="00341D32" w:rsidRPr="009273C7" w14:paraId="15F6CA93" w14:textId="77777777" w:rsidTr="00341D32">
        <w:trPr>
          <w:trHeight w:val="107"/>
        </w:trPr>
        <w:tc>
          <w:tcPr>
            <w:tcW w:w="1677" w:type="dxa"/>
          </w:tcPr>
          <w:p w14:paraId="4597C564" w14:textId="77777777" w:rsidR="00341D32" w:rsidRPr="009273C7" w:rsidRDefault="00341D32" w:rsidP="0001256C">
            <w:pPr>
              <w:jc w:val="both"/>
            </w:pPr>
            <w:r w:rsidRPr="009273C7">
              <w:t>Grand Total</w:t>
            </w:r>
          </w:p>
        </w:tc>
        <w:tc>
          <w:tcPr>
            <w:tcW w:w="875" w:type="dxa"/>
            <w:vAlign w:val="center"/>
          </w:tcPr>
          <w:p w14:paraId="6A7C5748" w14:textId="77777777" w:rsidR="00341D32" w:rsidRPr="009273C7" w:rsidRDefault="00341D32" w:rsidP="0001256C">
            <w:pPr>
              <w:jc w:val="both"/>
            </w:pPr>
            <w:r>
              <w:t>0</w:t>
            </w:r>
          </w:p>
        </w:tc>
        <w:tc>
          <w:tcPr>
            <w:tcW w:w="946" w:type="dxa"/>
          </w:tcPr>
          <w:p w14:paraId="3F2D49B6" w14:textId="77777777" w:rsidR="00341D32" w:rsidRPr="009273C7" w:rsidRDefault="00341D32" w:rsidP="0001256C">
            <w:pPr>
              <w:jc w:val="both"/>
            </w:pPr>
            <w:r>
              <w:t>0</w:t>
            </w:r>
          </w:p>
        </w:tc>
        <w:tc>
          <w:tcPr>
            <w:tcW w:w="849" w:type="dxa"/>
          </w:tcPr>
          <w:p w14:paraId="47719BD1" w14:textId="77777777" w:rsidR="00341D32" w:rsidRPr="009273C7" w:rsidRDefault="00341D32" w:rsidP="0001256C">
            <w:pPr>
              <w:jc w:val="both"/>
            </w:pPr>
            <w:r>
              <w:t>0</w:t>
            </w:r>
          </w:p>
        </w:tc>
        <w:tc>
          <w:tcPr>
            <w:tcW w:w="1528" w:type="dxa"/>
          </w:tcPr>
          <w:p w14:paraId="6C736C73" w14:textId="77777777" w:rsidR="00341D32" w:rsidRPr="009273C7" w:rsidRDefault="00341D32" w:rsidP="0001256C">
            <w:pPr>
              <w:jc w:val="both"/>
            </w:pPr>
            <w:r>
              <w:t>0</w:t>
            </w:r>
          </w:p>
        </w:tc>
        <w:tc>
          <w:tcPr>
            <w:tcW w:w="1422" w:type="dxa"/>
            <w:vAlign w:val="center"/>
          </w:tcPr>
          <w:p w14:paraId="23147B94" w14:textId="77777777" w:rsidR="00341D32" w:rsidRPr="009273C7" w:rsidRDefault="00341D32" w:rsidP="0001256C">
            <w:pPr>
              <w:jc w:val="both"/>
            </w:pPr>
            <w:r>
              <w:t>0</w:t>
            </w:r>
          </w:p>
        </w:tc>
        <w:tc>
          <w:tcPr>
            <w:tcW w:w="2017" w:type="dxa"/>
            <w:vAlign w:val="center"/>
          </w:tcPr>
          <w:p w14:paraId="63D5A3B9" w14:textId="77777777" w:rsidR="00341D32" w:rsidRPr="009273C7" w:rsidRDefault="00341D32" w:rsidP="0001256C">
            <w:pPr>
              <w:jc w:val="both"/>
            </w:pPr>
            <w:r>
              <w:t>150,000</w:t>
            </w:r>
          </w:p>
        </w:tc>
      </w:tr>
    </w:tbl>
    <w:p w14:paraId="37C61F20" w14:textId="77777777" w:rsidR="00341D32" w:rsidRPr="00B57F8A" w:rsidRDefault="00341D32" w:rsidP="0001256C">
      <w:pPr>
        <w:pStyle w:val="BodyText"/>
        <w:ind w:left="360"/>
        <w:jc w:val="both"/>
        <w:rPr>
          <w:b/>
          <w:szCs w:val="24"/>
        </w:rPr>
      </w:pPr>
    </w:p>
    <w:p w14:paraId="46A4F188" w14:textId="77777777" w:rsidR="00A841DA" w:rsidRPr="009273C7" w:rsidRDefault="003E4CEA" w:rsidP="0001256C">
      <w:pPr>
        <w:pStyle w:val="xl19"/>
        <w:tabs>
          <w:tab w:val="left" w:pos="3420"/>
          <w:tab w:val="right" w:pos="8640"/>
        </w:tabs>
        <w:spacing w:before="0" w:after="0"/>
        <w:jc w:val="both"/>
        <w:rPr>
          <w:b/>
          <w:szCs w:val="24"/>
        </w:rPr>
      </w:pPr>
      <w:r>
        <w:rPr>
          <w:b/>
          <w:szCs w:val="24"/>
        </w:rPr>
        <w:t>B</w:t>
      </w:r>
      <w:r w:rsidR="00A841DA" w:rsidRPr="009273C7">
        <w:rPr>
          <w:b/>
          <w:szCs w:val="24"/>
        </w:rPr>
        <w:t xml:space="preserve">. Item Name: </w:t>
      </w:r>
      <w:r w:rsidR="00A841DA" w:rsidRPr="009273C7">
        <w:rPr>
          <w:b/>
          <w:szCs w:val="24"/>
        </w:rPr>
        <w:tab/>
      </w:r>
      <w:r>
        <w:rPr>
          <w:b/>
          <w:szCs w:val="24"/>
        </w:rPr>
        <w:t>COPS Hiring Program</w:t>
      </w:r>
    </w:p>
    <w:p w14:paraId="40D2BF41" w14:textId="77777777" w:rsidR="00A841DA" w:rsidRPr="009273C7" w:rsidRDefault="00A841DA" w:rsidP="0001256C">
      <w:pPr>
        <w:pStyle w:val="xl19"/>
        <w:tabs>
          <w:tab w:val="left" w:pos="3420"/>
          <w:tab w:val="right" w:pos="8640"/>
        </w:tabs>
        <w:spacing w:before="0" w:after="0"/>
        <w:jc w:val="both"/>
        <w:rPr>
          <w:szCs w:val="24"/>
        </w:rPr>
      </w:pPr>
    </w:p>
    <w:p w14:paraId="6FFFFA13" w14:textId="77777777" w:rsidR="00A841DA" w:rsidRPr="009273C7" w:rsidRDefault="00A841DA" w:rsidP="0001256C">
      <w:pPr>
        <w:pStyle w:val="xl19"/>
        <w:tabs>
          <w:tab w:val="left" w:pos="3420"/>
          <w:tab w:val="right" w:pos="8640"/>
        </w:tabs>
        <w:spacing w:before="0" w:after="0"/>
        <w:jc w:val="both"/>
        <w:rPr>
          <w:szCs w:val="24"/>
        </w:rPr>
      </w:pPr>
      <w:r w:rsidRPr="009273C7">
        <w:rPr>
          <w:szCs w:val="24"/>
        </w:rPr>
        <w:t xml:space="preserve">Budget Decision Unit(s): </w:t>
      </w:r>
      <w:r w:rsidRPr="009273C7">
        <w:rPr>
          <w:szCs w:val="24"/>
        </w:rPr>
        <w:tab/>
        <w:t>Community Oriented Policing</w:t>
      </w:r>
    </w:p>
    <w:p w14:paraId="4A29A675" w14:textId="77777777" w:rsidR="00A841DA" w:rsidRPr="009273C7" w:rsidRDefault="00A841DA" w:rsidP="0001256C">
      <w:pPr>
        <w:pStyle w:val="xl19"/>
        <w:tabs>
          <w:tab w:val="left" w:pos="3420"/>
          <w:tab w:val="right" w:pos="8640"/>
        </w:tabs>
        <w:spacing w:before="0" w:after="0"/>
        <w:jc w:val="both"/>
        <w:rPr>
          <w:szCs w:val="24"/>
        </w:rPr>
      </w:pPr>
      <w:r w:rsidRPr="009273C7">
        <w:rPr>
          <w:szCs w:val="24"/>
        </w:rPr>
        <w:t>Organizational Program:</w:t>
      </w:r>
      <w:r w:rsidRPr="009273C7">
        <w:rPr>
          <w:szCs w:val="24"/>
        </w:rPr>
        <w:tab/>
      </w:r>
      <w:r w:rsidR="003E4CEA">
        <w:rPr>
          <w:szCs w:val="24"/>
        </w:rPr>
        <w:t>COPS Hiring Program</w:t>
      </w:r>
    </w:p>
    <w:p w14:paraId="3AE3C493" w14:textId="77777777" w:rsidR="00A841DA" w:rsidRPr="009273C7" w:rsidRDefault="00A841DA" w:rsidP="0001256C">
      <w:pPr>
        <w:pStyle w:val="xl19"/>
        <w:tabs>
          <w:tab w:val="left" w:pos="3420"/>
          <w:tab w:val="right" w:pos="8640"/>
        </w:tabs>
        <w:spacing w:before="0" w:after="0"/>
        <w:jc w:val="both"/>
        <w:rPr>
          <w:szCs w:val="24"/>
        </w:rPr>
      </w:pPr>
    </w:p>
    <w:p w14:paraId="4EF90EB9" w14:textId="77777777" w:rsidR="00A841DA" w:rsidRPr="009273C7" w:rsidRDefault="00A841DA" w:rsidP="0001256C">
      <w:pPr>
        <w:pStyle w:val="xl19"/>
        <w:tabs>
          <w:tab w:val="left" w:pos="2340"/>
          <w:tab w:val="right" w:pos="3060"/>
          <w:tab w:val="left" w:pos="3600"/>
          <w:tab w:val="right" w:pos="4500"/>
          <w:tab w:val="left" w:pos="5310"/>
          <w:tab w:val="right" w:pos="6300"/>
        </w:tabs>
        <w:spacing w:before="0" w:after="0"/>
        <w:jc w:val="both"/>
        <w:rPr>
          <w:szCs w:val="24"/>
        </w:rPr>
      </w:pPr>
      <w:r w:rsidRPr="009273C7">
        <w:rPr>
          <w:szCs w:val="24"/>
        </w:rPr>
        <w:t xml:space="preserve">Program Increase: Positions </w:t>
      </w:r>
      <w:r w:rsidR="000908F2" w:rsidRPr="009273C7">
        <w:rPr>
          <w:szCs w:val="24"/>
        </w:rPr>
        <w:t>0 FTE</w:t>
      </w:r>
      <w:r w:rsidRPr="009273C7">
        <w:rPr>
          <w:szCs w:val="24"/>
        </w:rPr>
        <w:t xml:space="preserve"> </w:t>
      </w:r>
      <w:r w:rsidR="000908F2" w:rsidRPr="009273C7">
        <w:rPr>
          <w:szCs w:val="24"/>
        </w:rPr>
        <w:t>0 Dollars</w:t>
      </w:r>
      <w:r w:rsidRPr="009273C7">
        <w:rPr>
          <w:szCs w:val="24"/>
        </w:rPr>
        <w:t xml:space="preserve"> </w:t>
      </w:r>
      <w:r w:rsidR="003E4CEA">
        <w:rPr>
          <w:szCs w:val="24"/>
        </w:rPr>
        <w:t>91</w:t>
      </w:r>
      <w:r>
        <w:rPr>
          <w:szCs w:val="24"/>
        </w:rPr>
        <w:t>,000,000</w:t>
      </w:r>
    </w:p>
    <w:p w14:paraId="43B6A872" w14:textId="77777777" w:rsidR="00A841DA" w:rsidRPr="009273C7" w:rsidRDefault="00A841DA" w:rsidP="0001256C">
      <w:pPr>
        <w:jc w:val="both"/>
      </w:pPr>
    </w:p>
    <w:p w14:paraId="51690411" w14:textId="77777777" w:rsidR="00A841DA" w:rsidRPr="009273C7" w:rsidRDefault="00A841DA" w:rsidP="0001256C">
      <w:pPr>
        <w:pStyle w:val="xl24"/>
        <w:spacing w:before="0" w:after="0"/>
        <w:jc w:val="both"/>
        <w:rPr>
          <w:szCs w:val="24"/>
        </w:rPr>
      </w:pPr>
      <w:r w:rsidRPr="009273C7">
        <w:rPr>
          <w:szCs w:val="24"/>
        </w:rPr>
        <w:t>Description of Item</w:t>
      </w:r>
    </w:p>
    <w:p w14:paraId="44CDD42C" w14:textId="77777777" w:rsidR="00F50790" w:rsidRDefault="00F50790" w:rsidP="0001256C">
      <w:pPr>
        <w:pStyle w:val="BodyText"/>
        <w:jc w:val="both"/>
      </w:pPr>
      <w:r>
        <w:t xml:space="preserve">The COPS </w:t>
      </w:r>
      <w:r w:rsidRPr="00725334">
        <w:t>Hiring Program adds additional community policing officers to the beat by providing funds for the approved entry-level salary and benefits of each newly hired additional officer position over three years.</w:t>
      </w:r>
      <w:r>
        <w:t xml:space="preserve">  The proposal for the </w:t>
      </w:r>
      <w:r w:rsidR="00DA5CEC">
        <w:t>F</w:t>
      </w:r>
      <w:r w:rsidR="002D04E1">
        <w:t>Y</w:t>
      </w:r>
      <w:r w:rsidR="00DA5CEC">
        <w:t xml:space="preserve"> 2014 </w:t>
      </w:r>
      <w:r>
        <w:t xml:space="preserve">COPS Hiring Program includes a maximum award cap of $125,000 and </w:t>
      </w:r>
      <w:r w:rsidR="00DA5CEC">
        <w:t xml:space="preserve">maintains </w:t>
      </w:r>
      <w:r>
        <w:t xml:space="preserve">a 25% local match requirement for all grantees.  </w:t>
      </w:r>
      <w:r w:rsidR="00F97200">
        <w:t>Within this amount, the COPS Office would continue to provid</w:t>
      </w:r>
      <w:r w:rsidR="0005579B">
        <w:t>e</w:t>
      </w:r>
      <w:r w:rsidR="00F97200">
        <w:t xml:space="preserve"> $15 </w:t>
      </w:r>
      <w:r w:rsidR="00DA5CEC">
        <w:t>million</w:t>
      </w:r>
      <w:r>
        <w:t xml:space="preserve"> to </w:t>
      </w:r>
      <w:r w:rsidR="00DA5CEC">
        <w:t xml:space="preserve">support the hiring needs </w:t>
      </w:r>
      <w:r>
        <w:t>in Indian Country</w:t>
      </w:r>
      <w:r w:rsidR="0005579B">
        <w:t>.  The</w:t>
      </w:r>
      <w:r w:rsidR="002D04E1">
        <w:t xml:space="preserve"> </w:t>
      </w:r>
      <w:r>
        <w:t xml:space="preserve">FY </w:t>
      </w:r>
      <w:r w:rsidR="00DA5CEC">
        <w:t xml:space="preserve">2014 </w:t>
      </w:r>
      <w:r>
        <w:t>request</w:t>
      </w:r>
      <w:r w:rsidR="0005579B">
        <w:t xml:space="preserve"> also</w:t>
      </w:r>
      <w:r>
        <w:t xml:space="preserve"> </w:t>
      </w:r>
      <w:r w:rsidR="00DA5CEC">
        <w:t>includes $15 million for community policing development activities (an increase of $5 million over the FY12 enacted level); $10 million for the COPS Collaborative Reform Model of Technical Assistance; and an additional</w:t>
      </w:r>
      <w:r w:rsidR="0005579B">
        <w:t xml:space="preserve"> </w:t>
      </w:r>
      <w:r w:rsidR="00F97200">
        <w:t>$76 million for the COPS Hiring Program.  This equates to a total increase of $91 million.</w:t>
      </w:r>
    </w:p>
    <w:p w14:paraId="27516737" w14:textId="77777777" w:rsidR="00F97200" w:rsidRDefault="00F97200" w:rsidP="0001256C">
      <w:pPr>
        <w:pStyle w:val="BodyText"/>
        <w:jc w:val="both"/>
      </w:pPr>
    </w:p>
    <w:p w14:paraId="78F16A8A" w14:textId="77777777" w:rsidR="00F97200" w:rsidRPr="00725334" w:rsidRDefault="00F97200" w:rsidP="0001256C">
      <w:pPr>
        <w:pStyle w:val="BodyText"/>
        <w:jc w:val="both"/>
      </w:pPr>
      <w:r>
        <w:t>New in FY 2014 is a request for CHP funding to be used for the hiring of both sworn and non-sworn personnel.  Of the amount available for CHP, $50,000,000 will be dedicated to advancing community policing through the hiring of</w:t>
      </w:r>
      <w:r w:rsidRPr="009273C7">
        <w:t xml:space="preserve"> non-sworn personnel</w:t>
      </w:r>
      <w:r>
        <w:t>,</w:t>
      </w:r>
      <w:r w:rsidRPr="009273C7">
        <w:t xml:space="preserve"> such as crime and intelligence </w:t>
      </w:r>
      <w:r w:rsidRPr="009273C7">
        <w:lastRenderedPageBreak/>
        <w:t>analysts</w:t>
      </w:r>
      <w:r>
        <w:t>, to permit the redeployment of sworn law enforcement personnel to the streets</w:t>
      </w:r>
      <w:r w:rsidRPr="009273C7">
        <w:t xml:space="preserve">.  </w:t>
      </w:r>
      <w:r w:rsidRPr="00E61144">
        <w:rPr>
          <w:rFonts w:ascii="Georgia" w:hAnsi="Georgia"/>
        </w:rPr>
        <w:t xml:space="preserve"> </w:t>
      </w:r>
      <w:r w:rsidRPr="00E61144">
        <w:t xml:space="preserve">The number of </w:t>
      </w:r>
      <w:r w:rsidRPr="00E61144">
        <w:rPr>
          <w:color w:val="221E1F"/>
        </w:rPr>
        <w:t>non-sworn law enforcement personnel funded under this grant should result in an equivalent increase in the number of sworn career law enforcement officers redeployed into community policing.</w:t>
      </w:r>
      <w:r>
        <w:rPr>
          <w:rFonts w:ascii="Georgia" w:hAnsi="Georgia"/>
          <w:color w:val="221E1F"/>
        </w:rPr>
        <w:t xml:space="preserve">  </w:t>
      </w:r>
    </w:p>
    <w:p w14:paraId="60912DDC" w14:textId="77777777" w:rsidR="00A841DA" w:rsidRPr="009273C7" w:rsidRDefault="00A841DA" w:rsidP="0001256C">
      <w:pPr>
        <w:jc w:val="both"/>
        <w:rPr>
          <w:u w:val="single"/>
        </w:rPr>
      </w:pPr>
    </w:p>
    <w:p w14:paraId="3C994955" w14:textId="77777777" w:rsidR="00A841DA" w:rsidRPr="009273C7" w:rsidRDefault="00F50790" w:rsidP="0001256C">
      <w:pPr>
        <w:jc w:val="both"/>
        <w:rPr>
          <w:u w:val="single"/>
        </w:rPr>
      </w:pPr>
      <w:r>
        <w:rPr>
          <w:u w:val="single"/>
        </w:rPr>
        <w:t xml:space="preserve">Summary </w:t>
      </w:r>
      <w:r w:rsidR="00A841DA" w:rsidRPr="009273C7">
        <w:rPr>
          <w:u w:val="single"/>
        </w:rPr>
        <w:t>Justification</w:t>
      </w:r>
    </w:p>
    <w:p w14:paraId="5F9F17BF" w14:textId="77777777" w:rsidR="00F576FA" w:rsidRPr="002D04E1" w:rsidRDefault="00F50790" w:rsidP="0001256C">
      <w:pPr>
        <w:contextualSpacing/>
        <w:jc w:val="both"/>
      </w:pPr>
      <w:r w:rsidRPr="00725334">
        <w:t>The demand from state, local and tribal governments for COPS hiring funds remains extremely high</w:t>
      </w:r>
      <w:r>
        <w:t>, especially with state and local budgets being tightened</w:t>
      </w:r>
      <w:r w:rsidRPr="00725334">
        <w:t>.</w:t>
      </w:r>
      <w:r w:rsidRPr="00F576FA">
        <w:rPr>
          <w:rFonts w:cs="Arial"/>
        </w:rPr>
        <w:t xml:space="preserve"> </w:t>
      </w:r>
      <w:r w:rsidRPr="00C4455C">
        <w:t xml:space="preserve">A January 2009 press release by the Police Executive Research Forum stated that nearly two out of three police agencies responding </w:t>
      </w:r>
      <w:r>
        <w:t xml:space="preserve">to </w:t>
      </w:r>
      <w:r w:rsidRPr="00C4455C">
        <w:t xml:space="preserve">its survey said they </w:t>
      </w:r>
      <w:r>
        <w:t>we</w:t>
      </w:r>
      <w:r w:rsidRPr="00C4455C">
        <w:t>re making plans to cut their budgets.  Additionally, 44 percent of the police departments reported increases in certain types of crime (robberies, burglaries, and thefts) which they believe c</w:t>
      </w:r>
      <w:r>
        <w:t>ould</w:t>
      </w:r>
      <w:r w:rsidRPr="00C4455C">
        <w:t xml:space="preserve"> be attributed to the economic crisis.</w:t>
      </w:r>
      <w:r>
        <w:t xml:space="preserve">  A total of 27 percent stated that they had already implemented a hiring freeze for sworn law enforcement positions. </w:t>
      </w:r>
      <w:r w:rsidRPr="00F576FA">
        <w:rPr>
          <w:rFonts w:cs="Arial"/>
        </w:rPr>
        <w:t xml:space="preserve">Under the COPS Hiring Recovery Program (CHRP) solicitation in FY 2009, the COPS Office received over 7,200 applications requesting over $8 billion in federal </w:t>
      </w:r>
      <w:r w:rsidRPr="002D04E1">
        <w:t>funding.</w:t>
      </w:r>
      <w:r w:rsidR="001548EE" w:rsidRPr="002D04E1">
        <w:t xml:space="preserve">  Since this time, the COPS Office has only been able to fund eight to 14 percent of total requests for CHP funding.  To balance the workload with the high demand and limited funding, in the COPS Office limited the 2012 applicant pool to agencies with unfunded or partially funded CHP applications from FY 2011.  Even with this controlled applicant pool, the demand exceed available </w:t>
      </w:r>
      <w:r w:rsidR="00F576FA" w:rsidRPr="002D04E1">
        <w:t xml:space="preserve">FY 2012 </w:t>
      </w:r>
      <w:r w:rsidR="001548EE" w:rsidRPr="002D04E1">
        <w:t>funding.</w:t>
      </w:r>
      <w:r w:rsidR="00F576FA" w:rsidRPr="002D04E1">
        <w:t xml:space="preserve">  We received 1,411 CHP 2012 applications requesting over 3,700 officers for approximately $526 million.  The total funding available for grant awards was approximately $111 million after carveouts to support COPS management and administration needs.</w:t>
      </w:r>
    </w:p>
    <w:p w14:paraId="755EDA5E" w14:textId="77777777" w:rsidR="00F576FA" w:rsidRPr="00F576FA" w:rsidRDefault="00F576FA" w:rsidP="0001256C">
      <w:pPr>
        <w:contextualSpacing/>
        <w:jc w:val="both"/>
        <w:rPr>
          <w:rFonts w:asciiTheme="minorHAnsi" w:hAnsiTheme="minorHAnsi" w:cstheme="minorHAnsi"/>
        </w:rPr>
      </w:pPr>
    </w:p>
    <w:p w14:paraId="52EC3C23" w14:textId="77777777" w:rsidR="00F50790" w:rsidRPr="001548EE" w:rsidRDefault="00F50790" w:rsidP="0001256C">
      <w:pPr>
        <w:contextualSpacing/>
        <w:jc w:val="both"/>
        <w:rPr>
          <w:rFonts w:asciiTheme="minorHAnsi" w:hAnsiTheme="minorHAnsi" w:cstheme="minorHAnsi"/>
        </w:rPr>
      </w:pPr>
      <w:r>
        <w:rPr>
          <w:rFonts w:cs="Arial"/>
        </w:rPr>
        <w:t xml:space="preserve">The </w:t>
      </w:r>
      <w:r w:rsidR="00F576FA">
        <w:rPr>
          <w:rFonts w:cs="Arial"/>
        </w:rPr>
        <w:t xml:space="preserve">proposed </w:t>
      </w:r>
      <w:r>
        <w:rPr>
          <w:rFonts w:cs="Arial"/>
        </w:rPr>
        <w:t xml:space="preserve">FY </w:t>
      </w:r>
      <w:r w:rsidR="00F576FA">
        <w:rPr>
          <w:rFonts w:cs="Arial"/>
        </w:rPr>
        <w:t>2014</w:t>
      </w:r>
      <w:r w:rsidR="00F576FA" w:rsidRPr="00725334">
        <w:rPr>
          <w:rFonts w:cs="Arial"/>
        </w:rPr>
        <w:t xml:space="preserve"> </w:t>
      </w:r>
      <w:r w:rsidRPr="00725334">
        <w:rPr>
          <w:rFonts w:cs="Arial"/>
        </w:rPr>
        <w:t>funding will be used to continue to support the efforts of state, local, and tribal law enforcement agencies in meeting the challenge of keeping their communities safe</w:t>
      </w:r>
      <w:r w:rsidR="00F576FA">
        <w:rPr>
          <w:rFonts w:cs="Arial"/>
        </w:rPr>
        <w:t xml:space="preserve"> by:  1) providing for addition financial resources for the hiring of sworn and non-sworn personnel, 2) providing for funding to support the non-hiring needs of law enforcement agencies through additional funding for technical assistance.  </w:t>
      </w:r>
    </w:p>
    <w:p w14:paraId="4BCBEB72" w14:textId="77777777" w:rsidR="005B7662" w:rsidRDefault="005B7662" w:rsidP="0001256C">
      <w:pPr>
        <w:jc w:val="both"/>
        <w:rPr>
          <w:rFonts w:cs="Arial"/>
          <w:highlight w:val="yellow"/>
        </w:rPr>
      </w:pPr>
    </w:p>
    <w:p w14:paraId="6914615C" w14:textId="77777777" w:rsidR="00F50790" w:rsidRDefault="00D754B2" w:rsidP="0001256C">
      <w:pPr>
        <w:jc w:val="both"/>
        <w:rPr>
          <w:rFonts w:cs="Arial"/>
        </w:rPr>
      </w:pPr>
      <w:r>
        <w:t>Of the $257 million available for CHP, $40 million will be transferred to the Indian Country</w:t>
      </w:r>
      <w:r w:rsidR="0005579B">
        <w:t xml:space="preserve"> ($15 million)</w:t>
      </w:r>
      <w:r>
        <w:t>, CPD initiative activities</w:t>
      </w:r>
      <w:r w:rsidR="0005579B">
        <w:t xml:space="preserve"> ($15 million)</w:t>
      </w:r>
      <w:r>
        <w:t xml:space="preserve"> and the Collaborative Reform Model of Technical Assistance</w:t>
      </w:r>
      <w:r w:rsidR="0005579B">
        <w:t xml:space="preserve"> ($10 million)</w:t>
      </w:r>
      <w:r>
        <w:t xml:space="preserve">.  </w:t>
      </w:r>
      <w:r w:rsidR="0045130F">
        <w:t xml:space="preserve">In FY 2014, the Indian Country Program will support a myriad of needs including hiring, training and technical assistance and anti-methamphetamine activities.  </w:t>
      </w:r>
      <w:r w:rsidR="00B42936">
        <w:t>CPD funding serves to support grants and cooperative agreements, provide technical assistance and produce community policing publications</w:t>
      </w:r>
      <w:r w:rsidR="00C07E01">
        <w:t>.  The Collaborative Reform Model will provide technical assistance to agencies on significant law enforcement related issues to enhance and improve their policies, procedures, systems, and culture.</w:t>
      </w:r>
    </w:p>
    <w:p w14:paraId="4DE7E44E" w14:textId="77777777" w:rsidR="00841F5D" w:rsidRDefault="00841F5D" w:rsidP="0001256C">
      <w:pPr>
        <w:jc w:val="both"/>
        <w:rPr>
          <w:rFonts w:cs="Arial"/>
        </w:rPr>
      </w:pPr>
    </w:p>
    <w:p w14:paraId="542E7507" w14:textId="77777777" w:rsidR="00F50790" w:rsidRPr="00725334" w:rsidRDefault="00F50790" w:rsidP="0001256C">
      <w:pPr>
        <w:pStyle w:val="BodyText3"/>
        <w:jc w:val="both"/>
        <w:rPr>
          <w:u w:val="single"/>
        </w:rPr>
      </w:pPr>
      <w:r w:rsidRPr="00725334">
        <w:rPr>
          <w:u w:val="single"/>
        </w:rPr>
        <w:t xml:space="preserve">Impact on </w:t>
      </w:r>
      <w:smartTag w:uri="urn:schemas-microsoft-com:office:smarttags" w:element="PersonName">
        <w:r w:rsidRPr="00725334">
          <w:rPr>
            <w:u w:val="single"/>
          </w:rPr>
          <w:t>Performance</w:t>
        </w:r>
      </w:smartTag>
      <w:r w:rsidRPr="00725334">
        <w:rPr>
          <w:u w:val="single"/>
        </w:rPr>
        <w:t xml:space="preserve"> (Relationship of Increase to Strategic Goals)</w:t>
      </w:r>
    </w:p>
    <w:p w14:paraId="154C6E94" w14:textId="77777777" w:rsidR="00F50790" w:rsidRDefault="00F50790" w:rsidP="0001256C">
      <w:pPr>
        <w:jc w:val="both"/>
        <w:rPr>
          <w:rFonts w:cs="Arial"/>
        </w:rPr>
      </w:pPr>
      <w:r>
        <w:t>The COPS Hiring P</w:t>
      </w:r>
      <w:r w:rsidRPr="00725334">
        <w:t xml:space="preserve">rogram responds directly to those jurisdictions where data suggests there has been an increase in violent crime.  COPS </w:t>
      </w:r>
      <w:r w:rsidR="0005579B">
        <w:t>h</w:t>
      </w:r>
      <w:r w:rsidRPr="00725334">
        <w:t xml:space="preserve">iring grants directly assist state, local and tribal governments to hire additional law enforcement officers for deployment in community policing, and encourages agencies to </w:t>
      </w:r>
      <w:r>
        <w:t xml:space="preserve">improve public safety through </w:t>
      </w:r>
      <w:r w:rsidRPr="00725334">
        <w:t>increas</w:t>
      </w:r>
      <w:r>
        <w:t>ing</w:t>
      </w:r>
      <w:r w:rsidRPr="00725334">
        <w:t xml:space="preserve"> their community policing capacity</w:t>
      </w:r>
      <w:r>
        <w:t xml:space="preserve">. </w:t>
      </w:r>
    </w:p>
    <w:p w14:paraId="303ADFDC" w14:textId="77777777" w:rsidR="00F50790" w:rsidRDefault="00F50790" w:rsidP="0001256C">
      <w:pPr>
        <w:jc w:val="both"/>
        <w:rPr>
          <w:rFonts w:cs="Arial"/>
        </w:rPr>
      </w:pPr>
    </w:p>
    <w:p w14:paraId="5DAAC852" w14:textId="77777777" w:rsidR="00633069" w:rsidRDefault="00633069" w:rsidP="0001256C">
      <w:pPr>
        <w:pStyle w:val="xl24"/>
        <w:spacing w:before="0" w:after="0"/>
        <w:jc w:val="both"/>
        <w:rPr>
          <w:szCs w:val="24"/>
        </w:rPr>
      </w:pPr>
    </w:p>
    <w:p w14:paraId="7BD3E3FA" w14:textId="77777777" w:rsidR="00633069" w:rsidRDefault="00633069" w:rsidP="0001256C">
      <w:pPr>
        <w:pStyle w:val="xl24"/>
        <w:spacing w:before="0" w:after="0"/>
        <w:jc w:val="both"/>
        <w:rPr>
          <w:szCs w:val="24"/>
        </w:rPr>
      </w:pPr>
    </w:p>
    <w:p w14:paraId="0ADDE722" w14:textId="77777777" w:rsidR="00633069" w:rsidRDefault="00633069" w:rsidP="0001256C">
      <w:pPr>
        <w:pStyle w:val="xl24"/>
        <w:spacing w:before="0" w:after="0"/>
        <w:jc w:val="both"/>
        <w:rPr>
          <w:szCs w:val="24"/>
        </w:rPr>
      </w:pPr>
    </w:p>
    <w:p w14:paraId="7DF8B9D2" w14:textId="77777777" w:rsidR="00A841DA" w:rsidRPr="009273C7" w:rsidRDefault="00A841DA" w:rsidP="0001256C">
      <w:pPr>
        <w:pStyle w:val="xl24"/>
        <w:spacing w:before="0" w:after="0"/>
        <w:jc w:val="both"/>
        <w:rPr>
          <w:szCs w:val="24"/>
        </w:rPr>
      </w:pPr>
      <w:r w:rsidRPr="009273C7">
        <w:rPr>
          <w:szCs w:val="24"/>
        </w:rPr>
        <w:lastRenderedPageBreak/>
        <w:t>Base Funding</w:t>
      </w:r>
    </w:p>
    <w:p w14:paraId="49FDAF84" w14:textId="77777777" w:rsidR="00A841DA" w:rsidRPr="009273C7" w:rsidRDefault="00A841DA" w:rsidP="0001256C">
      <w:pPr>
        <w:pStyle w:val="xl24"/>
        <w:spacing w:before="0" w:after="0"/>
        <w:jc w:val="both"/>
        <w:rPr>
          <w:szCs w:val="24"/>
        </w:rPr>
      </w:pPr>
    </w:p>
    <w:tbl>
      <w:tblPr>
        <w:tblW w:w="9794"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6"/>
        <w:gridCol w:w="607"/>
        <w:gridCol w:w="617"/>
        <w:gridCol w:w="90"/>
        <w:gridCol w:w="1260"/>
        <w:gridCol w:w="603"/>
        <w:gridCol w:w="607"/>
        <w:gridCol w:w="672"/>
        <w:gridCol w:w="1358"/>
        <w:gridCol w:w="590"/>
        <w:gridCol w:w="607"/>
        <w:gridCol w:w="672"/>
        <w:gridCol w:w="1535"/>
      </w:tblGrid>
      <w:tr w:rsidR="00A841DA" w:rsidRPr="009273C7" w14:paraId="118BFBF0" w14:textId="77777777" w:rsidTr="00A841DA">
        <w:tc>
          <w:tcPr>
            <w:tcW w:w="3150" w:type="dxa"/>
            <w:gridSpan w:val="5"/>
            <w:shd w:val="clear" w:color="auto" w:fill="E6E6E6"/>
          </w:tcPr>
          <w:p w14:paraId="2443291B" w14:textId="77777777" w:rsidR="00A841DA" w:rsidRPr="009273C7" w:rsidRDefault="00A841DA" w:rsidP="0001256C">
            <w:pPr>
              <w:pStyle w:val="Heading7"/>
              <w:jc w:val="both"/>
              <w:rPr>
                <w:szCs w:val="24"/>
              </w:rPr>
            </w:pPr>
            <w:r w:rsidRPr="009273C7">
              <w:rPr>
                <w:szCs w:val="24"/>
              </w:rPr>
              <w:t xml:space="preserve"> FY 201</w:t>
            </w:r>
            <w:r>
              <w:rPr>
                <w:szCs w:val="24"/>
              </w:rPr>
              <w:t>2</w:t>
            </w:r>
            <w:r w:rsidRPr="009273C7">
              <w:rPr>
                <w:szCs w:val="24"/>
              </w:rPr>
              <w:t xml:space="preserve"> Enacted (w/resc./supps)</w:t>
            </w:r>
          </w:p>
        </w:tc>
        <w:tc>
          <w:tcPr>
            <w:tcW w:w="3240" w:type="dxa"/>
            <w:gridSpan w:val="4"/>
            <w:shd w:val="clear" w:color="auto" w:fill="E6E6E6"/>
          </w:tcPr>
          <w:p w14:paraId="3F8CB598" w14:textId="77777777" w:rsidR="00A841DA" w:rsidRPr="009273C7" w:rsidRDefault="00A841DA" w:rsidP="0001256C">
            <w:pPr>
              <w:pStyle w:val="Heading7"/>
              <w:jc w:val="both"/>
              <w:rPr>
                <w:szCs w:val="24"/>
              </w:rPr>
            </w:pPr>
            <w:r w:rsidRPr="009273C7">
              <w:rPr>
                <w:szCs w:val="24"/>
              </w:rPr>
              <w:t>FY 201</w:t>
            </w:r>
            <w:r>
              <w:rPr>
                <w:szCs w:val="24"/>
              </w:rPr>
              <w:t>3</w:t>
            </w:r>
            <w:r w:rsidRPr="009273C7">
              <w:rPr>
                <w:szCs w:val="24"/>
              </w:rPr>
              <w:t xml:space="preserve"> </w:t>
            </w:r>
            <w:r>
              <w:rPr>
                <w:szCs w:val="24"/>
              </w:rPr>
              <w:t>Enacted</w:t>
            </w:r>
          </w:p>
        </w:tc>
        <w:tc>
          <w:tcPr>
            <w:tcW w:w="3404" w:type="dxa"/>
            <w:gridSpan w:val="4"/>
            <w:shd w:val="clear" w:color="auto" w:fill="E6E6E6"/>
          </w:tcPr>
          <w:p w14:paraId="141F5852" w14:textId="77777777" w:rsidR="00A841DA" w:rsidRPr="009273C7" w:rsidRDefault="00A841DA" w:rsidP="0001256C">
            <w:pPr>
              <w:pStyle w:val="Heading7"/>
              <w:jc w:val="both"/>
              <w:rPr>
                <w:szCs w:val="24"/>
              </w:rPr>
            </w:pPr>
            <w:r w:rsidRPr="009273C7">
              <w:rPr>
                <w:szCs w:val="24"/>
              </w:rPr>
              <w:t>FY 201</w:t>
            </w:r>
            <w:r>
              <w:rPr>
                <w:szCs w:val="24"/>
              </w:rPr>
              <w:t>4</w:t>
            </w:r>
            <w:r w:rsidRPr="009273C7">
              <w:rPr>
                <w:szCs w:val="24"/>
              </w:rPr>
              <w:t xml:space="preserve"> Current Services</w:t>
            </w:r>
          </w:p>
        </w:tc>
      </w:tr>
      <w:tr w:rsidR="00A841DA" w:rsidRPr="009273C7" w14:paraId="436B20DB" w14:textId="77777777" w:rsidTr="00A841DA">
        <w:tc>
          <w:tcPr>
            <w:tcW w:w="576" w:type="dxa"/>
          </w:tcPr>
          <w:p w14:paraId="424CD7DD" w14:textId="77777777" w:rsidR="00A841DA" w:rsidRPr="009273C7" w:rsidRDefault="00A841DA" w:rsidP="0001256C">
            <w:pPr>
              <w:pStyle w:val="xl24"/>
              <w:spacing w:before="0" w:after="0"/>
              <w:jc w:val="both"/>
              <w:rPr>
                <w:szCs w:val="24"/>
                <w:u w:val="none"/>
              </w:rPr>
            </w:pPr>
            <w:r w:rsidRPr="009273C7">
              <w:rPr>
                <w:szCs w:val="24"/>
                <w:u w:val="none"/>
              </w:rPr>
              <w:t>Pos</w:t>
            </w:r>
          </w:p>
        </w:tc>
        <w:tc>
          <w:tcPr>
            <w:tcW w:w="607" w:type="dxa"/>
          </w:tcPr>
          <w:p w14:paraId="19022389" w14:textId="77777777" w:rsidR="00A841DA" w:rsidRPr="009273C7" w:rsidRDefault="00A841DA" w:rsidP="0001256C">
            <w:pPr>
              <w:pStyle w:val="xl24"/>
              <w:spacing w:before="0" w:after="0"/>
              <w:jc w:val="both"/>
              <w:rPr>
                <w:szCs w:val="24"/>
                <w:u w:val="none"/>
              </w:rPr>
            </w:pPr>
            <w:r w:rsidRPr="009273C7">
              <w:rPr>
                <w:szCs w:val="24"/>
                <w:u w:val="none"/>
              </w:rPr>
              <w:t>agt/</w:t>
            </w:r>
          </w:p>
          <w:p w14:paraId="021A07FB" w14:textId="77777777" w:rsidR="00A841DA" w:rsidRPr="009273C7" w:rsidRDefault="00A841DA" w:rsidP="0001256C">
            <w:pPr>
              <w:pStyle w:val="xl24"/>
              <w:spacing w:before="0" w:after="0"/>
              <w:jc w:val="both"/>
              <w:rPr>
                <w:szCs w:val="24"/>
                <w:u w:val="none"/>
              </w:rPr>
            </w:pPr>
            <w:r w:rsidRPr="009273C7">
              <w:rPr>
                <w:szCs w:val="24"/>
                <w:u w:val="none"/>
              </w:rPr>
              <w:t>atty</w:t>
            </w:r>
          </w:p>
        </w:tc>
        <w:tc>
          <w:tcPr>
            <w:tcW w:w="707" w:type="dxa"/>
            <w:gridSpan w:val="2"/>
          </w:tcPr>
          <w:p w14:paraId="3BB0C70E" w14:textId="77777777" w:rsidR="00A841DA" w:rsidRPr="009273C7" w:rsidRDefault="00A841DA" w:rsidP="0001256C">
            <w:pPr>
              <w:pStyle w:val="xl24"/>
              <w:spacing w:before="0" w:after="0"/>
              <w:jc w:val="both"/>
              <w:rPr>
                <w:szCs w:val="24"/>
                <w:u w:val="none"/>
              </w:rPr>
            </w:pPr>
            <w:r w:rsidRPr="009273C7">
              <w:rPr>
                <w:szCs w:val="24"/>
                <w:u w:val="none"/>
              </w:rPr>
              <w:t>FTE</w:t>
            </w:r>
          </w:p>
        </w:tc>
        <w:tc>
          <w:tcPr>
            <w:tcW w:w="1260" w:type="dxa"/>
          </w:tcPr>
          <w:p w14:paraId="07D137A3" w14:textId="77777777" w:rsidR="00A841DA" w:rsidRPr="009273C7" w:rsidRDefault="00A841DA" w:rsidP="0001256C">
            <w:pPr>
              <w:pStyle w:val="xl24"/>
              <w:spacing w:before="0" w:after="0"/>
              <w:jc w:val="both"/>
              <w:rPr>
                <w:szCs w:val="24"/>
                <w:u w:val="none"/>
              </w:rPr>
            </w:pPr>
            <w:r w:rsidRPr="009273C7">
              <w:rPr>
                <w:szCs w:val="24"/>
                <w:u w:val="none"/>
              </w:rPr>
              <w:t>$(000)</w:t>
            </w:r>
          </w:p>
        </w:tc>
        <w:tc>
          <w:tcPr>
            <w:tcW w:w="603" w:type="dxa"/>
          </w:tcPr>
          <w:p w14:paraId="005020A4" w14:textId="77777777" w:rsidR="00A841DA" w:rsidRPr="009273C7" w:rsidRDefault="00A841DA" w:rsidP="0001256C">
            <w:pPr>
              <w:pStyle w:val="xl24"/>
              <w:spacing w:before="0" w:after="0"/>
              <w:jc w:val="both"/>
              <w:rPr>
                <w:szCs w:val="24"/>
                <w:u w:val="none"/>
              </w:rPr>
            </w:pPr>
            <w:r w:rsidRPr="009273C7">
              <w:rPr>
                <w:szCs w:val="24"/>
                <w:u w:val="none"/>
              </w:rPr>
              <w:t>Pos</w:t>
            </w:r>
          </w:p>
        </w:tc>
        <w:tc>
          <w:tcPr>
            <w:tcW w:w="607" w:type="dxa"/>
          </w:tcPr>
          <w:p w14:paraId="1D00DE71" w14:textId="77777777" w:rsidR="00A841DA" w:rsidRPr="009273C7" w:rsidRDefault="00A841DA" w:rsidP="0001256C">
            <w:pPr>
              <w:pStyle w:val="xl24"/>
              <w:spacing w:before="0" w:after="0"/>
              <w:jc w:val="both"/>
              <w:rPr>
                <w:szCs w:val="24"/>
                <w:u w:val="none"/>
              </w:rPr>
            </w:pPr>
            <w:r w:rsidRPr="009273C7">
              <w:rPr>
                <w:szCs w:val="24"/>
                <w:u w:val="none"/>
              </w:rPr>
              <w:t>agt/</w:t>
            </w:r>
          </w:p>
          <w:p w14:paraId="456244A2" w14:textId="77777777" w:rsidR="00A841DA" w:rsidRPr="009273C7" w:rsidRDefault="00A841DA" w:rsidP="0001256C">
            <w:pPr>
              <w:pStyle w:val="xl24"/>
              <w:spacing w:before="0" w:after="0"/>
              <w:jc w:val="both"/>
              <w:rPr>
                <w:szCs w:val="24"/>
                <w:u w:val="none"/>
              </w:rPr>
            </w:pPr>
            <w:r w:rsidRPr="009273C7">
              <w:rPr>
                <w:szCs w:val="24"/>
                <w:u w:val="none"/>
              </w:rPr>
              <w:t>atty</w:t>
            </w:r>
          </w:p>
        </w:tc>
        <w:tc>
          <w:tcPr>
            <w:tcW w:w="672" w:type="dxa"/>
          </w:tcPr>
          <w:p w14:paraId="65EFC9D3" w14:textId="77777777" w:rsidR="00A841DA" w:rsidRPr="009273C7" w:rsidRDefault="00A841DA" w:rsidP="0001256C">
            <w:pPr>
              <w:pStyle w:val="xl24"/>
              <w:spacing w:before="0" w:after="0"/>
              <w:jc w:val="both"/>
              <w:rPr>
                <w:szCs w:val="24"/>
                <w:u w:val="none"/>
              </w:rPr>
            </w:pPr>
            <w:r w:rsidRPr="009273C7">
              <w:rPr>
                <w:szCs w:val="24"/>
                <w:u w:val="none"/>
              </w:rPr>
              <w:t>FTE</w:t>
            </w:r>
          </w:p>
        </w:tc>
        <w:tc>
          <w:tcPr>
            <w:tcW w:w="1358" w:type="dxa"/>
          </w:tcPr>
          <w:p w14:paraId="3B1E8EBA" w14:textId="77777777" w:rsidR="00A841DA" w:rsidRPr="009273C7" w:rsidRDefault="00A841DA" w:rsidP="0001256C">
            <w:pPr>
              <w:pStyle w:val="xl24"/>
              <w:spacing w:before="0" w:after="0"/>
              <w:jc w:val="both"/>
              <w:rPr>
                <w:szCs w:val="24"/>
                <w:u w:val="none"/>
              </w:rPr>
            </w:pPr>
            <w:r w:rsidRPr="009273C7">
              <w:rPr>
                <w:szCs w:val="24"/>
                <w:u w:val="none"/>
              </w:rPr>
              <w:t>$(000)</w:t>
            </w:r>
          </w:p>
        </w:tc>
        <w:tc>
          <w:tcPr>
            <w:tcW w:w="590" w:type="dxa"/>
          </w:tcPr>
          <w:p w14:paraId="1E563EB4" w14:textId="77777777" w:rsidR="00A841DA" w:rsidRPr="009273C7" w:rsidRDefault="00A841DA" w:rsidP="0001256C">
            <w:pPr>
              <w:pStyle w:val="xl24"/>
              <w:spacing w:before="0" w:after="0"/>
              <w:jc w:val="both"/>
              <w:rPr>
                <w:szCs w:val="24"/>
                <w:u w:val="none"/>
              </w:rPr>
            </w:pPr>
            <w:r w:rsidRPr="009273C7">
              <w:rPr>
                <w:szCs w:val="24"/>
                <w:u w:val="none"/>
              </w:rPr>
              <w:t>Pos</w:t>
            </w:r>
          </w:p>
        </w:tc>
        <w:tc>
          <w:tcPr>
            <w:tcW w:w="607" w:type="dxa"/>
          </w:tcPr>
          <w:p w14:paraId="6DB03DA7" w14:textId="77777777" w:rsidR="00A841DA" w:rsidRPr="009273C7" w:rsidRDefault="00A841DA" w:rsidP="0001256C">
            <w:pPr>
              <w:pStyle w:val="xl24"/>
              <w:spacing w:before="0" w:after="0"/>
              <w:jc w:val="both"/>
              <w:rPr>
                <w:szCs w:val="24"/>
                <w:u w:val="none"/>
              </w:rPr>
            </w:pPr>
            <w:r w:rsidRPr="009273C7">
              <w:rPr>
                <w:szCs w:val="24"/>
                <w:u w:val="none"/>
              </w:rPr>
              <w:t>agt/</w:t>
            </w:r>
          </w:p>
          <w:p w14:paraId="1D3A2DB3" w14:textId="77777777" w:rsidR="00A841DA" w:rsidRPr="009273C7" w:rsidRDefault="00A841DA" w:rsidP="0001256C">
            <w:pPr>
              <w:pStyle w:val="xl24"/>
              <w:spacing w:before="0" w:after="0"/>
              <w:jc w:val="both"/>
              <w:rPr>
                <w:szCs w:val="24"/>
                <w:u w:val="none"/>
              </w:rPr>
            </w:pPr>
            <w:r w:rsidRPr="009273C7">
              <w:rPr>
                <w:szCs w:val="24"/>
                <w:u w:val="none"/>
              </w:rPr>
              <w:t>atty</w:t>
            </w:r>
          </w:p>
        </w:tc>
        <w:tc>
          <w:tcPr>
            <w:tcW w:w="672" w:type="dxa"/>
          </w:tcPr>
          <w:p w14:paraId="5BF7F395" w14:textId="77777777" w:rsidR="00A841DA" w:rsidRPr="009273C7" w:rsidRDefault="00A841DA" w:rsidP="0001256C">
            <w:pPr>
              <w:pStyle w:val="xl24"/>
              <w:spacing w:before="0" w:after="0"/>
              <w:jc w:val="both"/>
              <w:rPr>
                <w:szCs w:val="24"/>
                <w:u w:val="none"/>
              </w:rPr>
            </w:pPr>
            <w:r w:rsidRPr="009273C7">
              <w:rPr>
                <w:szCs w:val="24"/>
                <w:u w:val="none"/>
              </w:rPr>
              <w:t>FTE</w:t>
            </w:r>
          </w:p>
        </w:tc>
        <w:tc>
          <w:tcPr>
            <w:tcW w:w="1535" w:type="dxa"/>
          </w:tcPr>
          <w:p w14:paraId="524886E0" w14:textId="77777777" w:rsidR="00A841DA" w:rsidRPr="009273C7" w:rsidRDefault="00A841DA" w:rsidP="0001256C">
            <w:pPr>
              <w:pStyle w:val="xl24"/>
              <w:spacing w:before="0" w:after="0"/>
              <w:jc w:val="both"/>
              <w:rPr>
                <w:szCs w:val="24"/>
                <w:u w:val="none"/>
              </w:rPr>
            </w:pPr>
            <w:r w:rsidRPr="009273C7">
              <w:rPr>
                <w:szCs w:val="24"/>
                <w:u w:val="none"/>
              </w:rPr>
              <w:t>$(000)</w:t>
            </w:r>
          </w:p>
        </w:tc>
      </w:tr>
      <w:tr w:rsidR="00A841DA" w:rsidRPr="009273C7" w14:paraId="7BAE350F" w14:textId="77777777" w:rsidTr="00A841DA">
        <w:tc>
          <w:tcPr>
            <w:tcW w:w="576" w:type="dxa"/>
          </w:tcPr>
          <w:p w14:paraId="7FD85775" w14:textId="77777777" w:rsidR="00A841DA" w:rsidRPr="009273C7" w:rsidRDefault="00A841DA" w:rsidP="0001256C">
            <w:pPr>
              <w:pStyle w:val="xl24"/>
              <w:spacing w:before="0" w:after="0"/>
              <w:jc w:val="both"/>
              <w:rPr>
                <w:szCs w:val="24"/>
              </w:rPr>
            </w:pPr>
            <w:r>
              <w:rPr>
                <w:szCs w:val="24"/>
              </w:rPr>
              <w:t>0</w:t>
            </w:r>
          </w:p>
        </w:tc>
        <w:tc>
          <w:tcPr>
            <w:tcW w:w="607" w:type="dxa"/>
          </w:tcPr>
          <w:p w14:paraId="29A024E8" w14:textId="77777777" w:rsidR="00A841DA" w:rsidRPr="009273C7" w:rsidRDefault="00A841DA" w:rsidP="0001256C">
            <w:pPr>
              <w:pStyle w:val="xl24"/>
              <w:spacing w:before="0" w:after="0"/>
              <w:jc w:val="both"/>
              <w:rPr>
                <w:szCs w:val="24"/>
              </w:rPr>
            </w:pPr>
            <w:r>
              <w:rPr>
                <w:szCs w:val="24"/>
              </w:rPr>
              <w:t>0</w:t>
            </w:r>
          </w:p>
        </w:tc>
        <w:tc>
          <w:tcPr>
            <w:tcW w:w="617" w:type="dxa"/>
          </w:tcPr>
          <w:p w14:paraId="7FB4A66E" w14:textId="77777777" w:rsidR="00A841DA" w:rsidRPr="009273C7" w:rsidRDefault="00A841DA" w:rsidP="0001256C">
            <w:pPr>
              <w:pStyle w:val="xl24"/>
              <w:spacing w:before="0" w:after="0"/>
              <w:jc w:val="both"/>
              <w:rPr>
                <w:szCs w:val="24"/>
              </w:rPr>
            </w:pPr>
            <w:r>
              <w:rPr>
                <w:szCs w:val="24"/>
              </w:rPr>
              <w:t>0</w:t>
            </w:r>
          </w:p>
        </w:tc>
        <w:tc>
          <w:tcPr>
            <w:tcW w:w="1350" w:type="dxa"/>
            <w:gridSpan w:val="2"/>
          </w:tcPr>
          <w:p w14:paraId="5061B51C" w14:textId="77777777" w:rsidR="00A841DA" w:rsidRPr="009273C7" w:rsidRDefault="003E4CEA" w:rsidP="0001256C">
            <w:pPr>
              <w:pStyle w:val="xl24"/>
              <w:spacing w:before="0" w:after="0"/>
              <w:jc w:val="both"/>
              <w:rPr>
                <w:szCs w:val="24"/>
              </w:rPr>
            </w:pPr>
            <w:r>
              <w:rPr>
                <w:szCs w:val="24"/>
              </w:rPr>
              <w:t>166,000</w:t>
            </w:r>
          </w:p>
        </w:tc>
        <w:tc>
          <w:tcPr>
            <w:tcW w:w="603" w:type="dxa"/>
          </w:tcPr>
          <w:p w14:paraId="4F6DC36B" w14:textId="77777777" w:rsidR="00A841DA" w:rsidRPr="009273C7" w:rsidRDefault="00A841DA" w:rsidP="0001256C">
            <w:pPr>
              <w:pStyle w:val="xl24"/>
              <w:spacing w:before="0" w:after="0"/>
              <w:jc w:val="both"/>
              <w:rPr>
                <w:szCs w:val="24"/>
              </w:rPr>
            </w:pPr>
            <w:r>
              <w:rPr>
                <w:szCs w:val="24"/>
              </w:rPr>
              <w:t>0</w:t>
            </w:r>
          </w:p>
        </w:tc>
        <w:tc>
          <w:tcPr>
            <w:tcW w:w="607" w:type="dxa"/>
          </w:tcPr>
          <w:p w14:paraId="40EECE51" w14:textId="77777777" w:rsidR="00A841DA" w:rsidRPr="009273C7" w:rsidRDefault="00A841DA" w:rsidP="0001256C">
            <w:pPr>
              <w:pStyle w:val="xl24"/>
              <w:spacing w:before="0" w:after="0"/>
              <w:jc w:val="both"/>
              <w:rPr>
                <w:szCs w:val="24"/>
              </w:rPr>
            </w:pPr>
            <w:r>
              <w:rPr>
                <w:szCs w:val="24"/>
              </w:rPr>
              <w:t>0</w:t>
            </w:r>
          </w:p>
        </w:tc>
        <w:tc>
          <w:tcPr>
            <w:tcW w:w="672" w:type="dxa"/>
          </w:tcPr>
          <w:p w14:paraId="246DC93A" w14:textId="77777777" w:rsidR="00A841DA" w:rsidRPr="009273C7" w:rsidRDefault="00A841DA" w:rsidP="0001256C">
            <w:pPr>
              <w:pStyle w:val="xl24"/>
              <w:spacing w:before="0" w:after="0"/>
              <w:jc w:val="both"/>
              <w:rPr>
                <w:szCs w:val="24"/>
              </w:rPr>
            </w:pPr>
            <w:r>
              <w:rPr>
                <w:szCs w:val="24"/>
              </w:rPr>
              <w:t>0</w:t>
            </w:r>
          </w:p>
        </w:tc>
        <w:tc>
          <w:tcPr>
            <w:tcW w:w="1358" w:type="dxa"/>
          </w:tcPr>
          <w:p w14:paraId="22CD7AB5" w14:textId="77777777" w:rsidR="00A841DA" w:rsidRPr="009273C7" w:rsidRDefault="003E4CEA" w:rsidP="0001256C">
            <w:pPr>
              <w:pStyle w:val="xl24"/>
              <w:spacing w:before="0" w:after="0"/>
              <w:jc w:val="both"/>
              <w:rPr>
                <w:szCs w:val="24"/>
              </w:rPr>
            </w:pPr>
            <w:r>
              <w:rPr>
                <w:szCs w:val="24"/>
              </w:rPr>
              <w:t>166,000</w:t>
            </w:r>
          </w:p>
        </w:tc>
        <w:tc>
          <w:tcPr>
            <w:tcW w:w="590" w:type="dxa"/>
          </w:tcPr>
          <w:p w14:paraId="3FE933EA" w14:textId="77777777" w:rsidR="00A841DA" w:rsidRPr="009273C7" w:rsidRDefault="00A841DA" w:rsidP="0001256C">
            <w:pPr>
              <w:pStyle w:val="xl24"/>
              <w:spacing w:before="0" w:after="0"/>
              <w:jc w:val="both"/>
              <w:rPr>
                <w:szCs w:val="24"/>
              </w:rPr>
            </w:pPr>
            <w:r>
              <w:rPr>
                <w:szCs w:val="24"/>
              </w:rPr>
              <w:t>0</w:t>
            </w:r>
          </w:p>
        </w:tc>
        <w:tc>
          <w:tcPr>
            <w:tcW w:w="607" w:type="dxa"/>
          </w:tcPr>
          <w:p w14:paraId="707980C1" w14:textId="77777777" w:rsidR="00A841DA" w:rsidRPr="009273C7" w:rsidRDefault="00A841DA" w:rsidP="0001256C">
            <w:pPr>
              <w:pStyle w:val="xl24"/>
              <w:spacing w:before="0" w:after="0"/>
              <w:jc w:val="both"/>
              <w:rPr>
                <w:szCs w:val="24"/>
              </w:rPr>
            </w:pPr>
            <w:r>
              <w:rPr>
                <w:szCs w:val="24"/>
              </w:rPr>
              <w:t>0</w:t>
            </w:r>
          </w:p>
        </w:tc>
        <w:tc>
          <w:tcPr>
            <w:tcW w:w="672" w:type="dxa"/>
          </w:tcPr>
          <w:p w14:paraId="004D69C6" w14:textId="77777777" w:rsidR="00A841DA" w:rsidRPr="009273C7" w:rsidRDefault="00A841DA" w:rsidP="0001256C">
            <w:pPr>
              <w:pStyle w:val="xl24"/>
              <w:spacing w:before="0" w:after="0"/>
              <w:jc w:val="both"/>
              <w:rPr>
                <w:szCs w:val="24"/>
              </w:rPr>
            </w:pPr>
            <w:r>
              <w:rPr>
                <w:szCs w:val="24"/>
              </w:rPr>
              <w:t>0</w:t>
            </w:r>
          </w:p>
        </w:tc>
        <w:tc>
          <w:tcPr>
            <w:tcW w:w="1535" w:type="dxa"/>
          </w:tcPr>
          <w:p w14:paraId="34DF7592" w14:textId="77777777" w:rsidR="00A841DA" w:rsidRPr="009273C7" w:rsidRDefault="003E4CEA" w:rsidP="0001256C">
            <w:pPr>
              <w:pStyle w:val="xl24"/>
              <w:spacing w:before="0" w:after="0"/>
              <w:jc w:val="both"/>
              <w:rPr>
                <w:szCs w:val="24"/>
              </w:rPr>
            </w:pPr>
            <w:r>
              <w:rPr>
                <w:szCs w:val="24"/>
              </w:rPr>
              <w:t>257,000</w:t>
            </w:r>
          </w:p>
        </w:tc>
      </w:tr>
    </w:tbl>
    <w:p w14:paraId="65367290" w14:textId="77777777" w:rsidR="00A841DA" w:rsidRPr="009273C7" w:rsidRDefault="00A841DA" w:rsidP="0001256C">
      <w:pPr>
        <w:pStyle w:val="xl24"/>
        <w:spacing w:before="0" w:after="0"/>
        <w:jc w:val="both"/>
        <w:rPr>
          <w:szCs w:val="24"/>
        </w:rPr>
      </w:pPr>
    </w:p>
    <w:p w14:paraId="74D5F0BA" w14:textId="77777777" w:rsidR="00A841DA" w:rsidRPr="009273C7" w:rsidRDefault="00A841DA" w:rsidP="0001256C">
      <w:pPr>
        <w:pStyle w:val="BodyText"/>
        <w:jc w:val="both"/>
        <w:rPr>
          <w:szCs w:val="24"/>
        </w:rPr>
      </w:pPr>
      <w:r w:rsidRPr="009273C7">
        <w:rPr>
          <w:szCs w:val="24"/>
          <w:u w:val="single"/>
        </w:rPr>
        <w:t xml:space="preserve">Personnel </w:t>
      </w:r>
      <w:r>
        <w:rPr>
          <w:szCs w:val="24"/>
          <w:u w:val="single"/>
        </w:rPr>
        <w:t>De</w:t>
      </w:r>
      <w:r w:rsidRPr="009273C7">
        <w:rPr>
          <w:szCs w:val="24"/>
          <w:u w:val="single"/>
        </w:rPr>
        <w:t>crease Cost Summary</w:t>
      </w:r>
    </w:p>
    <w:p w14:paraId="4E80F76C" w14:textId="77777777" w:rsidR="00A841DA" w:rsidRPr="009273C7" w:rsidRDefault="00A841DA" w:rsidP="0001256C">
      <w:pPr>
        <w:pStyle w:val="BodyText"/>
        <w:jc w:val="both"/>
        <w:rPr>
          <w:szCs w:val="24"/>
        </w:rPr>
      </w:pPr>
      <w:r w:rsidRPr="009273C7">
        <w:rPr>
          <w:szCs w:val="24"/>
        </w:rPr>
        <w:t>Not Applicable.</w:t>
      </w:r>
    </w:p>
    <w:p w14:paraId="44A0BAC8" w14:textId="77777777" w:rsidR="00A841DA" w:rsidRPr="009273C7" w:rsidRDefault="00A841DA" w:rsidP="0001256C">
      <w:pPr>
        <w:jc w:val="both"/>
      </w:pPr>
    </w:p>
    <w:p w14:paraId="652A6E9C" w14:textId="77777777" w:rsidR="00A841DA" w:rsidRPr="009273C7" w:rsidRDefault="00A841DA" w:rsidP="0001256C">
      <w:pPr>
        <w:pStyle w:val="xl24"/>
        <w:spacing w:before="0" w:after="0"/>
        <w:jc w:val="both"/>
        <w:rPr>
          <w:szCs w:val="24"/>
        </w:rPr>
      </w:pPr>
      <w:r w:rsidRPr="009273C7">
        <w:rPr>
          <w:szCs w:val="24"/>
        </w:rPr>
        <w:t xml:space="preserve">Non-Personnel </w:t>
      </w:r>
      <w:r>
        <w:rPr>
          <w:szCs w:val="24"/>
        </w:rPr>
        <w:t>De</w:t>
      </w:r>
      <w:r w:rsidRPr="009273C7">
        <w:rPr>
          <w:szCs w:val="24"/>
        </w:rPr>
        <w:t>crease Cost Summary</w:t>
      </w:r>
    </w:p>
    <w:p w14:paraId="27E23C5A" w14:textId="77777777" w:rsidR="00A841DA" w:rsidRPr="009273C7" w:rsidRDefault="00A841DA" w:rsidP="0001256C">
      <w:pPr>
        <w:pStyle w:val="xl24"/>
        <w:spacing w:before="0" w:after="0"/>
        <w:jc w:val="both"/>
        <w:rPr>
          <w:szCs w:val="24"/>
          <w:u w:val="none"/>
        </w:rPr>
      </w:pPr>
      <w:r w:rsidRPr="009273C7">
        <w:rPr>
          <w:szCs w:val="24"/>
          <w:u w:val="none"/>
        </w:rPr>
        <w:t>Not Applicable.</w:t>
      </w:r>
    </w:p>
    <w:p w14:paraId="2D320ED4" w14:textId="77777777" w:rsidR="00A841DA" w:rsidRDefault="00A841DA" w:rsidP="0001256C">
      <w:pPr>
        <w:pStyle w:val="xl24"/>
        <w:spacing w:before="0" w:after="0"/>
        <w:jc w:val="both"/>
        <w:rPr>
          <w:szCs w:val="24"/>
        </w:rPr>
      </w:pPr>
    </w:p>
    <w:p w14:paraId="746FB574" w14:textId="77777777" w:rsidR="00A841DA" w:rsidRPr="009273C7" w:rsidRDefault="00A841DA" w:rsidP="0001256C">
      <w:pPr>
        <w:pStyle w:val="xl24"/>
        <w:spacing w:before="0" w:after="0"/>
        <w:jc w:val="both"/>
        <w:rPr>
          <w:szCs w:val="24"/>
        </w:rPr>
      </w:pPr>
      <w:r w:rsidRPr="009273C7">
        <w:rPr>
          <w:szCs w:val="24"/>
        </w:rPr>
        <w:t>Total Request for this Item</w:t>
      </w:r>
    </w:p>
    <w:p w14:paraId="7C910631" w14:textId="77777777" w:rsidR="00A841DA" w:rsidRPr="009273C7" w:rsidRDefault="00A841DA" w:rsidP="0001256C">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77"/>
        <w:gridCol w:w="875"/>
        <w:gridCol w:w="1070"/>
        <w:gridCol w:w="849"/>
        <w:gridCol w:w="1528"/>
        <w:gridCol w:w="1422"/>
        <w:gridCol w:w="2017"/>
      </w:tblGrid>
      <w:tr w:rsidR="00A841DA" w:rsidRPr="009273C7" w14:paraId="5722B011" w14:textId="77777777" w:rsidTr="00A841DA">
        <w:trPr>
          <w:trHeight w:val="658"/>
        </w:trPr>
        <w:tc>
          <w:tcPr>
            <w:tcW w:w="1677" w:type="dxa"/>
            <w:shd w:val="clear" w:color="auto" w:fill="E6E6E6"/>
          </w:tcPr>
          <w:p w14:paraId="62A78B19" w14:textId="77777777" w:rsidR="00A841DA" w:rsidRPr="009273C7" w:rsidRDefault="00A841DA" w:rsidP="0001256C">
            <w:pPr>
              <w:jc w:val="both"/>
            </w:pPr>
          </w:p>
          <w:p w14:paraId="50901D51" w14:textId="77777777" w:rsidR="00A841DA" w:rsidRPr="009273C7" w:rsidRDefault="00A841DA" w:rsidP="0001256C">
            <w:pPr>
              <w:jc w:val="both"/>
            </w:pPr>
          </w:p>
        </w:tc>
        <w:tc>
          <w:tcPr>
            <w:tcW w:w="875" w:type="dxa"/>
            <w:vAlign w:val="center"/>
          </w:tcPr>
          <w:p w14:paraId="43C18118" w14:textId="77777777" w:rsidR="00A841DA" w:rsidRPr="009273C7" w:rsidRDefault="00A841DA" w:rsidP="0001256C">
            <w:pPr>
              <w:jc w:val="both"/>
            </w:pPr>
            <w:r w:rsidRPr="009273C7">
              <w:t>Pos</w:t>
            </w:r>
          </w:p>
        </w:tc>
        <w:tc>
          <w:tcPr>
            <w:tcW w:w="946" w:type="dxa"/>
            <w:vAlign w:val="center"/>
          </w:tcPr>
          <w:p w14:paraId="7182594C" w14:textId="77777777" w:rsidR="00A841DA" w:rsidRPr="009273C7" w:rsidRDefault="00A841DA" w:rsidP="0001256C">
            <w:pPr>
              <w:jc w:val="both"/>
            </w:pPr>
          </w:p>
          <w:p w14:paraId="30A8A1CF" w14:textId="77777777" w:rsidR="00A841DA" w:rsidRPr="009273C7" w:rsidRDefault="00A841DA" w:rsidP="0001256C">
            <w:pPr>
              <w:jc w:val="both"/>
            </w:pPr>
            <w:r w:rsidRPr="009273C7">
              <w:t>Agt/Atty</w:t>
            </w:r>
          </w:p>
          <w:p w14:paraId="50545CF0" w14:textId="77777777" w:rsidR="00A841DA" w:rsidRPr="009273C7" w:rsidRDefault="00A841DA" w:rsidP="0001256C">
            <w:pPr>
              <w:jc w:val="both"/>
            </w:pPr>
          </w:p>
        </w:tc>
        <w:tc>
          <w:tcPr>
            <w:tcW w:w="849" w:type="dxa"/>
            <w:vAlign w:val="center"/>
          </w:tcPr>
          <w:p w14:paraId="4F7E3BC1" w14:textId="77777777" w:rsidR="00A841DA" w:rsidRPr="009273C7" w:rsidRDefault="00A841DA" w:rsidP="0001256C">
            <w:pPr>
              <w:jc w:val="both"/>
            </w:pPr>
            <w:r w:rsidRPr="009273C7">
              <w:t>FTE</w:t>
            </w:r>
          </w:p>
        </w:tc>
        <w:tc>
          <w:tcPr>
            <w:tcW w:w="1528" w:type="dxa"/>
            <w:vAlign w:val="center"/>
          </w:tcPr>
          <w:p w14:paraId="38C7296A" w14:textId="77777777" w:rsidR="00A841DA" w:rsidRPr="009273C7" w:rsidRDefault="00A841DA" w:rsidP="0001256C">
            <w:pPr>
              <w:jc w:val="both"/>
            </w:pPr>
            <w:r w:rsidRPr="009273C7">
              <w:t>Personnel</w:t>
            </w:r>
          </w:p>
          <w:p w14:paraId="4B8C9A3A" w14:textId="77777777" w:rsidR="00A841DA" w:rsidRPr="009273C7" w:rsidRDefault="00A841DA" w:rsidP="0001256C">
            <w:pPr>
              <w:jc w:val="both"/>
            </w:pPr>
            <w:r w:rsidRPr="009273C7">
              <w:t>($000)</w:t>
            </w:r>
          </w:p>
        </w:tc>
        <w:tc>
          <w:tcPr>
            <w:tcW w:w="1422" w:type="dxa"/>
            <w:vAlign w:val="center"/>
          </w:tcPr>
          <w:p w14:paraId="6C05914A" w14:textId="77777777" w:rsidR="00A841DA" w:rsidRPr="009273C7" w:rsidRDefault="00A841DA" w:rsidP="0001256C">
            <w:pPr>
              <w:jc w:val="both"/>
            </w:pPr>
            <w:r w:rsidRPr="009273C7">
              <w:t>Non-Personnel</w:t>
            </w:r>
          </w:p>
          <w:p w14:paraId="2CA3A524" w14:textId="77777777" w:rsidR="00A841DA" w:rsidRPr="009273C7" w:rsidRDefault="00A841DA" w:rsidP="0001256C">
            <w:pPr>
              <w:jc w:val="both"/>
            </w:pPr>
            <w:r w:rsidRPr="009273C7">
              <w:t>($000)</w:t>
            </w:r>
          </w:p>
        </w:tc>
        <w:tc>
          <w:tcPr>
            <w:tcW w:w="2017" w:type="dxa"/>
            <w:vAlign w:val="center"/>
          </w:tcPr>
          <w:p w14:paraId="1D03273A" w14:textId="77777777" w:rsidR="00A841DA" w:rsidRPr="009273C7" w:rsidRDefault="00A841DA" w:rsidP="0001256C">
            <w:pPr>
              <w:jc w:val="both"/>
            </w:pPr>
            <w:r w:rsidRPr="009273C7">
              <w:t>Total</w:t>
            </w:r>
          </w:p>
          <w:p w14:paraId="1D04AB0C" w14:textId="77777777" w:rsidR="00A841DA" w:rsidRPr="009273C7" w:rsidRDefault="00A841DA" w:rsidP="0001256C">
            <w:pPr>
              <w:jc w:val="both"/>
            </w:pPr>
            <w:r w:rsidRPr="009273C7">
              <w:t>($000)</w:t>
            </w:r>
          </w:p>
        </w:tc>
      </w:tr>
      <w:tr w:rsidR="00A841DA" w:rsidRPr="009273C7" w14:paraId="6844689A" w14:textId="77777777" w:rsidTr="00A841DA">
        <w:trPr>
          <w:trHeight w:val="215"/>
        </w:trPr>
        <w:tc>
          <w:tcPr>
            <w:tcW w:w="1677" w:type="dxa"/>
          </w:tcPr>
          <w:p w14:paraId="68C96BAB" w14:textId="77777777" w:rsidR="00A841DA" w:rsidRPr="009273C7" w:rsidRDefault="00A841DA" w:rsidP="0001256C">
            <w:pPr>
              <w:jc w:val="both"/>
            </w:pPr>
            <w:r w:rsidRPr="009273C7">
              <w:t>Current Services</w:t>
            </w:r>
          </w:p>
        </w:tc>
        <w:tc>
          <w:tcPr>
            <w:tcW w:w="875" w:type="dxa"/>
            <w:vAlign w:val="center"/>
          </w:tcPr>
          <w:p w14:paraId="123463C1" w14:textId="77777777" w:rsidR="00A841DA" w:rsidRPr="009273C7" w:rsidRDefault="00A841DA" w:rsidP="0001256C">
            <w:pPr>
              <w:jc w:val="both"/>
            </w:pPr>
            <w:r>
              <w:t>0</w:t>
            </w:r>
          </w:p>
        </w:tc>
        <w:tc>
          <w:tcPr>
            <w:tcW w:w="946" w:type="dxa"/>
            <w:vAlign w:val="center"/>
          </w:tcPr>
          <w:p w14:paraId="7EE3946A" w14:textId="77777777" w:rsidR="00A841DA" w:rsidRPr="009273C7" w:rsidRDefault="00A841DA" w:rsidP="0001256C">
            <w:pPr>
              <w:jc w:val="both"/>
            </w:pPr>
            <w:r>
              <w:t>0</w:t>
            </w:r>
          </w:p>
        </w:tc>
        <w:tc>
          <w:tcPr>
            <w:tcW w:w="849" w:type="dxa"/>
            <w:vAlign w:val="center"/>
          </w:tcPr>
          <w:p w14:paraId="7BC19446" w14:textId="77777777" w:rsidR="00A841DA" w:rsidRPr="009273C7" w:rsidRDefault="00A841DA" w:rsidP="0001256C">
            <w:pPr>
              <w:jc w:val="both"/>
            </w:pPr>
            <w:r>
              <w:t>0</w:t>
            </w:r>
          </w:p>
        </w:tc>
        <w:tc>
          <w:tcPr>
            <w:tcW w:w="1528" w:type="dxa"/>
            <w:vAlign w:val="center"/>
          </w:tcPr>
          <w:p w14:paraId="4C6245AD" w14:textId="77777777" w:rsidR="00A841DA" w:rsidRPr="009273C7" w:rsidRDefault="00A841DA" w:rsidP="0001256C">
            <w:pPr>
              <w:jc w:val="both"/>
            </w:pPr>
            <w:r>
              <w:t>0</w:t>
            </w:r>
          </w:p>
        </w:tc>
        <w:tc>
          <w:tcPr>
            <w:tcW w:w="1422" w:type="dxa"/>
            <w:vAlign w:val="center"/>
          </w:tcPr>
          <w:p w14:paraId="7117EE9D" w14:textId="77777777" w:rsidR="00A841DA" w:rsidRPr="009273C7" w:rsidRDefault="003E4CEA" w:rsidP="0001256C">
            <w:pPr>
              <w:jc w:val="both"/>
            </w:pPr>
            <w:r>
              <w:t>257,000</w:t>
            </w:r>
          </w:p>
        </w:tc>
        <w:tc>
          <w:tcPr>
            <w:tcW w:w="2017" w:type="dxa"/>
            <w:vAlign w:val="center"/>
          </w:tcPr>
          <w:p w14:paraId="3E29E509" w14:textId="77777777" w:rsidR="00A841DA" w:rsidRPr="001A1887" w:rsidRDefault="00B40823" w:rsidP="0001256C">
            <w:pPr>
              <w:jc w:val="both"/>
            </w:pPr>
            <w:r>
              <w:t>166,000</w:t>
            </w:r>
          </w:p>
        </w:tc>
      </w:tr>
      <w:tr w:rsidR="00A841DA" w:rsidRPr="009273C7" w14:paraId="1D0735E8" w14:textId="77777777" w:rsidTr="00A841DA">
        <w:trPr>
          <w:trHeight w:val="215"/>
        </w:trPr>
        <w:tc>
          <w:tcPr>
            <w:tcW w:w="1677" w:type="dxa"/>
          </w:tcPr>
          <w:p w14:paraId="236DD016" w14:textId="77777777" w:rsidR="00A841DA" w:rsidRPr="009273C7" w:rsidRDefault="00A841DA" w:rsidP="0001256C">
            <w:pPr>
              <w:jc w:val="both"/>
            </w:pPr>
            <w:r>
              <w:t>De</w:t>
            </w:r>
            <w:r w:rsidRPr="009273C7">
              <w:t>creases</w:t>
            </w:r>
          </w:p>
        </w:tc>
        <w:tc>
          <w:tcPr>
            <w:tcW w:w="875" w:type="dxa"/>
            <w:vAlign w:val="center"/>
          </w:tcPr>
          <w:p w14:paraId="46D4A44C" w14:textId="77777777" w:rsidR="00A841DA" w:rsidRPr="009273C7" w:rsidRDefault="00A841DA" w:rsidP="0001256C">
            <w:pPr>
              <w:jc w:val="both"/>
            </w:pPr>
            <w:r>
              <w:t>0</w:t>
            </w:r>
          </w:p>
        </w:tc>
        <w:tc>
          <w:tcPr>
            <w:tcW w:w="946" w:type="dxa"/>
          </w:tcPr>
          <w:p w14:paraId="66AFDC50" w14:textId="77777777" w:rsidR="00A841DA" w:rsidRPr="009273C7" w:rsidRDefault="00A841DA" w:rsidP="0001256C">
            <w:pPr>
              <w:jc w:val="both"/>
            </w:pPr>
            <w:r>
              <w:t>0</w:t>
            </w:r>
          </w:p>
        </w:tc>
        <w:tc>
          <w:tcPr>
            <w:tcW w:w="849" w:type="dxa"/>
          </w:tcPr>
          <w:p w14:paraId="03A3C7B3" w14:textId="77777777" w:rsidR="00A841DA" w:rsidRPr="009273C7" w:rsidRDefault="00A841DA" w:rsidP="0001256C">
            <w:pPr>
              <w:jc w:val="both"/>
            </w:pPr>
            <w:r>
              <w:t>0</w:t>
            </w:r>
          </w:p>
        </w:tc>
        <w:tc>
          <w:tcPr>
            <w:tcW w:w="1528" w:type="dxa"/>
          </w:tcPr>
          <w:p w14:paraId="3D30E150" w14:textId="77777777" w:rsidR="00A841DA" w:rsidRPr="009273C7" w:rsidRDefault="00A841DA" w:rsidP="0001256C">
            <w:pPr>
              <w:jc w:val="both"/>
            </w:pPr>
            <w:r>
              <w:t>0</w:t>
            </w:r>
          </w:p>
        </w:tc>
        <w:tc>
          <w:tcPr>
            <w:tcW w:w="1422" w:type="dxa"/>
            <w:vAlign w:val="center"/>
          </w:tcPr>
          <w:p w14:paraId="17409840" w14:textId="77777777" w:rsidR="00A841DA" w:rsidRPr="000319B8" w:rsidRDefault="00A841DA" w:rsidP="0001256C">
            <w:pPr>
              <w:jc w:val="both"/>
            </w:pPr>
            <w:r>
              <w:t>0</w:t>
            </w:r>
          </w:p>
        </w:tc>
        <w:tc>
          <w:tcPr>
            <w:tcW w:w="2017" w:type="dxa"/>
            <w:vAlign w:val="center"/>
          </w:tcPr>
          <w:p w14:paraId="241D8F17" w14:textId="77777777" w:rsidR="00A841DA" w:rsidRPr="009273C7" w:rsidRDefault="00B40823" w:rsidP="0001256C">
            <w:pPr>
              <w:jc w:val="both"/>
            </w:pPr>
            <w:r>
              <w:t>91,000</w:t>
            </w:r>
          </w:p>
        </w:tc>
      </w:tr>
      <w:tr w:rsidR="00A841DA" w:rsidRPr="009273C7" w14:paraId="064E63F1" w14:textId="77777777" w:rsidTr="00A841DA">
        <w:trPr>
          <w:trHeight w:val="107"/>
        </w:trPr>
        <w:tc>
          <w:tcPr>
            <w:tcW w:w="1677" w:type="dxa"/>
          </w:tcPr>
          <w:p w14:paraId="38ABC2E0" w14:textId="77777777" w:rsidR="00A841DA" w:rsidRPr="009273C7" w:rsidRDefault="00A841DA" w:rsidP="0001256C">
            <w:pPr>
              <w:jc w:val="both"/>
            </w:pPr>
            <w:r w:rsidRPr="009273C7">
              <w:t>Grand Total</w:t>
            </w:r>
          </w:p>
        </w:tc>
        <w:tc>
          <w:tcPr>
            <w:tcW w:w="875" w:type="dxa"/>
            <w:vAlign w:val="center"/>
          </w:tcPr>
          <w:p w14:paraId="305FCAB1" w14:textId="77777777" w:rsidR="00A841DA" w:rsidRPr="009273C7" w:rsidRDefault="00A841DA" w:rsidP="0001256C">
            <w:pPr>
              <w:jc w:val="both"/>
            </w:pPr>
            <w:r>
              <w:t>0</w:t>
            </w:r>
          </w:p>
        </w:tc>
        <w:tc>
          <w:tcPr>
            <w:tcW w:w="946" w:type="dxa"/>
          </w:tcPr>
          <w:p w14:paraId="65EFAE6F" w14:textId="77777777" w:rsidR="00A841DA" w:rsidRPr="009273C7" w:rsidRDefault="00A841DA" w:rsidP="0001256C">
            <w:pPr>
              <w:jc w:val="both"/>
            </w:pPr>
            <w:r>
              <w:t>0</w:t>
            </w:r>
          </w:p>
        </w:tc>
        <w:tc>
          <w:tcPr>
            <w:tcW w:w="849" w:type="dxa"/>
          </w:tcPr>
          <w:p w14:paraId="3703B2C3" w14:textId="77777777" w:rsidR="00A841DA" w:rsidRPr="009273C7" w:rsidRDefault="00A841DA" w:rsidP="0001256C">
            <w:pPr>
              <w:jc w:val="both"/>
            </w:pPr>
            <w:r>
              <w:t>0</w:t>
            </w:r>
          </w:p>
        </w:tc>
        <w:tc>
          <w:tcPr>
            <w:tcW w:w="1528" w:type="dxa"/>
          </w:tcPr>
          <w:p w14:paraId="23EDC5E6" w14:textId="77777777" w:rsidR="00A841DA" w:rsidRPr="009273C7" w:rsidRDefault="00A841DA" w:rsidP="0001256C">
            <w:pPr>
              <w:jc w:val="both"/>
            </w:pPr>
            <w:r>
              <w:t>0</w:t>
            </w:r>
          </w:p>
        </w:tc>
        <w:tc>
          <w:tcPr>
            <w:tcW w:w="1422" w:type="dxa"/>
            <w:vAlign w:val="center"/>
          </w:tcPr>
          <w:p w14:paraId="73CDC0F9" w14:textId="77777777" w:rsidR="00A841DA" w:rsidRPr="009273C7" w:rsidRDefault="003E4CEA" w:rsidP="0001256C">
            <w:pPr>
              <w:jc w:val="both"/>
            </w:pPr>
            <w:r>
              <w:t>257,000</w:t>
            </w:r>
          </w:p>
        </w:tc>
        <w:tc>
          <w:tcPr>
            <w:tcW w:w="2017" w:type="dxa"/>
            <w:vAlign w:val="center"/>
          </w:tcPr>
          <w:p w14:paraId="3771080B" w14:textId="77777777" w:rsidR="00A841DA" w:rsidRPr="009273C7" w:rsidRDefault="003E4CEA" w:rsidP="0001256C">
            <w:pPr>
              <w:jc w:val="both"/>
            </w:pPr>
            <w:r>
              <w:t>257,000</w:t>
            </w:r>
          </w:p>
        </w:tc>
      </w:tr>
    </w:tbl>
    <w:p w14:paraId="085CD525" w14:textId="77777777" w:rsidR="00A841DA" w:rsidRDefault="00A841DA" w:rsidP="0001256C">
      <w:pPr>
        <w:pStyle w:val="xl19"/>
        <w:tabs>
          <w:tab w:val="left" w:pos="3420"/>
          <w:tab w:val="right" w:pos="8640"/>
        </w:tabs>
        <w:spacing w:before="0" w:after="0"/>
        <w:jc w:val="both"/>
        <w:rPr>
          <w:b/>
          <w:szCs w:val="24"/>
        </w:rPr>
      </w:pPr>
    </w:p>
    <w:p w14:paraId="6C698F95" w14:textId="77777777" w:rsidR="00C45774" w:rsidRDefault="00C45774" w:rsidP="0001256C">
      <w:pPr>
        <w:pStyle w:val="xl19"/>
        <w:tabs>
          <w:tab w:val="left" w:pos="3420"/>
          <w:tab w:val="right" w:pos="8640"/>
        </w:tabs>
        <w:spacing w:before="0" w:after="0"/>
        <w:jc w:val="both"/>
        <w:rPr>
          <w:b/>
          <w:szCs w:val="24"/>
        </w:rPr>
      </w:pPr>
    </w:p>
    <w:sectPr w:rsidR="00C45774" w:rsidSect="00C5780B">
      <w:headerReference w:type="even" r:id="rId18"/>
      <w:headerReference w:type="default" r:id="rId19"/>
      <w:headerReference w:type="first" r:id="rId20"/>
      <w:pgSz w:w="12240" w:h="15840" w:code="1"/>
      <w:pgMar w:top="1152" w:right="1440" w:bottom="1152" w:left="1440" w:header="432" w:footer="43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0B2320" w14:textId="77777777" w:rsidR="00657CA3" w:rsidRDefault="00657CA3">
      <w:r>
        <w:separator/>
      </w:r>
    </w:p>
  </w:endnote>
  <w:endnote w:type="continuationSeparator" w:id="0">
    <w:p w14:paraId="617868F1" w14:textId="77777777" w:rsidR="00657CA3" w:rsidRDefault="00657C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00218A" w14:textId="73D47B34" w:rsidR="00657CA3" w:rsidRDefault="00605688">
    <w:pPr>
      <w:pStyle w:val="Footer"/>
      <w:jc w:val="center"/>
    </w:pPr>
    <w:r>
      <w:fldChar w:fldCharType="begin"/>
    </w:r>
    <w:r>
      <w:instrText xml:space="preserve"> PAGE   \* MERGEFORMAT </w:instrText>
    </w:r>
    <w:r>
      <w:fldChar w:fldCharType="separate"/>
    </w:r>
    <w:r>
      <w:rPr>
        <w:noProof/>
      </w:rPr>
      <w:t>14</w:t>
    </w:r>
    <w:r>
      <w:rPr>
        <w:noProof/>
      </w:rPr>
      <w:fldChar w:fldCharType="end"/>
    </w:r>
  </w:p>
  <w:p w14:paraId="25137444" w14:textId="77777777" w:rsidR="00657CA3" w:rsidRDefault="00657C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8281474"/>
      <w:docPartObj>
        <w:docPartGallery w:val="Page Numbers (Bottom of Page)"/>
        <w:docPartUnique/>
      </w:docPartObj>
    </w:sdtPr>
    <w:sdtEndPr>
      <w:rPr>
        <w:noProof/>
      </w:rPr>
    </w:sdtEndPr>
    <w:sdtContent>
      <w:p w14:paraId="5EC48BC2" w14:textId="1B65B7E9" w:rsidR="00657CA3" w:rsidRDefault="00605688">
        <w:pPr>
          <w:pStyle w:val="Footer"/>
          <w:jc w:val="center"/>
        </w:pPr>
        <w:r>
          <w:fldChar w:fldCharType="begin"/>
        </w:r>
        <w:r>
          <w:instrText xml:space="preserve"> PAGE   \* MERGEFORMAT </w:instrText>
        </w:r>
        <w:r>
          <w:fldChar w:fldCharType="separate"/>
        </w:r>
        <w:r>
          <w:rPr>
            <w:noProof/>
          </w:rPr>
          <w:t>0</w:t>
        </w:r>
        <w:r>
          <w:rPr>
            <w:noProof/>
          </w:rPr>
          <w:fldChar w:fldCharType="end"/>
        </w:r>
      </w:p>
    </w:sdtContent>
  </w:sdt>
  <w:p w14:paraId="35327F66" w14:textId="77777777" w:rsidR="00657CA3" w:rsidRDefault="00657C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00D86A" w14:textId="77777777" w:rsidR="00657CA3" w:rsidRDefault="00657CA3">
      <w:r>
        <w:separator/>
      </w:r>
    </w:p>
  </w:footnote>
  <w:footnote w:type="continuationSeparator" w:id="0">
    <w:p w14:paraId="66083766" w14:textId="77777777" w:rsidR="00657CA3" w:rsidRDefault="00657C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CB772B" w14:textId="77777777" w:rsidR="00657CA3" w:rsidRDefault="00657C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AFD9A9" w14:textId="77777777" w:rsidR="00657CA3" w:rsidRDefault="00657CA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551696" w14:textId="77777777" w:rsidR="00657CA3" w:rsidRDefault="00657C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71EA816E"/>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rPr>
        <w:rFonts w:cs="Times New Roman"/>
      </w:rPr>
    </w:lvl>
  </w:abstractNum>
  <w:abstractNum w:abstractNumId="2" w15:restartNumberingAfterBreak="0">
    <w:nsid w:val="0FE629AF"/>
    <w:multiLevelType w:val="hybridMultilevel"/>
    <w:tmpl w:val="8F88F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B050E1"/>
    <w:multiLevelType w:val="hybridMultilevel"/>
    <w:tmpl w:val="03E4BD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65669D"/>
    <w:multiLevelType w:val="hybridMultilevel"/>
    <w:tmpl w:val="BB16F282"/>
    <w:lvl w:ilvl="0" w:tplc="04090005">
      <w:start w:val="1"/>
      <w:numFmt w:val="bullet"/>
      <w:lvlText w:val=""/>
      <w:lvlJc w:val="left"/>
      <w:pPr>
        <w:tabs>
          <w:tab w:val="num" w:pos="990"/>
        </w:tabs>
        <w:ind w:left="990" w:hanging="360"/>
      </w:pPr>
      <w:rPr>
        <w:rFonts w:ascii="Wingdings" w:hAnsi="Wingdings" w:hint="default"/>
      </w:rPr>
    </w:lvl>
    <w:lvl w:ilvl="1" w:tplc="04090003" w:tentative="1">
      <w:start w:val="1"/>
      <w:numFmt w:val="bullet"/>
      <w:lvlText w:val="o"/>
      <w:lvlJc w:val="left"/>
      <w:pPr>
        <w:tabs>
          <w:tab w:val="num" w:pos="1710"/>
        </w:tabs>
        <w:ind w:left="1710" w:hanging="360"/>
      </w:pPr>
      <w:rPr>
        <w:rFonts w:ascii="Courier New" w:hAnsi="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5" w15:restartNumberingAfterBreak="0">
    <w:nsid w:val="1A0C6733"/>
    <w:multiLevelType w:val="hybridMultilevel"/>
    <w:tmpl w:val="3BD4C0EA"/>
    <w:lvl w:ilvl="0" w:tplc="04090015">
      <w:start w:val="2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155BAE"/>
    <w:multiLevelType w:val="hybridMultilevel"/>
    <w:tmpl w:val="53C62E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B00FFE"/>
    <w:multiLevelType w:val="hybridMultilevel"/>
    <w:tmpl w:val="C3DE9290"/>
    <w:lvl w:ilvl="0" w:tplc="04090005">
      <w:start w:val="1"/>
      <w:numFmt w:val="bullet"/>
      <w:lvlText w:val=""/>
      <w:lvlJc w:val="left"/>
      <w:pPr>
        <w:tabs>
          <w:tab w:val="num" w:pos="360"/>
        </w:tabs>
        <w:ind w:left="360" w:hanging="360"/>
      </w:pPr>
      <w:rPr>
        <w:rFonts w:ascii="Wingdings" w:hAnsi="Wingdings" w:hint="default"/>
      </w:rPr>
    </w:lvl>
    <w:lvl w:ilvl="1" w:tplc="04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BB118E7"/>
    <w:multiLevelType w:val="hybridMultilevel"/>
    <w:tmpl w:val="6B68DDC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C16394D"/>
    <w:multiLevelType w:val="hybridMultilevel"/>
    <w:tmpl w:val="8222DF40"/>
    <w:lvl w:ilvl="0" w:tplc="866660D0">
      <w:start w:val="6"/>
      <w:numFmt w:val="upperLetter"/>
      <w:pStyle w:val="Heading4"/>
      <w:lvlText w:val="%1."/>
      <w:lvlJc w:val="left"/>
      <w:pPr>
        <w:tabs>
          <w:tab w:val="num" w:pos="1080"/>
        </w:tabs>
        <w:ind w:left="1080" w:hanging="720"/>
      </w:pPr>
      <w:rPr>
        <w:rFonts w:hint="default"/>
        <w:b/>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4CF4501"/>
    <w:multiLevelType w:val="hybridMultilevel"/>
    <w:tmpl w:val="F870630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53774B9"/>
    <w:multiLevelType w:val="hybridMultilevel"/>
    <w:tmpl w:val="EF4CC7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EE375D0"/>
    <w:multiLevelType w:val="multilevel"/>
    <w:tmpl w:val="F7C6184A"/>
    <w:lvl w:ilvl="0">
      <w:start w:val="1"/>
      <w:numFmt w:val="upp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3" w15:restartNumberingAfterBreak="0">
    <w:nsid w:val="2F923EC8"/>
    <w:multiLevelType w:val="hybridMultilevel"/>
    <w:tmpl w:val="72440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340409"/>
    <w:multiLevelType w:val="hybridMultilevel"/>
    <w:tmpl w:val="1BAE2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76635F"/>
    <w:multiLevelType w:val="hybridMultilevel"/>
    <w:tmpl w:val="EEF23D7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466626D"/>
    <w:multiLevelType w:val="hybridMultilevel"/>
    <w:tmpl w:val="CCBAA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C87508"/>
    <w:multiLevelType w:val="hybridMultilevel"/>
    <w:tmpl w:val="297019EE"/>
    <w:lvl w:ilvl="0" w:tplc="DFF8E560">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1540C5"/>
    <w:multiLevelType w:val="hybridMultilevel"/>
    <w:tmpl w:val="21A07FA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AE610F8"/>
    <w:multiLevelType w:val="hybridMultilevel"/>
    <w:tmpl w:val="68A29BE6"/>
    <w:lvl w:ilvl="0" w:tplc="8268492C">
      <w:start w:val="1"/>
      <w:numFmt w:val="bullet"/>
      <w:lvlText w:val=""/>
      <w:lvlJc w:val="left"/>
      <w:pPr>
        <w:tabs>
          <w:tab w:val="num" w:pos="360"/>
        </w:tabs>
        <w:ind w:left="360" w:hanging="360"/>
      </w:pPr>
      <w:rPr>
        <w:rFonts w:ascii="Wingdings" w:hAnsi="Wingdings" w:hint="default"/>
        <w:color w:val="auto"/>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D3B2840"/>
    <w:multiLevelType w:val="hybridMultilevel"/>
    <w:tmpl w:val="8CEE0ED2"/>
    <w:lvl w:ilvl="0" w:tplc="04090005">
      <w:start w:val="1"/>
      <w:numFmt w:val="bullet"/>
      <w:lvlText w:val=""/>
      <w:lvlJc w:val="left"/>
      <w:pPr>
        <w:tabs>
          <w:tab w:val="num" w:pos="360"/>
        </w:tabs>
        <w:ind w:left="360" w:hanging="360"/>
      </w:pPr>
      <w:rPr>
        <w:rFonts w:ascii="Wingdings" w:hAnsi="Wingdings" w:hint="default"/>
      </w:rPr>
    </w:lvl>
    <w:lvl w:ilvl="1" w:tplc="04090005">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52C63B19"/>
    <w:multiLevelType w:val="hybridMultilevel"/>
    <w:tmpl w:val="E27C4140"/>
    <w:lvl w:ilvl="0" w:tplc="AF7C9FE6">
      <w:start w:val="1"/>
      <w:numFmt w:val="upperLetter"/>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22" w15:restartNumberingAfterBreak="0">
    <w:nsid w:val="52C7507C"/>
    <w:multiLevelType w:val="hybridMultilevel"/>
    <w:tmpl w:val="EFE8214E"/>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83702AB"/>
    <w:multiLevelType w:val="hybridMultilevel"/>
    <w:tmpl w:val="F03E0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B75A7B"/>
    <w:multiLevelType w:val="multilevel"/>
    <w:tmpl w:val="E46C8040"/>
    <w:lvl w:ilvl="0">
      <w:start w:val="1"/>
      <w:numFmt w:val="upperLetter"/>
      <w:pStyle w:val="Heading6"/>
      <w:lvlText w:val="%1."/>
      <w:lvlJc w:val="left"/>
      <w:pPr>
        <w:tabs>
          <w:tab w:val="num" w:pos="1080"/>
        </w:tabs>
        <w:ind w:left="1080" w:hanging="360"/>
      </w:pPr>
      <w:rPr>
        <w:rFonts w:hint="default"/>
        <w:b/>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5" w15:restartNumberingAfterBreak="0">
    <w:nsid w:val="5B5D4BCF"/>
    <w:multiLevelType w:val="hybridMultilevel"/>
    <w:tmpl w:val="14A0B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BC1049"/>
    <w:multiLevelType w:val="hybridMultilevel"/>
    <w:tmpl w:val="CE14673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ED3F44"/>
    <w:multiLevelType w:val="hybridMultilevel"/>
    <w:tmpl w:val="03E24C6C"/>
    <w:lvl w:ilvl="0" w:tplc="945C1286">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2953E22"/>
    <w:multiLevelType w:val="hybridMultilevel"/>
    <w:tmpl w:val="BFC43E6C"/>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63975CFF"/>
    <w:multiLevelType w:val="hybridMultilevel"/>
    <w:tmpl w:val="EC0ADA7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0" w15:restartNumberingAfterBreak="0">
    <w:nsid w:val="67D930DD"/>
    <w:multiLevelType w:val="hybridMultilevel"/>
    <w:tmpl w:val="701EA6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8AA1B5E"/>
    <w:multiLevelType w:val="hybridMultilevel"/>
    <w:tmpl w:val="F07EDA0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8D926A3"/>
    <w:multiLevelType w:val="hybridMultilevel"/>
    <w:tmpl w:val="08F0523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C52309"/>
    <w:multiLevelType w:val="hybridMultilevel"/>
    <w:tmpl w:val="2FFE7D70"/>
    <w:lvl w:ilvl="0" w:tplc="0409000F">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15:restartNumberingAfterBreak="0">
    <w:nsid w:val="7C8960DC"/>
    <w:multiLevelType w:val="hybridMultilevel"/>
    <w:tmpl w:val="24843E0E"/>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9"/>
  </w:num>
  <w:num w:numId="3">
    <w:abstractNumId w:val="0"/>
  </w:num>
  <w:num w:numId="4">
    <w:abstractNumId w:val="12"/>
  </w:num>
  <w:num w:numId="5">
    <w:abstractNumId w:val="12"/>
    <w:lvlOverride w:ilvl="0">
      <w:lvl w:ilvl="0">
        <w:start w:val="1"/>
        <w:numFmt w:val="upp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6">
    <w:abstractNumId w:val="12"/>
    <w:lvlOverride w:ilvl="0">
      <w:lvl w:ilvl="0">
        <w:start w:val="1"/>
        <w:numFmt w:val="upp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7">
    <w:abstractNumId w:val="12"/>
    <w:lvlOverride w:ilvl="0">
      <w:lvl w:ilvl="0">
        <w:start w:val="1"/>
        <w:numFmt w:val="upp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8">
    <w:abstractNumId w:val="12"/>
    <w:lvlOverride w:ilvl="0">
      <w:lvl w:ilvl="0">
        <w:start w:val="1"/>
        <w:numFmt w:val="upp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9">
    <w:abstractNumId w:val="12"/>
    <w:lvlOverride w:ilvl="0">
      <w:lvl w:ilvl="0">
        <w:start w:val="1"/>
        <w:numFmt w:val="upp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0">
    <w:abstractNumId w:val="12"/>
    <w:lvlOverride w:ilvl="0">
      <w:lvl w:ilvl="0">
        <w:start w:val="1"/>
        <w:numFmt w:val="upp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1">
    <w:abstractNumId w:val="12"/>
    <w:lvlOverride w:ilvl="0">
      <w:lvl w:ilvl="0">
        <w:start w:val="1"/>
        <w:numFmt w:val="upp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2">
    <w:abstractNumId w:val="12"/>
    <w:lvlOverride w:ilvl="0">
      <w:lvl w:ilvl="0">
        <w:start w:val="1"/>
        <w:numFmt w:val="upp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3">
    <w:abstractNumId w:val="12"/>
    <w:lvlOverride w:ilvl="0">
      <w:lvl w:ilvl="0">
        <w:start w:val="1"/>
        <w:numFmt w:val="upp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4">
    <w:abstractNumId w:val="12"/>
    <w:lvlOverride w:ilvl="0">
      <w:lvl w:ilvl="0">
        <w:start w:val="1"/>
        <w:numFmt w:val="upp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5">
    <w:abstractNumId w:val="12"/>
    <w:lvlOverride w:ilvl="0">
      <w:lvl w:ilvl="0">
        <w:start w:val="1"/>
        <w:numFmt w:val="upp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6">
    <w:abstractNumId w:val="12"/>
    <w:lvlOverride w:ilvl="0">
      <w:lvl w:ilvl="0">
        <w:start w:val="1"/>
        <w:numFmt w:val="upp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7">
    <w:abstractNumId w:val="4"/>
  </w:num>
  <w:num w:numId="18">
    <w:abstractNumId w:val="34"/>
  </w:num>
  <w:num w:numId="19">
    <w:abstractNumId w:val="7"/>
  </w:num>
  <w:num w:numId="20">
    <w:abstractNumId w:val="15"/>
  </w:num>
  <w:num w:numId="21">
    <w:abstractNumId w:val="10"/>
  </w:num>
  <w:num w:numId="22">
    <w:abstractNumId w:val="28"/>
  </w:num>
  <w:num w:numId="23">
    <w:abstractNumId w:val="22"/>
  </w:num>
  <w:num w:numId="24">
    <w:abstractNumId w:val="18"/>
  </w:num>
  <w:num w:numId="25">
    <w:abstractNumId w:val="8"/>
  </w:num>
  <w:num w:numId="26">
    <w:abstractNumId w:val="20"/>
  </w:num>
  <w:num w:numId="27">
    <w:abstractNumId w:val="19"/>
  </w:num>
  <w:num w:numId="28">
    <w:abstractNumId w:val="27"/>
  </w:num>
  <w:num w:numId="29">
    <w:abstractNumId w:val="1"/>
    <w:lvlOverride w:ilvl="0">
      <w:lvl w:ilvl="0">
        <w:start w:val="1"/>
        <w:numFmt w:val="bullet"/>
        <w:lvlText w:val=""/>
        <w:legacy w:legacy="1" w:legacySpace="0" w:legacyIndent="360"/>
        <w:lvlJc w:val="left"/>
        <w:pPr>
          <w:ind w:left="360" w:hanging="360"/>
        </w:pPr>
        <w:rPr>
          <w:rFonts w:ascii="Wingdings" w:hAnsi="Wingdings" w:hint="default"/>
        </w:rPr>
      </w:lvl>
    </w:lvlOverride>
  </w:num>
  <w:num w:numId="30">
    <w:abstractNumId w:val="17"/>
  </w:num>
  <w:num w:numId="31">
    <w:abstractNumId w:val="21"/>
  </w:num>
  <w:num w:numId="32">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num>
  <w:num w:numId="3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1"/>
  </w:num>
  <w:num w:numId="36">
    <w:abstractNumId w:val="32"/>
  </w:num>
  <w:num w:numId="37">
    <w:abstractNumId w:val="30"/>
  </w:num>
  <w:num w:numId="38">
    <w:abstractNumId w:val="26"/>
  </w:num>
  <w:num w:numId="39">
    <w:abstractNumId w:val="3"/>
  </w:num>
  <w:num w:numId="40">
    <w:abstractNumId w:val="11"/>
  </w:num>
  <w:num w:numId="41">
    <w:abstractNumId w:val="2"/>
  </w:num>
  <w:num w:numId="42">
    <w:abstractNumId w:val="25"/>
  </w:num>
  <w:num w:numId="43">
    <w:abstractNumId w:val="14"/>
  </w:num>
  <w:num w:numId="44">
    <w:abstractNumId w:val="23"/>
  </w:num>
  <w:num w:numId="45">
    <w:abstractNumId w:val="13"/>
  </w:num>
  <w:num w:numId="46">
    <w:abstractNumId w:val="5"/>
  </w:num>
  <w:num w:numId="47">
    <w:abstractNumId w:val="6"/>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20"/>
  <w:displayHorizontalDrawingGridEvery w:val="2"/>
  <w:noPunctuationKerning/>
  <w:characterSpacingControl w:val="doNotCompress"/>
  <w:hdrShapeDefaults>
    <o:shapedefaults v:ext="edit" spidmax="140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E7B"/>
    <w:rsid w:val="0000365E"/>
    <w:rsid w:val="000046FE"/>
    <w:rsid w:val="00004C11"/>
    <w:rsid w:val="00005EFD"/>
    <w:rsid w:val="00006EDF"/>
    <w:rsid w:val="00007D0A"/>
    <w:rsid w:val="00011207"/>
    <w:rsid w:val="000114F5"/>
    <w:rsid w:val="0001256C"/>
    <w:rsid w:val="0001481B"/>
    <w:rsid w:val="00014F8E"/>
    <w:rsid w:val="000164DC"/>
    <w:rsid w:val="000203AA"/>
    <w:rsid w:val="00020E07"/>
    <w:rsid w:val="000214CE"/>
    <w:rsid w:val="000214F1"/>
    <w:rsid w:val="00022D72"/>
    <w:rsid w:val="00022FC9"/>
    <w:rsid w:val="00023728"/>
    <w:rsid w:val="000241D7"/>
    <w:rsid w:val="00025868"/>
    <w:rsid w:val="00025EF7"/>
    <w:rsid w:val="00026D4D"/>
    <w:rsid w:val="000306BC"/>
    <w:rsid w:val="00030811"/>
    <w:rsid w:val="000308BD"/>
    <w:rsid w:val="00031830"/>
    <w:rsid w:val="000319B8"/>
    <w:rsid w:val="000322AF"/>
    <w:rsid w:val="000324AF"/>
    <w:rsid w:val="000332A2"/>
    <w:rsid w:val="0003390B"/>
    <w:rsid w:val="00034954"/>
    <w:rsid w:val="000367DC"/>
    <w:rsid w:val="00041736"/>
    <w:rsid w:val="00042B3C"/>
    <w:rsid w:val="0004379F"/>
    <w:rsid w:val="0004475E"/>
    <w:rsid w:val="00044C68"/>
    <w:rsid w:val="00045583"/>
    <w:rsid w:val="00050E0C"/>
    <w:rsid w:val="00051137"/>
    <w:rsid w:val="00051B02"/>
    <w:rsid w:val="00051D53"/>
    <w:rsid w:val="0005230A"/>
    <w:rsid w:val="00053DBF"/>
    <w:rsid w:val="00053DD2"/>
    <w:rsid w:val="00054E33"/>
    <w:rsid w:val="00054F1F"/>
    <w:rsid w:val="000553F7"/>
    <w:rsid w:val="0005579B"/>
    <w:rsid w:val="000558DF"/>
    <w:rsid w:val="00055DEB"/>
    <w:rsid w:val="00056F09"/>
    <w:rsid w:val="000571E6"/>
    <w:rsid w:val="000602B5"/>
    <w:rsid w:val="00060702"/>
    <w:rsid w:val="0006543F"/>
    <w:rsid w:val="00065F2E"/>
    <w:rsid w:val="00066548"/>
    <w:rsid w:val="0006689A"/>
    <w:rsid w:val="0006691B"/>
    <w:rsid w:val="00070433"/>
    <w:rsid w:val="00070E80"/>
    <w:rsid w:val="000712BC"/>
    <w:rsid w:val="00073538"/>
    <w:rsid w:val="0007449E"/>
    <w:rsid w:val="000755B1"/>
    <w:rsid w:val="000763B8"/>
    <w:rsid w:val="00080297"/>
    <w:rsid w:val="000808E0"/>
    <w:rsid w:val="00084650"/>
    <w:rsid w:val="00086EDF"/>
    <w:rsid w:val="00086EF0"/>
    <w:rsid w:val="000871CE"/>
    <w:rsid w:val="000908F2"/>
    <w:rsid w:val="00091261"/>
    <w:rsid w:val="000937A9"/>
    <w:rsid w:val="00093A7A"/>
    <w:rsid w:val="000A0803"/>
    <w:rsid w:val="000A1682"/>
    <w:rsid w:val="000A1A26"/>
    <w:rsid w:val="000A224F"/>
    <w:rsid w:val="000A2CFD"/>
    <w:rsid w:val="000A3E86"/>
    <w:rsid w:val="000A40C2"/>
    <w:rsid w:val="000A4C3A"/>
    <w:rsid w:val="000A56C3"/>
    <w:rsid w:val="000A59B0"/>
    <w:rsid w:val="000A71A4"/>
    <w:rsid w:val="000A7C79"/>
    <w:rsid w:val="000B136C"/>
    <w:rsid w:val="000B7CB2"/>
    <w:rsid w:val="000C084A"/>
    <w:rsid w:val="000C170D"/>
    <w:rsid w:val="000C1C8A"/>
    <w:rsid w:val="000C1FBF"/>
    <w:rsid w:val="000C2EA4"/>
    <w:rsid w:val="000C3194"/>
    <w:rsid w:val="000C40C2"/>
    <w:rsid w:val="000C42F5"/>
    <w:rsid w:val="000C51BF"/>
    <w:rsid w:val="000C5C58"/>
    <w:rsid w:val="000C689C"/>
    <w:rsid w:val="000C6E35"/>
    <w:rsid w:val="000C79E1"/>
    <w:rsid w:val="000D1566"/>
    <w:rsid w:val="000D16A5"/>
    <w:rsid w:val="000D228D"/>
    <w:rsid w:val="000D2512"/>
    <w:rsid w:val="000D3156"/>
    <w:rsid w:val="000D4435"/>
    <w:rsid w:val="000D73EC"/>
    <w:rsid w:val="000D74C1"/>
    <w:rsid w:val="000D7901"/>
    <w:rsid w:val="000E1137"/>
    <w:rsid w:val="000E2AEC"/>
    <w:rsid w:val="000E2F43"/>
    <w:rsid w:val="000E34DA"/>
    <w:rsid w:val="000E392E"/>
    <w:rsid w:val="000F15A2"/>
    <w:rsid w:val="000F2A30"/>
    <w:rsid w:val="000F321C"/>
    <w:rsid w:val="000F3579"/>
    <w:rsid w:val="000F5090"/>
    <w:rsid w:val="000F5819"/>
    <w:rsid w:val="000F5A92"/>
    <w:rsid w:val="000F5BB6"/>
    <w:rsid w:val="000F5C92"/>
    <w:rsid w:val="000F71E2"/>
    <w:rsid w:val="000F7E92"/>
    <w:rsid w:val="00100607"/>
    <w:rsid w:val="001012AA"/>
    <w:rsid w:val="00103673"/>
    <w:rsid w:val="00103E9C"/>
    <w:rsid w:val="00104C69"/>
    <w:rsid w:val="00106A65"/>
    <w:rsid w:val="001071A0"/>
    <w:rsid w:val="0011083F"/>
    <w:rsid w:val="001115C0"/>
    <w:rsid w:val="001116B5"/>
    <w:rsid w:val="001123BA"/>
    <w:rsid w:val="0011254B"/>
    <w:rsid w:val="0011291B"/>
    <w:rsid w:val="00112E0F"/>
    <w:rsid w:val="001131E2"/>
    <w:rsid w:val="00113A1D"/>
    <w:rsid w:val="00114C49"/>
    <w:rsid w:val="001165A0"/>
    <w:rsid w:val="00116809"/>
    <w:rsid w:val="00116AC3"/>
    <w:rsid w:val="00117EBE"/>
    <w:rsid w:val="00120073"/>
    <w:rsid w:val="00121033"/>
    <w:rsid w:val="00121B90"/>
    <w:rsid w:val="00124070"/>
    <w:rsid w:val="00124796"/>
    <w:rsid w:val="00125FD1"/>
    <w:rsid w:val="00126A6E"/>
    <w:rsid w:val="00126B7E"/>
    <w:rsid w:val="0013377D"/>
    <w:rsid w:val="001347E9"/>
    <w:rsid w:val="001363C1"/>
    <w:rsid w:val="0013770B"/>
    <w:rsid w:val="0014163B"/>
    <w:rsid w:val="00142978"/>
    <w:rsid w:val="00142988"/>
    <w:rsid w:val="001430AE"/>
    <w:rsid w:val="001436CB"/>
    <w:rsid w:val="00144531"/>
    <w:rsid w:val="00144CDD"/>
    <w:rsid w:val="00145DCB"/>
    <w:rsid w:val="0014688F"/>
    <w:rsid w:val="0015233D"/>
    <w:rsid w:val="001526DA"/>
    <w:rsid w:val="00152875"/>
    <w:rsid w:val="00153A01"/>
    <w:rsid w:val="00153CC0"/>
    <w:rsid w:val="00154816"/>
    <w:rsid w:val="001548EE"/>
    <w:rsid w:val="00155061"/>
    <w:rsid w:val="0016008A"/>
    <w:rsid w:val="001608AB"/>
    <w:rsid w:val="00160FC4"/>
    <w:rsid w:val="00161168"/>
    <w:rsid w:val="001613C6"/>
    <w:rsid w:val="00161547"/>
    <w:rsid w:val="00163AD7"/>
    <w:rsid w:val="00164530"/>
    <w:rsid w:val="00165BD8"/>
    <w:rsid w:val="00165CB7"/>
    <w:rsid w:val="001661AF"/>
    <w:rsid w:val="001674F8"/>
    <w:rsid w:val="00171CDE"/>
    <w:rsid w:val="00174957"/>
    <w:rsid w:val="00175569"/>
    <w:rsid w:val="00176523"/>
    <w:rsid w:val="001767D5"/>
    <w:rsid w:val="00180538"/>
    <w:rsid w:val="001811EB"/>
    <w:rsid w:val="00181487"/>
    <w:rsid w:val="001819BF"/>
    <w:rsid w:val="00181E11"/>
    <w:rsid w:val="001825B1"/>
    <w:rsid w:val="001831CE"/>
    <w:rsid w:val="00184F7E"/>
    <w:rsid w:val="00185612"/>
    <w:rsid w:val="00185CD2"/>
    <w:rsid w:val="00186E8D"/>
    <w:rsid w:val="00187C95"/>
    <w:rsid w:val="0019205E"/>
    <w:rsid w:val="001921FB"/>
    <w:rsid w:val="00194A22"/>
    <w:rsid w:val="00197434"/>
    <w:rsid w:val="001A1887"/>
    <w:rsid w:val="001A3012"/>
    <w:rsid w:val="001A4E80"/>
    <w:rsid w:val="001A55FC"/>
    <w:rsid w:val="001A6122"/>
    <w:rsid w:val="001B1FC5"/>
    <w:rsid w:val="001B2A05"/>
    <w:rsid w:val="001B2AFD"/>
    <w:rsid w:val="001B31B3"/>
    <w:rsid w:val="001B5D53"/>
    <w:rsid w:val="001B5DB4"/>
    <w:rsid w:val="001B747B"/>
    <w:rsid w:val="001B7613"/>
    <w:rsid w:val="001C04AC"/>
    <w:rsid w:val="001C0556"/>
    <w:rsid w:val="001C0F82"/>
    <w:rsid w:val="001C14BE"/>
    <w:rsid w:val="001C1E4B"/>
    <w:rsid w:val="001C2463"/>
    <w:rsid w:val="001C2611"/>
    <w:rsid w:val="001C2E48"/>
    <w:rsid w:val="001C56E7"/>
    <w:rsid w:val="001C65DF"/>
    <w:rsid w:val="001C68DC"/>
    <w:rsid w:val="001C7886"/>
    <w:rsid w:val="001D0D9A"/>
    <w:rsid w:val="001D13BD"/>
    <w:rsid w:val="001D1825"/>
    <w:rsid w:val="001D3A55"/>
    <w:rsid w:val="001D42D9"/>
    <w:rsid w:val="001D52C4"/>
    <w:rsid w:val="001D6B7B"/>
    <w:rsid w:val="001D7AC7"/>
    <w:rsid w:val="001E3377"/>
    <w:rsid w:val="001E3FA5"/>
    <w:rsid w:val="001E4906"/>
    <w:rsid w:val="001E4E5D"/>
    <w:rsid w:val="001E532B"/>
    <w:rsid w:val="001E72A1"/>
    <w:rsid w:val="001F159D"/>
    <w:rsid w:val="001F1A84"/>
    <w:rsid w:val="001F1CA6"/>
    <w:rsid w:val="001F39DC"/>
    <w:rsid w:val="001F3A4B"/>
    <w:rsid w:val="001F3BCA"/>
    <w:rsid w:val="001F420F"/>
    <w:rsid w:val="001F61F8"/>
    <w:rsid w:val="002015E7"/>
    <w:rsid w:val="0020204D"/>
    <w:rsid w:val="00203CA3"/>
    <w:rsid w:val="0020427E"/>
    <w:rsid w:val="00204DE8"/>
    <w:rsid w:val="00210368"/>
    <w:rsid w:val="00210B3F"/>
    <w:rsid w:val="00210F33"/>
    <w:rsid w:val="002112F5"/>
    <w:rsid w:val="0021133E"/>
    <w:rsid w:val="00216D50"/>
    <w:rsid w:val="00217B3B"/>
    <w:rsid w:val="00217DAC"/>
    <w:rsid w:val="00220720"/>
    <w:rsid w:val="00221714"/>
    <w:rsid w:val="002218C8"/>
    <w:rsid w:val="00222AA8"/>
    <w:rsid w:val="002235A0"/>
    <w:rsid w:val="00224A36"/>
    <w:rsid w:val="002253D3"/>
    <w:rsid w:val="00226AB4"/>
    <w:rsid w:val="00227AAC"/>
    <w:rsid w:val="00230F8A"/>
    <w:rsid w:val="002310ED"/>
    <w:rsid w:val="00231531"/>
    <w:rsid w:val="00231886"/>
    <w:rsid w:val="00231D98"/>
    <w:rsid w:val="002326DA"/>
    <w:rsid w:val="00233758"/>
    <w:rsid w:val="00235B47"/>
    <w:rsid w:val="002371D6"/>
    <w:rsid w:val="00237818"/>
    <w:rsid w:val="002416A1"/>
    <w:rsid w:val="00242306"/>
    <w:rsid w:val="00242BDD"/>
    <w:rsid w:val="00242E43"/>
    <w:rsid w:val="00244DEB"/>
    <w:rsid w:val="0024599A"/>
    <w:rsid w:val="0025057B"/>
    <w:rsid w:val="00251A04"/>
    <w:rsid w:val="00253386"/>
    <w:rsid w:val="00253608"/>
    <w:rsid w:val="00253E23"/>
    <w:rsid w:val="00253E93"/>
    <w:rsid w:val="00255D7A"/>
    <w:rsid w:val="00256741"/>
    <w:rsid w:val="00262D97"/>
    <w:rsid w:val="0026374C"/>
    <w:rsid w:val="00263C81"/>
    <w:rsid w:val="00264195"/>
    <w:rsid w:val="00266B82"/>
    <w:rsid w:val="00267773"/>
    <w:rsid w:val="0026799E"/>
    <w:rsid w:val="00270349"/>
    <w:rsid w:val="00271688"/>
    <w:rsid w:val="002719A4"/>
    <w:rsid w:val="00272484"/>
    <w:rsid w:val="0027282A"/>
    <w:rsid w:val="00272DA3"/>
    <w:rsid w:val="00273975"/>
    <w:rsid w:val="002744F1"/>
    <w:rsid w:val="00282951"/>
    <w:rsid w:val="002843DB"/>
    <w:rsid w:val="00287806"/>
    <w:rsid w:val="00287E8F"/>
    <w:rsid w:val="00292688"/>
    <w:rsid w:val="002930E6"/>
    <w:rsid w:val="00293AB3"/>
    <w:rsid w:val="00295130"/>
    <w:rsid w:val="0029532D"/>
    <w:rsid w:val="002975EA"/>
    <w:rsid w:val="002A19E0"/>
    <w:rsid w:val="002A222B"/>
    <w:rsid w:val="002A33D5"/>
    <w:rsid w:val="002A7405"/>
    <w:rsid w:val="002A765E"/>
    <w:rsid w:val="002B18CD"/>
    <w:rsid w:val="002B23AF"/>
    <w:rsid w:val="002B2779"/>
    <w:rsid w:val="002B2840"/>
    <w:rsid w:val="002B3F2A"/>
    <w:rsid w:val="002B418B"/>
    <w:rsid w:val="002B4426"/>
    <w:rsid w:val="002B4582"/>
    <w:rsid w:val="002B6EFB"/>
    <w:rsid w:val="002B6F42"/>
    <w:rsid w:val="002B70A0"/>
    <w:rsid w:val="002B7623"/>
    <w:rsid w:val="002C21BD"/>
    <w:rsid w:val="002C254F"/>
    <w:rsid w:val="002C3D91"/>
    <w:rsid w:val="002C5589"/>
    <w:rsid w:val="002C664A"/>
    <w:rsid w:val="002C778D"/>
    <w:rsid w:val="002C7938"/>
    <w:rsid w:val="002D04E1"/>
    <w:rsid w:val="002D2F41"/>
    <w:rsid w:val="002D3E75"/>
    <w:rsid w:val="002D53C4"/>
    <w:rsid w:val="002E12B9"/>
    <w:rsid w:val="002E17AE"/>
    <w:rsid w:val="002E21F6"/>
    <w:rsid w:val="002E27B7"/>
    <w:rsid w:val="002E4AE7"/>
    <w:rsid w:val="002E600E"/>
    <w:rsid w:val="002E77A8"/>
    <w:rsid w:val="002F12AF"/>
    <w:rsid w:val="002F31C9"/>
    <w:rsid w:val="002F36C5"/>
    <w:rsid w:val="002F6D16"/>
    <w:rsid w:val="002F6F98"/>
    <w:rsid w:val="002F79CA"/>
    <w:rsid w:val="002F7A05"/>
    <w:rsid w:val="00301B02"/>
    <w:rsid w:val="00302546"/>
    <w:rsid w:val="00302601"/>
    <w:rsid w:val="00303843"/>
    <w:rsid w:val="0030386E"/>
    <w:rsid w:val="003042BF"/>
    <w:rsid w:val="00304CB5"/>
    <w:rsid w:val="00305761"/>
    <w:rsid w:val="003059D7"/>
    <w:rsid w:val="00306000"/>
    <w:rsid w:val="00306D33"/>
    <w:rsid w:val="00311C1B"/>
    <w:rsid w:val="00312CDD"/>
    <w:rsid w:val="0031321B"/>
    <w:rsid w:val="003140E6"/>
    <w:rsid w:val="00314ECA"/>
    <w:rsid w:val="0031561E"/>
    <w:rsid w:val="0031570B"/>
    <w:rsid w:val="00316F27"/>
    <w:rsid w:val="00316FCC"/>
    <w:rsid w:val="003174F7"/>
    <w:rsid w:val="00317730"/>
    <w:rsid w:val="0032298A"/>
    <w:rsid w:val="00323381"/>
    <w:rsid w:val="00323691"/>
    <w:rsid w:val="003239E9"/>
    <w:rsid w:val="00323AC5"/>
    <w:rsid w:val="00323DF4"/>
    <w:rsid w:val="0032446E"/>
    <w:rsid w:val="00324849"/>
    <w:rsid w:val="00324C8A"/>
    <w:rsid w:val="00326AC8"/>
    <w:rsid w:val="00330439"/>
    <w:rsid w:val="0033094F"/>
    <w:rsid w:val="00331BB9"/>
    <w:rsid w:val="00333747"/>
    <w:rsid w:val="00335A91"/>
    <w:rsid w:val="0033674B"/>
    <w:rsid w:val="00337579"/>
    <w:rsid w:val="00337905"/>
    <w:rsid w:val="00341D32"/>
    <w:rsid w:val="003425B7"/>
    <w:rsid w:val="00342FB4"/>
    <w:rsid w:val="0034425B"/>
    <w:rsid w:val="003456DE"/>
    <w:rsid w:val="003458A0"/>
    <w:rsid w:val="00346613"/>
    <w:rsid w:val="003477FA"/>
    <w:rsid w:val="00350DCF"/>
    <w:rsid w:val="00352974"/>
    <w:rsid w:val="00352F27"/>
    <w:rsid w:val="00353E6D"/>
    <w:rsid w:val="003546FD"/>
    <w:rsid w:val="00354F51"/>
    <w:rsid w:val="0035677F"/>
    <w:rsid w:val="00356EAD"/>
    <w:rsid w:val="00357686"/>
    <w:rsid w:val="003578DC"/>
    <w:rsid w:val="0036043A"/>
    <w:rsid w:val="003608B2"/>
    <w:rsid w:val="00360B53"/>
    <w:rsid w:val="00361368"/>
    <w:rsid w:val="00361B39"/>
    <w:rsid w:val="00365683"/>
    <w:rsid w:val="00366CF3"/>
    <w:rsid w:val="00372C3E"/>
    <w:rsid w:val="00373D20"/>
    <w:rsid w:val="00373F62"/>
    <w:rsid w:val="00373FEF"/>
    <w:rsid w:val="0037417F"/>
    <w:rsid w:val="00375E0F"/>
    <w:rsid w:val="00376C11"/>
    <w:rsid w:val="003779FE"/>
    <w:rsid w:val="00380F8D"/>
    <w:rsid w:val="00383B00"/>
    <w:rsid w:val="0038674E"/>
    <w:rsid w:val="003873B8"/>
    <w:rsid w:val="00387586"/>
    <w:rsid w:val="00387B4F"/>
    <w:rsid w:val="003920F8"/>
    <w:rsid w:val="003932FC"/>
    <w:rsid w:val="00393E9E"/>
    <w:rsid w:val="00393F3B"/>
    <w:rsid w:val="00394C03"/>
    <w:rsid w:val="00395CC5"/>
    <w:rsid w:val="00395D66"/>
    <w:rsid w:val="00396366"/>
    <w:rsid w:val="003A0345"/>
    <w:rsid w:val="003A1222"/>
    <w:rsid w:val="003A1242"/>
    <w:rsid w:val="003A14EA"/>
    <w:rsid w:val="003A1CBB"/>
    <w:rsid w:val="003A38EA"/>
    <w:rsid w:val="003A7660"/>
    <w:rsid w:val="003A7791"/>
    <w:rsid w:val="003A7922"/>
    <w:rsid w:val="003A7C15"/>
    <w:rsid w:val="003B05E8"/>
    <w:rsid w:val="003B0CB9"/>
    <w:rsid w:val="003B1ABB"/>
    <w:rsid w:val="003B2E8C"/>
    <w:rsid w:val="003B3FE4"/>
    <w:rsid w:val="003B4D73"/>
    <w:rsid w:val="003B6667"/>
    <w:rsid w:val="003B6A9C"/>
    <w:rsid w:val="003C1608"/>
    <w:rsid w:val="003C1B0A"/>
    <w:rsid w:val="003C338B"/>
    <w:rsid w:val="003C60DF"/>
    <w:rsid w:val="003C6F79"/>
    <w:rsid w:val="003D0667"/>
    <w:rsid w:val="003D0B97"/>
    <w:rsid w:val="003D0E7B"/>
    <w:rsid w:val="003D0FEA"/>
    <w:rsid w:val="003D1BF7"/>
    <w:rsid w:val="003D2773"/>
    <w:rsid w:val="003D3610"/>
    <w:rsid w:val="003D3E88"/>
    <w:rsid w:val="003D4981"/>
    <w:rsid w:val="003D5397"/>
    <w:rsid w:val="003D58BE"/>
    <w:rsid w:val="003D5A1D"/>
    <w:rsid w:val="003D5D2A"/>
    <w:rsid w:val="003E08AD"/>
    <w:rsid w:val="003E0DB9"/>
    <w:rsid w:val="003E0E22"/>
    <w:rsid w:val="003E4CEA"/>
    <w:rsid w:val="003E5664"/>
    <w:rsid w:val="003E5B88"/>
    <w:rsid w:val="003E615F"/>
    <w:rsid w:val="003E69A5"/>
    <w:rsid w:val="003E71CA"/>
    <w:rsid w:val="003E746C"/>
    <w:rsid w:val="003F2498"/>
    <w:rsid w:val="003F3D8C"/>
    <w:rsid w:val="003F6FCD"/>
    <w:rsid w:val="003F70D3"/>
    <w:rsid w:val="0040050C"/>
    <w:rsid w:val="00400AC4"/>
    <w:rsid w:val="00400C58"/>
    <w:rsid w:val="00401071"/>
    <w:rsid w:val="00401E44"/>
    <w:rsid w:val="00402BDA"/>
    <w:rsid w:val="004046CE"/>
    <w:rsid w:val="00405F35"/>
    <w:rsid w:val="00407D91"/>
    <w:rsid w:val="00413D62"/>
    <w:rsid w:val="00415674"/>
    <w:rsid w:val="004165DF"/>
    <w:rsid w:val="004168F0"/>
    <w:rsid w:val="004169C6"/>
    <w:rsid w:val="00417644"/>
    <w:rsid w:val="00417846"/>
    <w:rsid w:val="00417AB7"/>
    <w:rsid w:val="004206A0"/>
    <w:rsid w:val="00421BA2"/>
    <w:rsid w:val="00422213"/>
    <w:rsid w:val="00423B2F"/>
    <w:rsid w:val="00423FA6"/>
    <w:rsid w:val="00424A29"/>
    <w:rsid w:val="00424FB2"/>
    <w:rsid w:val="00425740"/>
    <w:rsid w:val="00426797"/>
    <w:rsid w:val="00426BBE"/>
    <w:rsid w:val="00427F7F"/>
    <w:rsid w:val="00431903"/>
    <w:rsid w:val="00432F4E"/>
    <w:rsid w:val="0043366A"/>
    <w:rsid w:val="00433BB2"/>
    <w:rsid w:val="00434CBB"/>
    <w:rsid w:val="00435F6F"/>
    <w:rsid w:val="004365F4"/>
    <w:rsid w:val="004366EC"/>
    <w:rsid w:val="00436703"/>
    <w:rsid w:val="00436958"/>
    <w:rsid w:val="004378B3"/>
    <w:rsid w:val="00437BA4"/>
    <w:rsid w:val="00442363"/>
    <w:rsid w:val="00442CA4"/>
    <w:rsid w:val="004449C9"/>
    <w:rsid w:val="00444DEC"/>
    <w:rsid w:val="00445147"/>
    <w:rsid w:val="00446140"/>
    <w:rsid w:val="0044628C"/>
    <w:rsid w:val="00446A90"/>
    <w:rsid w:val="00450F19"/>
    <w:rsid w:val="0045130F"/>
    <w:rsid w:val="004529DE"/>
    <w:rsid w:val="00456176"/>
    <w:rsid w:val="00457FD6"/>
    <w:rsid w:val="00461E17"/>
    <w:rsid w:val="00463692"/>
    <w:rsid w:val="004636CB"/>
    <w:rsid w:val="00466D3B"/>
    <w:rsid w:val="0047187B"/>
    <w:rsid w:val="004724B4"/>
    <w:rsid w:val="004739E3"/>
    <w:rsid w:val="00474D4F"/>
    <w:rsid w:val="004753FC"/>
    <w:rsid w:val="0047561C"/>
    <w:rsid w:val="0048075E"/>
    <w:rsid w:val="00481339"/>
    <w:rsid w:val="00483A1A"/>
    <w:rsid w:val="00484B64"/>
    <w:rsid w:val="00484E0E"/>
    <w:rsid w:val="00487EFA"/>
    <w:rsid w:val="004907EE"/>
    <w:rsid w:val="00490F2E"/>
    <w:rsid w:val="00491123"/>
    <w:rsid w:val="004918D1"/>
    <w:rsid w:val="004926EC"/>
    <w:rsid w:val="00493966"/>
    <w:rsid w:val="00494B65"/>
    <w:rsid w:val="004952A7"/>
    <w:rsid w:val="00495CB2"/>
    <w:rsid w:val="004973D2"/>
    <w:rsid w:val="004A0CE9"/>
    <w:rsid w:val="004A0FF7"/>
    <w:rsid w:val="004A323B"/>
    <w:rsid w:val="004A3FAB"/>
    <w:rsid w:val="004A5DB2"/>
    <w:rsid w:val="004A707A"/>
    <w:rsid w:val="004A74F1"/>
    <w:rsid w:val="004B1656"/>
    <w:rsid w:val="004B1983"/>
    <w:rsid w:val="004B23A6"/>
    <w:rsid w:val="004B3035"/>
    <w:rsid w:val="004B5228"/>
    <w:rsid w:val="004B5FF8"/>
    <w:rsid w:val="004B606E"/>
    <w:rsid w:val="004B698D"/>
    <w:rsid w:val="004B6A62"/>
    <w:rsid w:val="004B775C"/>
    <w:rsid w:val="004C078B"/>
    <w:rsid w:val="004C1AF6"/>
    <w:rsid w:val="004C219A"/>
    <w:rsid w:val="004C2FBB"/>
    <w:rsid w:val="004C3A7B"/>
    <w:rsid w:val="004C526A"/>
    <w:rsid w:val="004C581E"/>
    <w:rsid w:val="004C6760"/>
    <w:rsid w:val="004D1D69"/>
    <w:rsid w:val="004D359B"/>
    <w:rsid w:val="004D3E69"/>
    <w:rsid w:val="004D5252"/>
    <w:rsid w:val="004D7D60"/>
    <w:rsid w:val="004E13BB"/>
    <w:rsid w:val="004E48F4"/>
    <w:rsid w:val="004E6837"/>
    <w:rsid w:val="004E6E57"/>
    <w:rsid w:val="004F03F8"/>
    <w:rsid w:val="004F10C3"/>
    <w:rsid w:val="004F263A"/>
    <w:rsid w:val="004F67A2"/>
    <w:rsid w:val="004F6A2B"/>
    <w:rsid w:val="004F6F09"/>
    <w:rsid w:val="004F702C"/>
    <w:rsid w:val="004F7D52"/>
    <w:rsid w:val="00500AEF"/>
    <w:rsid w:val="00501D7A"/>
    <w:rsid w:val="005040A7"/>
    <w:rsid w:val="005044EB"/>
    <w:rsid w:val="00504916"/>
    <w:rsid w:val="00505030"/>
    <w:rsid w:val="00506991"/>
    <w:rsid w:val="00507DEF"/>
    <w:rsid w:val="00507E6F"/>
    <w:rsid w:val="00507E70"/>
    <w:rsid w:val="00510309"/>
    <w:rsid w:val="005110A2"/>
    <w:rsid w:val="00511AD2"/>
    <w:rsid w:val="00511CAB"/>
    <w:rsid w:val="00511FC8"/>
    <w:rsid w:val="00514252"/>
    <w:rsid w:val="00515ADA"/>
    <w:rsid w:val="00520297"/>
    <w:rsid w:val="00520607"/>
    <w:rsid w:val="0052278C"/>
    <w:rsid w:val="005227E0"/>
    <w:rsid w:val="00522D2B"/>
    <w:rsid w:val="0052310C"/>
    <w:rsid w:val="00525C3B"/>
    <w:rsid w:val="00526847"/>
    <w:rsid w:val="00526A61"/>
    <w:rsid w:val="005270A6"/>
    <w:rsid w:val="005326E9"/>
    <w:rsid w:val="00532A62"/>
    <w:rsid w:val="0053300D"/>
    <w:rsid w:val="00533085"/>
    <w:rsid w:val="0053315A"/>
    <w:rsid w:val="00534392"/>
    <w:rsid w:val="005352EE"/>
    <w:rsid w:val="00535C5D"/>
    <w:rsid w:val="005360B6"/>
    <w:rsid w:val="00536A32"/>
    <w:rsid w:val="00540A7B"/>
    <w:rsid w:val="00540B7A"/>
    <w:rsid w:val="00540E5F"/>
    <w:rsid w:val="00540F18"/>
    <w:rsid w:val="0054153D"/>
    <w:rsid w:val="005422B6"/>
    <w:rsid w:val="00543B2B"/>
    <w:rsid w:val="00544DF3"/>
    <w:rsid w:val="00545848"/>
    <w:rsid w:val="00546185"/>
    <w:rsid w:val="00546DF7"/>
    <w:rsid w:val="00547FE3"/>
    <w:rsid w:val="0055020E"/>
    <w:rsid w:val="00550FB3"/>
    <w:rsid w:val="005514E1"/>
    <w:rsid w:val="00552855"/>
    <w:rsid w:val="00552C5F"/>
    <w:rsid w:val="005537B2"/>
    <w:rsid w:val="005552FF"/>
    <w:rsid w:val="00555C66"/>
    <w:rsid w:val="00555DF0"/>
    <w:rsid w:val="00557C22"/>
    <w:rsid w:val="00561CED"/>
    <w:rsid w:val="00563082"/>
    <w:rsid w:val="005632D9"/>
    <w:rsid w:val="00563D5C"/>
    <w:rsid w:val="00563E1F"/>
    <w:rsid w:val="00563E5A"/>
    <w:rsid w:val="005647DA"/>
    <w:rsid w:val="00565D16"/>
    <w:rsid w:val="00566F63"/>
    <w:rsid w:val="00566F71"/>
    <w:rsid w:val="0056748D"/>
    <w:rsid w:val="005676DF"/>
    <w:rsid w:val="0056781B"/>
    <w:rsid w:val="005701F6"/>
    <w:rsid w:val="00570964"/>
    <w:rsid w:val="00571266"/>
    <w:rsid w:val="005723A0"/>
    <w:rsid w:val="005730E5"/>
    <w:rsid w:val="00573173"/>
    <w:rsid w:val="00574941"/>
    <w:rsid w:val="00576D43"/>
    <w:rsid w:val="0057725E"/>
    <w:rsid w:val="00577C53"/>
    <w:rsid w:val="0058109D"/>
    <w:rsid w:val="005813D0"/>
    <w:rsid w:val="00581610"/>
    <w:rsid w:val="005816C7"/>
    <w:rsid w:val="00582BB7"/>
    <w:rsid w:val="00582EE9"/>
    <w:rsid w:val="00583ADA"/>
    <w:rsid w:val="00584C3E"/>
    <w:rsid w:val="00585016"/>
    <w:rsid w:val="00586924"/>
    <w:rsid w:val="00586D17"/>
    <w:rsid w:val="00587B6C"/>
    <w:rsid w:val="0059020B"/>
    <w:rsid w:val="005913FF"/>
    <w:rsid w:val="005914FD"/>
    <w:rsid w:val="00591BE8"/>
    <w:rsid w:val="00592EE5"/>
    <w:rsid w:val="00592F15"/>
    <w:rsid w:val="005934F0"/>
    <w:rsid w:val="00593CBE"/>
    <w:rsid w:val="005948A2"/>
    <w:rsid w:val="005955E2"/>
    <w:rsid w:val="005959CA"/>
    <w:rsid w:val="005A005C"/>
    <w:rsid w:val="005A090F"/>
    <w:rsid w:val="005A0D54"/>
    <w:rsid w:val="005A1005"/>
    <w:rsid w:val="005A1919"/>
    <w:rsid w:val="005A25FA"/>
    <w:rsid w:val="005A2651"/>
    <w:rsid w:val="005A3C51"/>
    <w:rsid w:val="005A3CEF"/>
    <w:rsid w:val="005A438D"/>
    <w:rsid w:val="005A4E54"/>
    <w:rsid w:val="005A5732"/>
    <w:rsid w:val="005B1E33"/>
    <w:rsid w:val="005B3016"/>
    <w:rsid w:val="005B353A"/>
    <w:rsid w:val="005B391D"/>
    <w:rsid w:val="005B4321"/>
    <w:rsid w:val="005B4F15"/>
    <w:rsid w:val="005B50A4"/>
    <w:rsid w:val="005B6AFD"/>
    <w:rsid w:val="005B6BB2"/>
    <w:rsid w:val="005B7046"/>
    <w:rsid w:val="005B7662"/>
    <w:rsid w:val="005C0B24"/>
    <w:rsid w:val="005C16EA"/>
    <w:rsid w:val="005C1702"/>
    <w:rsid w:val="005C1780"/>
    <w:rsid w:val="005C21DC"/>
    <w:rsid w:val="005C37D9"/>
    <w:rsid w:val="005C388B"/>
    <w:rsid w:val="005C60FA"/>
    <w:rsid w:val="005C624C"/>
    <w:rsid w:val="005D14B4"/>
    <w:rsid w:val="005D14EE"/>
    <w:rsid w:val="005D197B"/>
    <w:rsid w:val="005D1D6B"/>
    <w:rsid w:val="005D2FF1"/>
    <w:rsid w:val="005D39D7"/>
    <w:rsid w:val="005D5504"/>
    <w:rsid w:val="005D63B2"/>
    <w:rsid w:val="005D7943"/>
    <w:rsid w:val="005D7F41"/>
    <w:rsid w:val="005E018C"/>
    <w:rsid w:val="005E10EF"/>
    <w:rsid w:val="005E13E0"/>
    <w:rsid w:val="005E2E2E"/>
    <w:rsid w:val="005E301E"/>
    <w:rsid w:val="005F06B9"/>
    <w:rsid w:val="005F0C38"/>
    <w:rsid w:val="005F22A0"/>
    <w:rsid w:val="005F37CD"/>
    <w:rsid w:val="005F48E6"/>
    <w:rsid w:val="005F4B69"/>
    <w:rsid w:val="005F63D4"/>
    <w:rsid w:val="005F657B"/>
    <w:rsid w:val="00601A72"/>
    <w:rsid w:val="006039C5"/>
    <w:rsid w:val="00604A97"/>
    <w:rsid w:val="00605359"/>
    <w:rsid w:val="00605688"/>
    <w:rsid w:val="00611931"/>
    <w:rsid w:val="00611E26"/>
    <w:rsid w:val="006122AB"/>
    <w:rsid w:val="00612476"/>
    <w:rsid w:val="006153BA"/>
    <w:rsid w:val="00615A4D"/>
    <w:rsid w:val="006165CA"/>
    <w:rsid w:val="00617017"/>
    <w:rsid w:val="006171C0"/>
    <w:rsid w:val="00624DD7"/>
    <w:rsid w:val="006255F5"/>
    <w:rsid w:val="00626B03"/>
    <w:rsid w:val="00627DD0"/>
    <w:rsid w:val="0063149D"/>
    <w:rsid w:val="00633069"/>
    <w:rsid w:val="0063361D"/>
    <w:rsid w:val="00634954"/>
    <w:rsid w:val="006364D4"/>
    <w:rsid w:val="006366E2"/>
    <w:rsid w:val="00636708"/>
    <w:rsid w:val="00637F58"/>
    <w:rsid w:val="00640020"/>
    <w:rsid w:val="00640AD6"/>
    <w:rsid w:val="006425DA"/>
    <w:rsid w:val="00643E6B"/>
    <w:rsid w:val="00646F43"/>
    <w:rsid w:val="00647A4B"/>
    <w:rsid w:val="006504A0"/>
    <w:rsid w:val="00652CD4"/>
    <w:rsid w:val="006531EC"/>
    <w:rsid w:val="006538E2"/>
    <w:rsid w:val="00656C2E"/>
    <w:rsid w:val="00656E3D"/>
    <w:rsid w:val="00657CA3"/>
    <w:rsid w:val="0066080A"/>
    <w:rsid w:val="00660989"/>
    <w:rsid w:val="006629F4"/>
    <w:rsid w:val="0066304C"/>
    <w:rsid w:val="006630E7"/>
    <w:rsid w:val="00663D4C"/>
    <w:rsid w:val="006649B7"/>
    <w:rsid w:val="00666DD3"/>
    <w:rsid w:val="00670138"/>
    <w:rsid w:val="00670357"/>
    <w:rsid w:val="00672BFB"/>
    <w:rsid w:val="006751EA"/>
    <w:rsid w:val="00675254"/>
    <w:rsid w:val="00675D0E"/>
    <w:rsid w:val="0067770F"/>
    <w:rsid w:val="006807C4"/>
    <w:rsid w:val="00681570"/>
    <w:rsid w:val="0068280F"/>
    <w:rsid w:val="00682A53"/>
    <w:rsid w:val="0068465A"/>
    <w:rsid w:val="00685BAE"/>
    <w:rsid w:val="0068698A"/>
    <w:rsid w:val="006906DE"/>
    <w:rsid w:val="00691A16"/>
    <w:rsid w:val="0069364A"/>
    <w:rsid w:val="00693F48"/>
    <w:rsid w:val="00695E32"/>
    <w:rsid w:val="00695EA4"/>
    <w:rsid w:val="00695EDC"/>
    <w:rsid w:val="006971A7"/>
    <w:rsid w:val="006976E6"/>
    <w:rsid w:val="006A0210"/>
    <w:rsid w:val="006A07F1"/>
    <w:rsid w:val="006A152C"/>
    <w:rsid w:val="006A29E1"/>
    <w:rsid w:val="006A2DB9"/>
    <w:rsid w:val="006A2FE8"/>
    <w:rsid w:val="006A30E2"/>
    <w:rsid w:val="006A58E7"/>
    <w:rsid w:val="006A5997"/>
    <w:rsid w:val="006A69F8"/>
    <w:rsid w:val="006B4CA9"/>
    <w:rsid w:val="006B631E"/>
    <w:rsid w:val="006B64B9"/>
    <w:rsid w:val="006B7EBA"/>
    <w:rsid w:val="006B7FD6"/>
    <w:rsid w:val="006C0152"/>
    <w:rsid w:val="006C1CE0"/>
    <w:rsid w:val="006C1E1A"/>
    <w:rsid w:val="006C3150"/>
    <w:rsid w:val="006C3788"/>
    <w:rsid w:val="006C3A88"/>
    <w:rsid w:val="006C689E"/>
    <w:rsid w:val="006C7806"/>
    <w:rsid w:val="006C78A5"/>
    <w:rsid w:val="006C7AD6"/>
    <w:rsid w:val="006D0387"/>
    <w:rsid w:val="006D16A6"/>
    <w:rsid w:val="006D2672"/>
    <w:rsid w:val="006D4CAF"/>
    <w:rsid w:val="006D7F77"/>
    <w:rsid w:val="006E00F4"/>
    <w:rsid w:val="006E01E3"/>
    <w:rsid w:val="006E1542"/>
    <w:rsid w:val="006E3B4B"/>
    <w:rsid w:val="006E3D79"/>
    <w:rsid w:val="006E3FCD"/>
    <w:rsid w:val="006E5531"/>
    <w:rsid w:val="006E6513"/>
    <w:rsid w:val="006E724A"/>
    <w:rsid w:val="006E7F78"/>
    <w:rsid w:val="006F1E84"/>
    <w:rsid w:val="006F381E"/>
    <w:rsid w:val="006F3D67"/>
    <w:rsid w:val="006F53CB"/>
    <w:rsid w:val="006F5F29"/>
    <w:rsid w:val="00701256"/>
    <w:rsid w:val="0070216A"/>
    <w:rsid w:val="00704FB3"/>
    <w:rsid w:val="007055B6"/>
    <w:rsid w:val="00705670"/>
    <w:rsid w:val="00705837"/>
    <w:rsid w:val="007065CA"/>
    <w:rsid w:val="00710A68"/>
    <w:rsid w:val="00712C14"/>
    <w:rsid w:val="00713354"/>
    <w:rsid w:val="007139B4"/>
    <w:rsid w:val="00713F17"/>
    <w:rsid w:val="00714914"/>
    <w:rsid w:val="00715480"/>
    <w:rsid w:val="00716765"/>
    <w:rsid w:val="007179A2"/>
    <w:rsid w:val="00717BD0"/>
    <w:rsid w:val="00717DAE"/>
    <w:rsid w:val="007215EB"/>
    <w:rsid w:val="00721A17"/>
    <w:rsid w:val="007234E3"/>
    <w:rsid w:val="00723782"/>
    <w:rsid w:val="00723A6F"/>
    <w:rsid w:val="00727782"/>
    <w:rsid w:val="0073201D"/>
    <w:rsid w:val="00732A57"/>
    <w:rsid w:val="00734CE0"/>
    <w:rsid w:val="00734E06"/>
    <w:rsid w:val="00735C66"/>
    <w:rsid w:val="00736FFF"/>
    <w:rsid w:val="007371B8"/>
    <w:rsid w:val="00740B14"/>
    <w:rsid w:val="00740FB3"/>
    <w:rsid w:val="0074190E"/>
    <w:rsid w:val="00743434"/>
    <w:rsid w:val="0074425B"/>
    <w:rsid w:val="007461F7"/>
    <w:rsid w:val="0074768F"/>
    <w:rsid w:val="0075320B"/>
    <w:rsid w:val="00754EC3"/>
    <w:rsid w:val="00757C49"/>
    <w:rsid w:val="00760480"/>
    <w:rsid w:val="00760D3A"/>
    <w:rsid w:val="007620F9"/>
    <w:rsid w:val="00762E81"/>
    <w:rsid w:val="00762F2E"/>
    <w:rsid w:val="00764C71"/>
    <w:rsid w:val="00765401"/>
    <w:rsid w:val="00765739"/>
    <w:rsid w:val="0076666E"/>
    <w:rsid w:val="007671F5"/>
    <w:rsid w:val="007708AE"/>
    <w:rsid w:val="0077094E"/>
    <w:rsid w:val="00771421"/>
    <w:rsid w:val="00772010"/>
    <w:rsid w:val="007734F8"/>
    <w:rsid w:val="00773DDC"/>
    <w:rsid w:val="00774848"/>
    <w:rsid w:val="007749AA"/>
    <w:rsid w:val="00776054"/>
    <w:rsid w:val="0077735F"/>
    <w:rsid w:val="00777624"/>
    <w:rsid w:val="00777AA9"/>
    <w:rsid w:val="00782483"/>
    <w:rsid w:val="0078303E"/>
    <w:rsid w:val="00783126"/>
    <w:rsid w:val="00783266"/>
    <w:rsid w:val="00783926"/>
    <w:rsid w:val="00783ADF"/>
    <w:rsid w:val="007853F9"/>
    <w:rsid w:val="00785A87"/>
    <w:rsid w:val="007876CB"/>
    <w:rsid w:val="007918BF"/>
    <w:rsid w:val="00792186"/>
    <w:rsid w:val="00792421"/>
    <w:rsid w:val="0079323F"/>
    <w:rsid w:val="00794643"/>
    <w:rsid w:val="00794848"/>
    <w:rsid w:val="007975E7"/>
    <w:rsid w:val="007979FE"/>
    <w:rsid w:val="007A00B5"/>
    <w:rsid w:val="007A12BB"/>
    <w:rsid w:val="007A1888"/>
    <w:rsid w:val="007A1AD9"/>
    <w:rsid w:val="007A2829"/>
    <w:rsid w:val="007A2B40"/>
    <w:rsid w:val="007A2FDC"/>
    <w:rsid w:val="007A3B88"/>
    <w:rsid w:val="007A3B9F"/>
    <w:rsid w:val="007A3F28"/>
    <w:rsid w:val="007A4404"/>
    <w:rsid w:val="007A688C"/>
    <w:rsid w:val="007B004F"/>
    <w:rsid w:val="007B0CF3"/>
    <w:rsid w:val="007B180D"/>
    <w:rsid w:val="007B1B9E"/>
    <w:rsid w:val="007B294B"/>
    <w:rsid w:val="007B2CC5"/>
    <w:rsid w:val="007B3004"/>
    <w:rsid w:val="007B36C1"/>
    <w:rsid w:val="007B406F"/>
    <w:rsid w:val="007B440C"/>
    <w:rsid w:val="007B4991"/>
    <w:rsid w:val="007B4A48"/>
    <w:rsid w:val="007B55EE"/>
    <w:rsid w:val="007B6252"/>
    <w:rsid w:val="007B6B33"/>
    <w:rsid w:val="007B6E98"/>
    <w:rsid w:val="007B7308"/>
    <w:rsid w:val="007C0D16"/>
    <w:rsid w:val="007C1FD0"/>
    <w:rsid w:val="007C238C"/>
    <w:rsid w:val="007C3B7D"/>
    <w:rsid w:val="007C4781"/>
    <w:rsid w:val="007C570E"/>
    <w:rsid w:val="007C5B0A"/>
    <w:rsid w:val="007C7593"/>
    <w:rsid w:val="007C78D3"/>
    <w:rsid w:val="007D0D9B"/>
    <w:rsid w:val="007D12F5"/>
    <w:rsid w:val="007D230C"/>
    <w:rsid w:val="007D2D8A"/>
    <w:rsid w:val="007D3FF2"/>
    <w:rsid w:val="007D48F9"/>
    <w:rsid w:val="007D5E61"/>
    <w:rsid w:val="007D60C2"/>
    <w:rsid w:val="007D6B4A"/>
    <w:rsid w:val="007D6C6F"/>
    <w:rsid w:val="007D768B"/>
    <w:rsid w:val="007E08D4"/>
    <w:rsid w:val="007E23AD"/>
    <w:rsid w:val="007E613C"/>
    <w:rsid w:val="007E7A37"/>
    <w:rsid w:val="007F0267"/>
    <w:rsid w:val="007F0BBA"/>
    <w:rsid w:val="007F1198"/>
    <w:rsid w:val="007F22A9"/>
    <w:rsid w:val="007F45A2"/>
    <w:rsid w:val="007F4D5D"/>
    <w:rsid w:val="007F6312"/>
    <w:rsid w:val="00800B8A"/>
    <w:rsid w:val="008021AD"/>
    <w:rsid w:val="008031B0"/>
    <w:rsid w:val="0080423C"/>
    <w:rsid w:val="0080428F"/>
    <w:rsid w:val="008045A9"/>
    <w:rsid w:val="00804F17"/>
    <w:rsid w:val="00806020"/>
    <w:rsid w:val="00813D86"/>
    <w:rsid w:val="00814A69"/>
    <w:rsid w:val="00814F01"/>
    <w:rsid w:val="00815081"/>
    <w:rsid w:val="00816635"/>
    <w:rsid w:val="00816B58"/>
    <w:rsid w:val="00820B7F"/>
    <w:rsid w:val="00821791"/>
    <w:rsid w:val="00821A29"/>
    <w:rsid w:val="0082475E"/>
    <w:rsid w:val="0082661E"/>
    <w:rsid w:val="0083090A"/>
    <w:rsid w:val="00832318"/>
    <w:rsid w:val="0083511E"/>
    <w:rsid w:val="00835472"/>
    <w:rsid w:val="00836002"/>
    <w:rsid w:val="0084110B"/>
    <w:rsid w:val="00841136"/>
    <w:rsid w:val="00841F5D"/>
    <w:rsid w:val="008451EF"/>
    <w:rsid w:val="00845945"/>
    <w:rsid w:val="008464F1"/>
    <w:rsid w:val="00851185"/>
    <w:rsid w:val="00851836"/>
    <w:rsid w:val="008530DA"/>
    <w:rsid w:val="008557F1"/>
    <w:rsid w:val="00855EFA"/>
    <w:rsid w:val="008604BD"/>
    <w:rsid w:val="00860AB6"/>
    <w:rsid w:val="00862E94"/>
    <w:rsid w:val="00863503"/>
    <w:rsid w:val="0086381F"/>
    <w:rsid w:val="00864C63"/>
    <w:rsid w:val="008659D2"/>
    <w:rsid w:val="0087081C"/>
    <w:rsid w:val="008737FD"/>
    <w:rsid w:val="0087565C"/>
    <w:rsid w:val="00875A38"/>
    <w:rsid w:val="0087619F"/>
    <w:rsid w:val="00876A9C"/>
    <w:rsid w:val="008777CA"/>
    <w:rsid w:val="008801EC"/>
    <w:rsid w:val="00880581"/>
    <w:rsid w:val="0088138A"/>
    <w:rsid w:val="00881D1D"/>
    <w:rsid w:val="0088241E"/>
    <w:rsid w:val="00883514"/>
    <w:rsid w:val="008835B9"/>
    <w:rsid w:val="00884422"/>
    <w:rsid w:val="00884874"/>
    <w:rsid w:val="008861FF"/>
    <w:rsid w:val="00890A9F"/>
    <w:rsid w:val="00890C89"/>
    <w:rsid w:val="00890DB6"/>
    <w:rsid w:val="0089218A"/>
    <w:rsid w:val="00895A88"/>
    <w:rsid w:val="008961E0"/>
    <w:rsid w:val="008965B3"/>
    <w:rsid w:val="00897522"/>
    <w:rsid w:val="0089771B"/>
    <w:rsid w:val="00897F1D"/>
    <w:rsid w:val="008A0516"/>
    <w:rsid w:val="008A119C"/>
    <w:rsid w:val="008A14E2"/>
    <w:rsid w:val="008A227D"/>
    <w:rsid w:val="008A346B"/>
    <w:rsid w:val="008A4C19"/>
    <w:rsid w:val="008A56E6"/>
    <w:rsid w:val="008A57F3"/>
    <w:rsid w:val="008A5EBE"/>
    <w:rsid w:val="008A70B8"/>
    <w:rsid w:val="008A7A3A"/>
    <w:rsid w:val="008B0993"/>
    <w:rsid w:val="008B0FA8"/>
    <w:rsid w:val="008B21F5"/>
    <w:rsid w:val="008B256E"/>
    <w:rsid w:val="008B295B"/>
    <w:rsid w:val="008B29F2"/>
    <w:rsid w:val="008B2DA0"/>
    <w:rsid w:val="008B3EC5"/>
    <w:rsid w:val="008B4DB2"/>
    <w:rsid w:val="008B5B72"/>
    <w:rsid w:val="008B672C"/>
    <w:rsid w:val="008B6969"/>
    <w:rsid w:val="008B73AA"/>
    <w:rsid w:val="008B75BF"/>
    <w:rsid w:val="008C043E"/>
    <w:rsid w:val="008C0946"/>
    <w:rsid w:val="008C11BC"/>
    <w:rsid w:val="008C13CB"/>
    <w:rsid w:val="008C1D71"/>
    <w:rsid w:val="008C2245"/>
    <w:rsid w:val="008C4899"/>
    <w:rsid w:val="008C4B56"/>
    <w:rsid w:val="008C4BFF"/>
    <w:rsid w:val="008C4C9E"/>
    <w:rsid w:val="008C4D08"/>
    <w:rsid w:val="008C4E8F"/>
    <w:rsid w:val="008C5987"/>
    <w:rsid w:val="008C647E"/>
    <w:rsid w:val="008D0C2A"/>
    <w:rsid w:val="008D249F"/>
    <w:rsid w:val="008D267B"/>
    <w:rsid w:val="008D27AC"/>
    <w:rsid w:val="008D28F8"/>
    <w:rsid w:val="008D2DA4"/>
    <w:rsid w:val="008D46B7"/>
    <w:rsid w:val="008D6134"/>
    <w:rsid w:val="008D66F6"/>
    <w:rsid w:val="008E2B1C"/>
    <w:rsid w:val="008E2C99"/>
    <w:rsid w:val="008E43FC"/>
    <w:rsid w:val="008E4D2B"/>
    <w:rsid w:val="008E4E7D"/>
    <w:rsid w:val="008E6D6D"/>
    <w:rsid w:val="008E7D67"/>
    <w:rsid w:val="008F0F4B"/>
    <w:rsid w:val="008F283E"/>
    <w:rsid w:val="008F460B"/>
    <w:rsid w:val="008F5966"/>
    <w:rsid w:val="008F64DE"/>
    <w:rsid w:val="008F6A49"/>
    <w:rsid w:val="008F7449"/>
    <w:rsid w:val="008F7450"/>
    <w:rsid w:val="009017AA"/>
    <w:rsid w:val="009054DE"/>
    <w:rsid w:val="00905D15"/>
    <w:rsid w:val="00906DF9"/>
    <w:rsid w:val="009108B1"/>
    <w:rsid w:val="00910A1D"/>
    <w:rsid w:val="00910CDC"/>
    <w:rsid w:val="009136AE"/>
    <w:rsid w:val="009147A6"/>
    <w:rsid w:val="00916680"/>
    <w:rsid w:val="0092174C"/>
    <w:rsid w:val="00923651"/>
    <w:rsid w:val="00925A5F"/>
    <w:rsid w:val="00925CD7"/>
    <w:rsid w:val="009274A3"/>
    <w:rsid w:val="0092774F"/>
    <w:rsid w:val="0093076A"/>
    <w:rsid w:val="00930DD2"/>
    <w:rsid w:val="009315F2"/>
    <w:rsid w:val="00931829"/>
    <w:rsid w:val="00933168"/>
    <w:rsid w:val="009345A3"/>
    <w:rsid w:val="00934C21"/>
    <w:rsid w:val="00934D0C"/>
    <w:rsid w:val="009376CE"/>
    <w:rsid w:val="0094118C"/>
    <w:rsid w:val="00941590"/>
    <w:rsid w:val="0094219C"/>
    <w:rsid w:val="00942E05"/>
    <w:rsid w:val="00944269"/>
    <w:rsid w:val="0094437D"/>
    <w:rsid w:val="009445F2"/>
    <w:rsid w:val="00950ADA"/>
    <w:rsid w:val="0095107A"/>
    <w:rsid w:val="009513F8"/>
    <w:rsid w:val="009525ED"/>
    <w:rsid w:val="00952F93"/>
    <w:rsid w:val="009539DE"/>
    <w:rsid w:val="009550AC"/>
    <w:rsid w:val="0095643F"/>
    <w:rsid w:val="0095733D"/>
    <w:rsid w:val="009608A5"/>
    <w:rsid w:val="00960DB5"/>
    <w:rsid w:val="00961B47"/>
    <w:rsid w:val="00961B8C"/>
    <w:rsid w:val="00962547"/>
    <w:rsid w:val="009644D9"/>
    <w:rsid w:val="009658D7"/>
    <w:rsid w:val="00967760"/>
    <w:rsid w:val="00967ACC"/>
    <w:rsid w:val="00971703"/>
    <w:rsid w:val="0097194A"/>
    <w:rsid w:val="00971DB5"/>
    <w:rsid w:val="00972595"/>
    <w:rsid w:val="0097259E"/>
    <w:rsid w:val="009729AE"/>
    <w:rsid w:val="009741B5"/>
    <w:rsid w:val="009741C7"/>
    <w:rsid w:val="00974AB6"/>
    <w:rsid w:val="00975032"/>
    <w:rsid w:val="00977C9D"/>
    <w:rsid w:val="009801C9"/>
    <w:rsid w:val="00980F79"/>
    <w:rsid w:val="009811E8"/>
    <w:rsid w:val="00981F33"/>
    <w:rsid w:val="00982480"/>
    <w:rsid w:val="00982686"/>
    <w:rsid w:val="009842DA"/>
    <w:rsid w:val="00984836"/>
    <w:rsid w:val="00984AD4"/>
    <w:rsid w:val="009851CD"/>
    <w:rsid w:val="00987998"/>
    <w:rsid w:val="009905DB"/>
    <w:rsid w:val="00991D49"/>
    <w:rsid w:val="00993457"/>
    <w:rsid w:val="00993556"/>
    <w:rsid w:val="0099399E"/>
    <w:rsid w:val="00994022"/>
    <w:rsid w:val="0099700D"/>
    <w:rsid w:val="009A0E76"/>
    <w:rsid w:val="009A1506"/>
    <w:rsid w:val="009A1775"/>
    <w:rsid w:val="009A2376"/>
    <w:rsid w:val="009A25D8"/>
    <w:rsid w:val="009A2792"/>
    <w:rsid w:val="009A4734"/>
    <w:rsid w:val="009A4A42"/>
    <w:rsid w:val="009A4A8B"/>
    <w:rsid w:val="009A710D"/>
    <w:rsid w:val="009A74E8"/>
    <w:rsid w:val="009B0CF9"/>
    <w:rsid w:val="009B1C26"/>
    <w:rsid w:val="009B20DE"/>
    <w:rsid w:val="009B2376"/>
    <w:rsid w:val="009B257E"/>
    <w:rsid w:val="009B2E86"/>
    <w:rsid w:val="009B2F17"/>
    <w:rsid w:val="009B3C92"/>
    <w:rsid w:val="009B72DA"/>
    <w:rsid w:val="009B744E"/>
    <w:rsid w:val="009B7F4C"/>
    <w:rsid w:val="009C031F"/>
    <w:rsid w:val="009C0463"/>
    <w:rsid w:val="009C0C47"/>
    <w:rsid w:val="009C1152"/>
    <w:rsid w:val="009C141B"/>
    <w:rsid w:val="009C1DCD"/>
    <w:rsid w:val="009C62D0"/>
    <w:rsid w:val="009C676A"/>
    <w:rsid w:val="009C67DD"/>
    <w:rsid w:val="009C6CE3"/>
    <w:rsid w:val="009C7A02"/>
    <w:rsid w:val="009D2F6D"/>
    <w:rsid w:val="009D3CE0"/>
    <w:rsid w:val="009D7472"/>
    <w:rsid w:val="009D7C43"/>
    <w:rsid w:val="009E0965"/>
    <w:rsid w:val="009E0FEA"/>
    <w:rsid w:val="009E12C8"/>
    <w:rsid w:val="009E164D"/>
    <w:rsid w:val="009E325E"/>
    <w:rsid w:val="009E39F4"/>
    <w:rsid w:val="009E61F3"/>
    <w:rsid w:val="009E65D3"/>
    <w:rsid w:val="009E6E14"/>
    <w:rsid w:val="009F000E"/>
    <w:rsid w:val="009F0B96"/>
    <w:rsid w:val="009F3141"/>
    <w:rsid w:val="009F5F9D"/>
    <w:rsid w:val="009F6B30"/>
    <w:rsid w:val="009F7C67"/>
    <w:rsid w:val="009F7E0D"/>
    <w:rsid w:val="00A00ED6"/>
    <w:rsid w:val="00A01904"/>
    <w:rsid w:val="00A01C2E"/>
    <w:rsid w:val="00A01F81"/>
    <w:rsid w:val="00A02026"/>
    <w:rsid w:val="00A057F9"/>
    <w:rsid w:val="00A059A3"/>
    <w:rsid w:val="00A06230"/>
    <w:rsid w:val="00A0692E"/>
    <w:rsid w:val="00A13AA0"/>
    <w:rsid w:val="00A16CB0"/>
    <w:rsid w:val="00A17DA7"/>
    <w:rsid w:val="00A209A5"/>
    <w:rsid w:val="00A20E8E"/>
    <w:rsid w:val="00A21AB3"/>
    <w:rsid w:val="00A2225A"/>
    <w:rsid w:val="00A25111"/>
    <w:rsid w:val="00A257B0"/>
    <w:rsid w:val="00A25C65"/>
    <w:rsid w:val="00A26D72"/>
    <w:rsid w:val="00A274D8"/>
    <w:rsid w:val="00A30A3C"/>
    <w:rsid w:val="00A32178"/>
    <w:rsid w:val="00A36E68"/>
    <w:rsid w:val="00A37D60"/>
    <w:rsid w:val="00A419B0"/>
    <w:rsid w:val="00A45781"/>
    <w:rsid w:val="00A542D4"/>
    <w:rsid w:val="00A550AE"/>
    <w:rsid w:val="00A55F6D"/>
    <w:rsid w:val="00A56B6E"/>
    <w:rsid w:val="00A60913"/>
    <w:rsid w:val="00A6112B"/>
    <w:rsid w:val="00A61CF9"/>
    <w:rsid w:val="00A622E4"/>
    <w:rsid w:val="00A62C56"/>
    <w:rsid w:val="00A63A31"/>
    <w:rsid w:val="00A64BB1"/>
    <w:rsid w:val="00A65417"/>
    <w:rsid w:val="00A67E3F"/>
    <w:rsid w:val="00A7004E"/>
    <w:rsid w:val="00A712E0"/>
    <w:rsid w:val="00A7250B"/>
    <w:rsid w:val="00A727AB"/>
    <w:rsid w:val="00A729A8"/>
    <w:rsid w:val="00A733D6"/>
    <w:rsid w:val="00A75052"/>
    <w:rsid w:val="00A75448"/>
    <w:rsid w:val="00A813B9"/>
    <w:rsid w:val="00A826DB"/>
    <w:rsid w:val="00A828E4"/>
    <w:rsid w:val="00A841DA"/>
    <w:rsid w:val="00A84FB3"/>
    <w:rsid w:val="00A85A69"/>
    <w:rsid w:val="00A867D1"/>
    <w:rsid w:val="00A86DFB"/>
    <w:rsid w:val="00A87425"/>
    <w:rsid w:val="00A87E37"/>
    <w:rsid w:val="00A911A5"/>
    <w:rsid w:val="00A92439"/>
    <w:rsid w:val="00A949BA"/>
    <w:rsid w:val="00A964E5"/>
    <w:rsid w:val="00A965C2"/>
    <w:rsid w:val="00A9673A"/>
    <w:rsid w:val="00A96A25"/>
    <w:rsid w:val="00A97E1B"/>
    <w:rsid w:val="00AA3992"/>
    <w:rsid w:val="00AA524A"/>
    <w:rsid w:val="00AA5DCF"/>
    <w:rsid w:val="00AA6BA3"/>
    <w:rsid w:val="00AA7AF1"/>
    <w:rsid w:val="00AB1422"/>
    <w:rsid w:val="00AB5E25"/>
    <w:rsid w:val="00AB5E87"/>
    <w:rsid w:val="00AB5EB1"/>
    <w:rsid w:val="00AB6B6E"/>
    <w:rsid w:val="00AC06DD"/>
    <w:rsid w:val="00AC1A1A"/>
    <w:rsid w:val="00AC2C96"/>
    <w:rsid w:val="00AC3AA1"/>
    <w:rsid w:val="00AC491E"/>
    <w:rsid w:val="00AC5E15"/>
    <w:rsid w:val="00AD1FD1"/>
    <w:rsid w:val="00AD23A7"/>
    <w:rsid w:val="00AD24E1"/>
    <w:rsid w:val="00AD2F88"/>
    <w:rsid w:val="00AD2FD4"/>
    <w:rsid w:val="00AD3063"/>
    <w:rsid w:val="00AD424C"/>
    <w:rsid w:val="00AD49D9"/>
    <w:rsid w:val="00AD4A2F"/>
    <w:rsid w:val="00AD55C0"/>
    <w:rsid w:val="00AD5EE6"/>
    <w:rsid w:val="00AD6A16"/>
    <w:rsid w:val="00AD755C"/>
    <w:rsid w:val="00AE0069"/>
    <w:rsid w:val="00AE1B0D"/>
    <w:rsid w:val="00AE3308"/>
    <w:rsid w:val="00AE3B32"/>
    <w:rsid w:val="00AE49CB"/>
    <w:rsid w:val="00AE5227"/>
    <w:rsid w:val="00AE7490"/>
    <w:rsid w:val="00AF14CE"/>
    <w:rsid w:val="00AF1926"/>
    <w:rsid w:val="00AF1DCD"/>
    <w:rsid w:val="00AF2EFC"/>
    <w:rsid w:val="00AF33F5"/>
    <w:rsid w:val="00AF3691"/>
    <w:rsid w:val="00AF3A9F"/>
    <w:rsid w:val="00AF3B97"/>
    <w:rsid w:val="00AF5090"/>
    <w:rsid w:val="00AF5E24"/>
    <w:rsid w:val="00AF7E9F"/>
    <w:rsid w:val="00B0138C"/>
    <w:rsid w:val="00B03805"/>
    <w:rsid w:val="00B03A1E"/>
    <w:rsid w:val="00B03C30"/>
    <w:rsid w:val="00B04FD6"/>
    <w:rsid w:val="00B058E9"/>
    <w:rsid w:val="00B05DA7"/>
    <w:rsid w:val="00B0613E"/>
    <w:rsid w:val="00B07519"/>
    <w:rsid w:val="00B07A37"/>
    <w:rsid w:val="00B07CF2"/>
    <w:rsid w:val="00B103B1"/>
    <w:rsid w:val="00B11844"/>
    <w:rsid w:val="00B118C5"/>
    <w:rsid w:val="00B12295"/>
    <w:rsid w:val="00B12FF6"/>
    <w:rsid w:val="00B1333D"/>
    <w:rsid w:val="00B139E3"/>
    <w:rsid w:val="00B1486E"/>
    <w:rsid w:val="00B165E1"/>
    <w:rsid w:val="00B16C04"/>
    <w:rsid w:val="00B1713D"/>
    <w:rsid w:val="00B17666"/>
    <w:rsid w:val="00B2226F"/>
    <w:rsid w:val="00B23368"/>
    <w:rsid w:val="00B240EF"/>
    <w:rsid w:val="00B24952"/>
    <w:rsid w:val="00B2613D"/>
    <w:rsid w:val="00B270AC"/>
    <w:rsid w:val="00B2739E"/>
    <w:rsid w:val="00B27868"/>
    <w:rsid w:val="00B3058B"/>
    <w:rsid w:val="00B30796"/>
    <w:rsid w:val="00B32010"/>
    <w:rsid w:val="00B32538"/>
    <w:rsid w:val="00B333B5"/>
    <w:rsid w:val="00B34020"/>
    <w:rsid w:val="00B352EE"/>
    <w:rsid w:val="00B37CE7"/>
    <w:rsid w:val="00B40823"/>
    <w:rsid w:val="00B41149"/>
    <w:rsid w:val="00B4122C"/>
    <w:rsid w:val="00B41BD3"/>
    <w:rsid w:val="00B41DD6"/>
    <w:rsid w:val="00B42936"/>
    <w:rsid w:val="00B429B4"/>
    <w:rsid w:val="00B440A5"/>
    <w:rsid w:val="00B44B15"/>
    <w:rsid w:val="00B44BF7"/>
    <w:rsid w:val="00B45CD6"/>
    <w:rsid w:val="00B461C2"/>
    <w:rsid w:val="00B47062"/>
    <w:rsid w:val="00B5090C"/>
    <w:rsid w:val="00B50B54"/>
    <w:rsid w:val="00B50CCC"/>
    <w:rsid w:val="00B50DC8"/>
    <w:rsid w:val="00B531D5"/>
    <w:rsid w:val="00B5344E"/>
    <w:rsid w:val="00B54D23"/>
    <w:rsid w:val="00B55961"/>
    <w:rsid w:val="00B57F8A"/>
    <w:rsid w:val="00B614AB"/>
    <w:rsid w:val="00B624D2"/>
    <w:rsid w:val="00B63DF4"/>
    <w:rsid w:val="00B64D26"/>
    <w:rsid w:val="00B66E6E"/>
    <w:rsid w:val="00B67A00"/>
    <w:rsid w:val="00B70E30"/>
    <w:rsid w:val="00B7468D"/>
    <w:rsid w:val="00B748C3"/>
    <w:rsid w:val="00B7542D"/>
    <w:rsid w:val="00B75ADA"/>
    <w:rsid w:val="00B75B06"/>
    <w:rsid w:val="00B77982"/>
    <w:rsid w:val="00B8049B"/>
    <w:rsid w:val="00B81AC3"/>
    <w:rsid w:val="00B821DA"/>
    <w:rsid w:val="00B829A0"/>
    <w:rsid w:val="00B82C37"/>
    <w:rsid w:val="00B83029"/>
    <w:rsid w:val="00B85B84"/>
    <w:rsid w:val="00B86509"/>
    <w:rsid w:val="00B86D37"/>
    <w:rsid w:val="00B87D1D"/>
    <w:rsid w:val="00B90AA3"/>
    <w:rsid w:val="00B9229B"/>
    <w:rsid w:val="00B9359D"/>
    <w:rsid w:val="00B93D5A"/>
    <w:rsid w:val="00B96CB2"/>
    <w:rsid w:val="00BA0D49"/>
    <w:rsid w:val="00BA1AF5"/>
    <w:rsid w:val="00BA3E47"/>
    <w:rsid w:val="00BA4977"/>
    <w:rsid w:val="00BA4D83"/>
    <w:rsid w:val="00BA627E"/>
    <w:rsid w:val="00BA6550"/>
    <w:rsid w:val="00BA740D"/>
    <w:rsid w:val="00BB0AD4"/>
    <w:rsid w:val="00BB0BAE"/>
    <w:rsid w:val="00BB4747"/>
    <w:rsid w:val="00BB4A18"/>
    <w:rsid w:val="00BB5538"/>
    <w:rsid w:val="00BB6E3B"/>
    <w:rsid w:val="00BC22A3"/>
    <w:rsid w:val="00BC32EA"/>
    <w:rsid w:val="00BC387D"/>
    <w:rsid w:val="00BC3C38"/>
    <w:rsid w:val="00BC3D84"/>
    <w:rsid w:val="00BC5051"/>
    <w:rsid w:val="00BC66C5"/>
    <w:rsid w:val="00BC769E"/>
    <w:rsid w:val="00BD05D2"/>
    <w:rsid w:val="00BD078C"/>
    <w:rsid w:val="00BD0810"/>
    <w:rsid w:val="00BD22F3"/>
    <w:rsid w:val="00BD33E7"/>
    <w:rsid w:val="00BD44E0"/>
    <w:rsid w:val="00BD4814"/>
    <w:rsid w:val="00BD5106"/>
    <w:rsid w:val="00BD5F72"/>
    <w:rsid w:val="00BD6384"/>
    <w:rsid w:val="00BD64E4"/>
    <w:rsid w:val="00BD6839"/>
    <w:rsid w:val="00BD6BDD"/>
    <w:rsid w:val="00BD7466"/>
    <w:rsid w:val="00BD7B1C"/>
    <w:rsid w:val="00BE111F"/>
    <w:rsid w:val="00BE17E4"/>
    <w:rsid w:val="00BE2153"/>
    <w:rsid w:val="00BE21EA"/>
    <w:rsid w:val="00BE2EC2"/>
    <w:rsid w:val="00BF0A8E"/>
    <w:rsid w:val="00BF15A3"/>
    <w:rsid w:val="00BF248B"/>
    <w:rsid w:val="00BF2C74"/>
    <w:rsid w:val="00BF35A7"/>
    <w:rsid w:val="00BF3BA9"/>
    <w:rsid w:val="00BF6388"/>
    <w:rsid w:val="00BF7C7F"/>
    <w:rsid w:val="00C01747"/>
    <w:rsid w:val="00C04D38"/>
    <w:rsid w:val="00C04EF3"/>
    <w:rsid w:val="00C0641E"/>
    <w:rsid w:val="00C070CB"/>
    <w:rsid w:val="00C07A50"/>
    <w:rsid w:val="00C07E01"/>
    <w:rsid w:val="00C10404"/>
    <w:rsid w:val="00C11B01"/>
    <w:rsid w:val="00C124E8"/>
    <w:rsid w:val="00C12826"/>
    <w:rsid w:val="00C143A7"/>
    <w:rsid w:val="00C14A52"/>
    <w:rsid w:val="00C166BF"/>
    <w:rsid w:val="00C21EAA"/>
    <w:rsid w:val="00C22A2A"/>
    <w:rsid w:val="00C23D34"/>
    <w:rsid w:val="00C24B0B"/>
    <w:rsid w:val="00C2577B"/>
    <w:rsid w:val="00C25BFA"/>
    <w:rsid w:val="00C25D4E"/>
    <w:rsid w:val="00C26132"/>
    <w:rsid w:val="00C271FB"/>
    <w:rsid w:val="00C30958"/>
    <w:rsid w:val="00C30C7B"/>
    <w:rsid w:val="00C32DE0"/>
    <w:rsid w:val="00C33FC8"/>
    <w:rsid w:val="00C34ADC"/>
    <w:rsid w:val="00C35921"/>
    <w:rsid w:val="00C35A96"/>
    <w:rsid w:val="00C369B2"/>
    <w:rsid w:val="00C36DD2"/>
    <w:rsid w:val="00C36DFC"/>
    <w:rsid w:val="00C37F85"/>
    <w:rsid w:val="00C40B38"/>
    <w:rsid w:val="00C41330"/>
    <w:rsid w:val="00C41623"/>
    <w:rsid w:val="00C45774"/>
    <w:rsid w:val="00C50CEF"/>
    <w:rsid w:val="00C512B3"/>
    <w:rsid w:val="00C524E3"/>
    <w:rsid w:val="00C52AFB"/>
    <w:rsid w:val="00C52E61"/>
    <w:rsid w:val="00C5455B"/>
    <w:rsid w:val="00C54C8C"/>
    <w:rsid w:val="00C55E70"/>
    <w:rsid w:val="00C562F6"/>
    <w:rsid w:val="00C577E5"/>
    <w:rsid w:val="00C5780B"/>
    <w:rsid w:val="00C60EA4"/>
    <w:rsid w:val="00C62824"/>
    <w:rsid w:val="00C64FCA"/>
    <w:rsid w:val="00C65AB7"/>
    <w:rsid w:val="00C65FED"/>
    <w:rsid w:val="00C70F09"/>
    <w:rsid w:val="00C7120E"/>
    <w:rsid w:val="00C71340"/>
    <w:rsid w:val="00C716DD"/>
    <w:rsid w:val="00C721DD"/>
    <w:rsid w:val="00C736C5"/>
    <w:rsid w:val="00C7384E"/>
    <w:rsid w:val="00C74952"/>
    <w:rsid w:val="00C75359"/>
    <w:rsid w:val="00C804DA"/>
    <w:rsid w:val="00C81A2A"/>
    <w:rsid w:val="00C82305"/>
    <w:rsid w:val="00C83BA7"/>
    <w:rsid w:val="00C84456"/>
    <w:rsid w:val="00C918A7"/>
    <w:rsid w:val="00C94ABB"/>
    <w:rsid w:val="00C950FF"/>
    <w:rsid w:val="00C95E51"/>
    <w:rsid w:val="00C97183"/>
    <w:rsid w:val="00CA09EF"/>
    <w:rsid w:val="00CA0ADE"/>
    <w:rsid w:val="00CA2F07"/>
    <w:rsid w:val="00CA31D0"/>
    <w:rsid w:val="00CA3C1B"/>
    <w:rsid w:val="00CA3F7C"/>
    <w:rsid w:val="00CA4120"/>
    <w:rsid w:val="00CA45E1"/>
    <w:rsid w:val="00CA6024"/>
    <w:rsid w:val="00CA690D"/>
    <w:rsid w:val="00CA6E35"/>
    <w:rsid w:val="00CB04A8"/>
    <w:rsid w:val="00CB08A0"/>
    <w:rsid w:val="00CB4E91"/>
    <w:rsid w:val="00CB4F99"/>
    <w:rsid w:val="00CB7CB2"/>
    <w:rsid w:val="00CC1EF3"/>
    <w:rsid w:val="00CC3680"/>
    <w:rsid w:val="00CC45CD"/>
    <w:rsid w:val="00CC50FF"/>
    <w:rsid w:val="00CC5EE1"/>
    <w:rsid w:val="00CC6F27"/>
    <w:rsid w:val="00CC78B3"/>
    <w:rsid w:val="00CD0B74"/>
    <w:rsid w:val="00CD29E4"/>
    <w:rsid w:val="00CD3E7E"/>
    <w:rsid w:val="00CD3FC3"/>
    <w:rsid w:val="00CD4683"/>
    <w:rsid w:val="00CD5DDA"/>
    <w:rsid w:val="00CD6BC3"/>
    <w:rsid w:val="00CE0F1E"/>
    <w:rsid w:val="00CE16DC"/>
    <w:rsid w:val="00CE1F45"/>
    <w:rsid w:val="00CE2F3D"/>
    <w:rsid w:val="00CE3635"/>
    <w:rsid w:val="00CE4EF8"/>
    <w:rsid w:val="00CF1364"/>
    <w:rsid w:val="00CF22C7"/>
    <w:rsid w:val="00CF44BE"/>
    <w:rsid w:val="00CF4593"/>
    <w:rsid w:val="00CF49BE"/>
    <w:rsid w:val="00CF674D"/>
    <w:rsid w:val="00D009C1"/>
    <w:rsid w:val="00D01C4D"/>
    <w:rsid w:val="00D02407"/>
    <w:rsid w:val="00D0251C"/>
    <w:rsid w:val="00D04BDA"/>
    <w:rsid w:val="00D055BA"/>
    <w:rsid w:val="00D06AA6"/>
    <w:rsid w:val="00D07718"/>
    <w:rsid w:val="00D078CD"/>
    <w:rsid w:val="00D10210"/>
    <w:rsid w:val="00D10498"/>
    <w:rsid w:val="00D10E98"/>
    <w:rsid w:val="00D10FEF"/>
    <w:rsid w:val="00D11390"/>
    <w:rsid w:val="00D1159C"/>
    <w:rsid w:val="00D12F8A"/>
    <w:rsid w:val="00D14708"/>
    <w:rsid w:val="00D14978"/>
    <w:rsid w:val="00D15035"/>
    <w:rsid w:val="00D160A9"/>
    <w:rsid w:val="00D167DD"/>
    <w:rsid w:val="00D17876"/>
    <w:rsid w:val="00D17BCA"/>
    <w:rsid w:val="00D203E4"/>
    <w:rsid w:val="00D21491"/>
    <w:rsid w:val="00D215A6"/>
    <w:rsid w:val="00D217C8"/>
    <w:rsid w:val="00D23376"/>
    <w:rsid w:val="00D233BB"/>
    <w:rsid w:val="00D242E2"/>
    <w:rsid w:val="00D2447D"/>
    <w:rsid w:val="00D3134B"/>
    <w:rsid w:val="00D3171F"/>
    <w:rsid w:val="00D3181B"/>
    <w:rsid w:val="00D318CE"/>
    <w:rsid w:val="00D31AAA"/>
    <w:rsid w:val="00D32808"/>
    <w:rsid w:val="00D3425E"/>
    <w:rsid w:val="00D35533"/>
    <w:rsid w:val="00D35850"/>
    <w:rsid w:val="00D3644F"/>
    <w:rsid w:val="00D37359"/>
    <w:rsid w:val="00D417D1"/>
    <w:rsid w:val="00D4357B"/>
    <w:rsid w:val="00D43B22"/>
    <w:rsid w:val="00D441EC"/>
    <w:rsid w:val="00D451CA"/>
    <w:rsid w:val="00D462E3"/>
    <w:rsid w:val="00D47A0D"/>
    <w:rsid w:val="00D50626"/>
    <w:rsid w:val="00D50C6D"/>
    <w:rsid w:val="00D51068"/>
    <w:rsid w:val="00D53EB9"/>
    <w:rsid w:val="00D556AD"/>
    <w:rsid w:val="00D57187"/>
    <w:rsid w:val="00D577B0"/>
    <w:rsid w:val="00D6066F"/>
    <w:rsid w:val="00D66DE2"/>
    <w:rsid w:val="00D72146"/>
    <w:rsid w:val="00D721A8"/>
    <w:rsid w:val="00D7524D"/>
    <w:rsid w:val="00D754B2"/>
    <w:rsid w:val="00D76151"/>
    <w:rsid w:val="00D765D9"/>
    <w:rsid w:val="00D80138"/>
    <w:rsid w:val="00D80271"/>
    <w:rsid w:val="00D85A93"/>
    <w:rsid w:val="00D875EA"/>
    <w:rsid w:val="00D90275"/>
    <w:rsid w:val="00D915B2"/>
    <w:rsid w:val="00D93173"/>
    <w:rsid w:val="00D94F5F"/>
    <w:rsid w:val="00D97E56"/>
    <w:rsid w:val="00DA09AF"/>
    <w:rsid w:val="00DA126B"/>
    <w:rsid w:val="00DA4058"/>
    <w:rsid w:val="00DA4A93"/>
    <w:rsid w:val="00DA5CEC"/>
    <w:rsid w:val="00DA62B5"/>
    <w:rsid w:val="00DA6D20"/>
    <w:rsid w:val="00DA7227"/>
    <w:rsid w:val="00DB0EEB"/>
    <w:rsid w:val="00DB1964"/>
    <w:rsid w:val="00DB2A99"/>
    <w:rsid w:val="00DB3B33"/>
    <w:rsid w:val="00DB4827"/>
    <w:rsid w:val="00DB5178"/>
    <w:rsid w:val="00DB52D3"/>
    <w:rsid w:val="00DB5593"/>
    <w:rsid w:val="00DB56EE"/>
    <w:rsid w:val="00DB6900"/>
    <w:rsid w:val="00DC1E5A"/>
    <w:rsid w:val="00DC2BF0"/>
    <w:rsid w:val="00DC301E"/>
    <w:rsid w:val="00DC3DC8"/>
    <w:rsid w:val="00DC4097"/>
    <w:rsid w:val="00DC4472"/>
    <w:rsid w:val="00DC44CC"/>
    <w:rsid w:val="00DC44F4"/>
    <w:rsid w:val="00DD15F1"/>
    <w:rsid w:val="00DD1986"/>
    <w:rsid w:val="00DD1E49"/>
    <w:rsid w:val="00DD31EC"/>
    <w:rsid w:val="00DD3546"/>
    <w:rsid w:val="00DD3C37"/>
    <w:rsid w:val="00DD4FDF"/>
    <w:rsid w:val="00DE1ED9"/>
    <w:rsid w:val="00DE33F7"/>
    <w:rsid w:val="00DE3B13"/>
    <w:rsid w:val="00DE4294"/>
    <w:rsid w:val="00DE42D9"/>
    <w:rsid w:val="00DE52CD"/>
    <w:rsid w:val="00DE5D4D"/>
    <w:rsid w:val="00DE6B09"/>
    <w:rsid w:val="00DE724A"/>
    <w:rsid w:val="00DE7A6F"/>
    <w:rsid w:val="00DF07C7"/>
    <w:rsid w:val="00DF1CAE"/>
    <w:rsid w:val="00DF28AC"/>
    <w:rsid w:val="00DF2CE4"/>
    <w:rsid w:val="00DF3008"/>
    <w:rsid w:val="00DF5E3B"/>
    <w:rsid w:val="00DF6AD8"/>
    <w:rsid w:val="00DF7FD3"/>
    <w:rsid w:val="00E0020C"/>
    <w:rsid w:val="00E00537"/>
    <w:rsid w:val="00E0065D"/>
    <w:rsid w:val="00E00ABE"/>
    <w:rsid w:val="00E01BEF"/>
    <w:rsid w:val="00E01FDF"/>
    <w:rsid w:val="00E02D50"/>
    <w:rsid w:val="00E02DD7"/>
    <w:rsid w:val="00E041EE"/>
    <w:rsid w:val="00E04806"/>
    <w:rsid w:val="00E0504C"/>
    <w:rsid w:val="00E06A15"/>
    <w:rsid w:val="00E07116"/>
    <w:rsid w:val="00E076EB"/>
    <w:rsid w:val="00E077F9"/>
    <w:rsid w:val="00E07B93"/>
    <w:rsid w:val="00E1020E"/>
    <w:rsid w:val="00E103D2"/>
    <w:rsid w:val="00E129B5"/>
    <w:rsid w:val="00E143C8"/>
    <w:rsid w:val="00E158AD"/>
    <w:rsid w:val="00E16D74"/>
    <w:rsid w:val="00E20934"/>
    <w:rsid w:val="00E2109F"/>
    <w:rsid w:val="00E215A1"/>
    <w:rsid w:val="00E223F3"/>
    <w:rsid w:val="00E24EBD"/>
    <w:rsid w:val="00E250F2"/>
    <w:rsid w:val="00E25F56"/>
    <w:rsid w:val="00E26385"/>
    <w:rsid w:val="00E27BF2"/>
    <w:rsid w:val="00E30AE2"/>
    <w:rsid w:val="00E32D4F"/>
    <w:rsid w:val="00E32F37"/>
    <w:rsid w:val="00E37324"/>
    <w:rsid w:val="00E409CF"/>
    <w:rsid w:val="00E4143C"/>
    <w:rsid w:val="00E43151"/>
    <w:rsid w:val="00E43A0F"/>
    <w:rsid w:val="00E44637"/>
    <w:rsid w:val="00E45CA4"/>
    <w:rsid w:val="00E4629C"/>
    <w:rsid w:val="00E50DF4"/>
    <w:rsid w:val="00E51ED3"/>
    <w:rsid w:val="00E51FF6"/>
    <w:rsid w:val="00E547AE"/>
    <w:rsid w:val="00E5498E"/>
    <w:rsid w:val="00E54F86"/>
    <w:rsid w:val="00E572B3"/>
    <w:rsid w:val="00E61144"/>
    <w:rsid w:val="00E615EE"/>
    <w:rsid w:val="00E626BE"/>
    <w:rsid w:val="00E62A98"/>
    <w:rsid w:val="00E62C8B"/>
    <w:rsid w:val="00E668DC"/>
    <w:rsid w:val="00E66B70"/>
    <w:rsid w:val="00E677D8"/>
    <w:rsid w:val="00E70955"/>
    <w:rsid w:val="00E71297"/>
    <w:rsid w:val="00E72718"/>
    <w:rsid w:val="00E808F2"/>
    <w:rsid w:val="00E8100E"/>
    <w:rsid w:val="00E81A46"/>
    <w:rsid w:val="00E82052"/>
    <w:rsid w:val="00E827DC"/>
    <w:rsid w:val="00E829C3"/>
    <w:rsid w:val="00E84B8D"/>
    <w:rsid w:val="00E85763"/>
    <w:rsid w:val="00E858F9"/>
    <w:rsid w:val="00E8637C"/>
    <w:rsid w:val="00E87549"/>
    <w:rsid w:val="00E9094F"/>
    <w:rsid w:val="00E90F31"/>
    <w:rsid w:val="00E942A1"/>
    <w:rsid w:val="00E94C76"/>
    <w:rsid w:val="00E9605D"/>
    <w:rsid w:val="00E967FD"/>
    <w:rsid w:val="00E96B32"/>
    <w:rsid w:val="00EA0F05"/>
    <w:rsid w:val="00EA1DC0"/>
    <w:rsid w:val="00EA326C"/>
    <w:rsid w:val="00EA438C"/>
    <w:rsid w:val="00EA4493"/>
    <w:rsid w:val="00EA6844"/>
    <w:rsid w:val="00EA71F4"/>
    <w:rsid w:val="00EA7CC5"/>
    <w:rsid w:val="00EA7CF0"/>
    <w:rsid w:val="00EB01EC"/>
    <w:rsid w:val="00EB02FA"/>
    <w:rsid w:val="00EB04A3"/>
    <w:rsid w:val="00EB2312"/>
    <w:rsid w:val="00EB2C9B"/>
    <w:rsid w:val="00EB301E"/>
    <w:rsid w:val="00EB419B"/>
    <w:rsid w:val="00EB58A8"/>
    <w:rsid w:val="00EB6CB3"/>
    <w:rsid w:val="00EC1415"/>
    <w:rsid w:val="00EC267C"/>
    <w:rsid w:val="00EC274C"/>
    <w:rsid w:val="00EC59B0"/>
    <w:rsid w:val="00EC6E85"/>
    <w:rsid w:val="00EC7220"/>
    <w:rsid w:val="00EC7990"/>
    <w:rsid w:val="00ED0B5E"/>
    <w:rsid w:val="00ED10C3"/>
    <w:rsid w:val="00ED3C32"/>
    <w:rsid w:val="00ED79B0"/>
    <w:rsid w:val="00EE02B9"/>
    <w:rsid w:val="00EE1531"/>
    <w:rsid w:val="00EE16F7"/>
    <w:rsid w:val="00EE5256"/>
    <w:rsid w:val="00EE6333"/>
    <w:rsid w:val="00EE7701"/>
    <w:rsid w:val="00EF02A1"/>
    <w:rsid w:val="00EF20FD"/>
    <w:rsid w:val="00EF22C2"/>
    <w:rsid w:val="00EF4212"/>
    <w:rsid w:val="00EF49DC"/>
    <w:rsid w:val="00EF580D"/>
    <w:rsid w:val="00EF70D2"/>
    <w:rsid w:val="00F00BB6"/>
    <w:rsid w:val="00F043B0"/>
    <w:rsid w:val="00F04E0F"/>
    <w:rsid w:val="00F0658B"/>
    <w:rsid w:val="00F06E44"/>
    <w:rsid w:val="00F11BB9"/>
    <w:rsid w:val="00F122B1"/>
    <w:rsid w:val="00F1245B"/>
    <w:rsid w:val="00F13205"/>
    <w:rsid w:val="00F1451B"/>
    <w:rsid w:val="00F150FB"/>
    <w:rsid w:val="00F1552C"/>
    <w:rsid w:val="00F159F9"/>
    <w:rsid w:val="00F16EFE"/>
    <w:rsid w:val="00F20A1F"/>
    <w:rsid w:val="00F226F4"/>
    <w:rsid w:val="00F24270"/>
    <w:rsid w:val="00F24802"/>
    <w:rsid w:val="00F24A0F"/>
    <w:rsid w:val="00F24A99"/>
    <w:rsid w:val="00F24FEC"/>
    <w:rsid w:val="00F31F65"/>
    <w:rsid w:val="00F321C5"/>
    <w:rsid w:val="00F33A4B"/>
    <w:rsid w:val="00F34FD3"/>
    <w:rsid w:val="00F36620"/>
    <w:rsid w:val="00F369F5"/>
    <w:rsid w:val="00F36CCF"/>
    <w:rsid w:val="00F40141"/>
    <w:rsid w:val="00F4139A"/>
    <w:rsid w:val="00F41668"/>
    <w:rsid w:val="00F422C9"/>
    <w:rsid w:val="00F429DA"/>
    <w:rsid w:val="00F42EFF"/>
    <w:rsid w:val="00F47333"/>
    <w:rsid w:val="00F506BE"/>
    <w:rsid w:val="00F50790"/>
    <w:rsid w:val="00F5377D"/>
    <w:rsid w:val="00F53F29"/>
    <w:rsid w:val="00F5402A"/>
    <w:rsid w:val="00F55A35"/>
    <w:rsid w:val="00F55BD9"/>
    <w:rsid w:val="00F576FA"/>
    <w:rsid w:val="00F57FCD"/>
    <w:rsid w:val="00F6106A"/>
    <w:rsid w:val="00F63521"/>
    <w:rsid w:val="00F66AA7"/>
    <w:rsid w:val="00F6769F"/>
    <w:rsid w:val="00F71A04"/>
    <w:rsid w:val="00F71CFB"/>
    <w:rsid w:val="00F71F9B"/>
    <w:rsid w:val="00F73D51"/>
    <w:rsid w:val="00F744EE"/>
    <w:rsid w:val="00F751B8"/>
    <w:rsid w:val="00F7745F"/>
    <w:rsid w:val="00F77864"/>
    <w:rsid w:val="00F77A5C"/>
    <w:rsid w:val="00F807FB"/>
    <w:rsid w:val="00F81BB0"/>
    <w:rsid w:val="00F821CC"/>
    <w:rsid w:val="00F836E4"/>
    <w:rsid w:val="00F865B4"/>
    <w:rsid w:val="00F86837"/>
    <w:rsid w:val="00F87281"/>
    <w:rsid w:val="00F908F7"/>
    <w:rsid w:val="00F90ABC"/>
    <w:rsid w:val="00F91179"/>
    <w:rsid w:val="00F91C17"/>
    <w:rsid w:val="00F92A16"/>
    <w:rsid w:val="00F9306B"/>
    <w:rsid w:val="00F9324E"/>
    <w:rsid w:val="00F949DE"/>
    <w:rsid w:val="00F964CF"/>
    <w:rsid w:val="00F97200"/>
    <w:rsid w:val="00FA00B4"/>
    <w:rsid w:val="00FA2452"/>
    <w:rsid w:val="00FA2839"/>
    <w:rsid w:val="00FA2B21"/>
    <w:rsid w:val="00FA3A31"/>
    <w:rsid w:val="00FA3A57"/>
    <w:rsid w:val="00FA475F"/>
    <w:rsid w:val="00FA48D4"/>
    <w:rsid w:val="00FA4A4E"/>
    <w:rsid w:val="00FA59CC"/>
    <w:rsid w:val="00FA65F2"/>
    <w:rsid w:val="00FA77D5"/>
    <w:rsid w:val="00FB192E"/>
    <w:rsid w:val="00FB1FE2"/>
    <w:rsid w:val="00FB2011"/>
    <w:rsid w:val="00FB249B"/>
    <w:rsid w:val="00FB3DB9"/>
    <w:rsid w:val="00FB404C"/>
    <w:rsid w:val="00FB43BC"/>
    <w:rsid w:val="00FC00DD"/>
    <w:rsid w:val="00FC1F3B"/>
    <w:rsid w:val="00FC277B"/>
    <w:rsid w:val="00FC3326"/>
    <w:rsid w:val="00FC3C53"/>
    <w:rsid w:val="00FC41DD"/>
    <w:rsid w:val="00FC4A03"/>
    <w:rsid w:val="00FC6F30"/>
    <w:rsid w:val="00FD0901"/>
    <w:rsid w:val="00FD156A"/>
    <w:rsid w:val="00FD173E"/>
    <w:rsid w:val="00FD1C96"/>
    <w:rsid w:val="00FD31A6"/>
    <w:rsid w:val="00FD3A36"/>
    <w:rsid w:val="00FD3AA3"/>
    <w:rsid w:val="00FD5CAD"/>
    <w:rsid w:val="00FD62CF"/>
    <w:rsid w:val="00FE0746"/>
    <w:rsid w:val="00FE1284"/>
    <w:rsid w:val="00FE26D3"/>
    <w:rsid w:val="00FE5ADC"/>
    <w:rsid w:val="00FE650A"/>
    <w:rsid w:val="00FE6BC0"/>
    <w:rsid w:val="00FF1D21"/>
    <w:rsid w:val="00FF3B9F"/>
    <w:rsid w:val="00FF4172"/>
    <w:rsid w:val="00FF5D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40289"/>
    <o:shapelayout v:ext="edit">
      <o:idmap v:ext="edit" data="1"/>
    </o:shapelayout>
  </w:shapeDefaults>
  <w:decimalSymbol w:val="."/>
  <w:listSeparator w:val=","/>
  <w14:docId w14:val="5CA2F3D0"/>
  <w15:docId w15:val="{7160219B-A0C3-4D20-A11C-580D83F45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00DD"/>
    <w:rPr>
      <w:sz w:val="24"/>
      <w:szCs w:val="24"/>
    </w:rPr>
  </w:style>
  <w:style w:type="paragraph" w:styleId="Heading1">
    <w:name w:val="heading 1"/>
    <w:basedOn w:val="Normal"/>
    <w:next w:val="Normal"/>
    <w:qFormat/>
    <w:rsid w:val="00717DAE"/>
    <w:pPr>
      <w:keepNext/>
      <w:jc w:val="center"/>
      <w:outlineLvl w:val="0"/>
    </w:pPr>
    <w:rPr>
      <w:rFonts w:ascii="Courier" w:hAnsi="Courier"/>
      <w:b/>
      <w:szCs w:val="20"/>
    </w:rPr>
  </w:style>
  <w:style w:type="paragraph" w:styleId="Heading2">
    <w:name w:val="heading 2"/>
    <w:basedOn w:val="Normal"/>
    <w:next w:val="Normal"/>
    <w:qFormat/>
    <w:rsid w:val="00717DAE"/>
    <w:pPr>
      <w:keepNext/>
      <w:jc w:val="right"/>
      <w:outlineLvl w:val="1"/>
    </w:pPr>
    <w:rPr>
      <w:rFonts w:ascii="Arial" w:hAnsi="Arial"/>
      <w:b/>
      <w:sz w:val="20"/>
      <w:szCs w:val="20"/>
      <w:u w:val="single"/>
    </w:rPr>
  </w:style>
  <w:style w:type="paragraph" w:styleId="Heading3">
    <w:name w:val="heading 3"/>
    <w:basedOn w:val="Normal"/>
    <w:next w:val="Normal"/>
    <w:qFormat/>
    <w:rsid w:val="00717DAE"/>
    <w:pPr>
      <w:keepNext/>
      <w:tabs>
        <w:tab w:val="left" w:pos="540"/>
      </w:tabs>
      <w:autoSpaceDE w:val="0"/>
      <w:autoSpaceDN w:val="0"/>
      <w:adjustRightInd w:val="0"/>
      <w:outlineLvl w:val="2"/>
    </w:pPr>
    <w:rPr>
      <w:b/>
      <w:bCs/>
      <w:color w:val="000000"/>
    </w:rPr>
  </w:style>
  <w:style w:type="paragraph" w:styleId="Heading4">
    <w:name w:val="heading 4"/>
    <w:basedOn w:val="Normal"/>
    <w:next w:val="Normal"/>
    <w:qFormat/>
    <w:rsid w:val="00717DAE"/>
    <w:pPr>
      <w:keepNext/>
      <w:numPr>
        <w:numId w:val="2"/>
      </w:numPr>
      <w:outlineLvl w:val="3"/>
    </w:pPr>
    <w:rPr>
      <w:rFonts w:ascii="Courier New" w:hAnsi="Courier New"/>
      <w:b/>
      <w:szCs w:val="20"/>
    </w:rPr>
  </w:style>
  <w:style w:type="paragraph" w:styleId="Heading5">
    <w:name w:val="heading 5"/>
    <w:basedOn w:val="Normal"/>
    <w:next w:val="Normal"/>
    <w:qFormat/>
    <w:rsid w:val="00717DAE"/>
    <w:pPr>
      <w:keepNext/>
      <w:outlineLvl w:val="4"/>
    </w:pPr>
    <w:rPr>
      <w:b/>
      <w:bCs/>
      <w:sz w:val="18"/>
    </w:rPr>
  </w:style>
  <w:style w:type="paragraph" w:styleId="Heading6">
    <w:name w:val="heading 6"/>
    <w:basedOn w:val="Normal"/>
    <w:next w:val="Normal"/>
    <w:qFormat/>
    <w:rsid w:val="00717DAE"/>
    <w:pPr>
      <w:keepNext/>
      <w:numPr>
        <w:numId w:val="1"/>
      </w:numPr>
      <w:outlineLvl w:val="5"/>
    </w:pPr>
    <w:rPr>
      <w:b/>
      <w:szCs w:val="20"/>
    </w:rPr>
  </w:style>
  <w:style w:type="paragraph" w:styleId="Heading7">
    <w:name w:val="heading 7"/>
    <w:basedOn w:val="Normal"/>
    <w:next w:val="Normal"/>
    <w:link w:val="Heading7Char"/>
    <w:qFormat/>
    <w:rsid w:val="00717DAE"/>
    <w:pPr>
      <w:keepNext/>
      <w:jc w:val="center"/>
      <w:outlineLvl w:val="6"/>
    </w:pPr>
    <w:rPr>
      <w:szCs w:val="20"/>
    </w:rPr>
  </w:style>
  <w:style w:type="paragraph" w:styleId="Heading8">
    <w:name w:val="heading 8"/>
    <w:basedOn w:val="Normal"/>
    <w:next w:val="Normal"/>
    <w:qFormat/>
    <w:rsid w:val="00717DAE"/>
    <w:pPr>
      <w:keepNext/>
      <w:tabs>
        <w:tab w:val="right" w:pos="8928"/>
      </w:tabs>
      <w:jc w:val="center"/>
      <w:outlineLvl w:val="7"/>
    </w:pPr>
    <w:rPr>
      <w:rFonts w:ascii="Arial" w:hAnsi="Arial" w:cs="Arial"/>
      <w:b/>
      <w:sz w:val="48"/>
    </w:rPr>
  </w:style>
  <w:style w:type="paragraph" w:styleId="Heading9">
    <w:name w:val="heading 9"/>
    <w:basedOn w:val="Normal"/>
    <w:next w:val="Normal"/>
    <w:qFormat/>
    <w:rsid w:val="00717DAE"/>
    <w:pPr>
      <w:keepNext/>
      <w:ind w:left="720"/>
      <w:outlineLvl w:val="8"/>
    </w:pPr>
    <w:rPr>
      <w:rFonts w:ascii="Courier" w:hAnsi="Courie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17DAE"/>
    <w:pPr>
      <w:widowControl w:val="0"/>
      <w:tabs>
        <w:tab w:val="left" w:pos="432"/>
        <w:tab w:val="center" w:pos="4320"/>
        <w:tab w:val="right" w:pos="5040"/>
        <w:tab w:val="right" w:pos="6210"/>
        <w:tab w:val="right" w:pos="6930"/>
        <w:tab w:val="right" w:pos="8190"/>
        <w:tab w:val="right" w:pos="8640"/>
        <w:tab w:val="right" w:pos="8820"/>
        <w:tab w:val="right" w:pos="9810"/>
      </w:tabs>
    </w:pPr>
    <w:rPr>
      <w:rFonts w:ascii="Courier New" w:hAnsi="Courier New"/>
      <w:sz w:val="20"/>
      <w:szCs w:val="20"/>
    </w:rPr>
  </w:style>
  <w:style w:type="paragraph" w:customStyle="1" w:styleId="xl19">
    <w:name w:val="xl19"/>
    <w:basedOn w:val="Normal"/>
    <w:rsid w:val="00717DAE"/>
    <w:pPr>
      <w:spacing w:before="100" w:after="100"/>
    </w:pPr>
    <w:rPr>
      <w:rFonts w:eastAsia="Arial Unicode MS"/>
      <w:szCs w:val="20"/>
    </w:rPr>
  </w:style>
  <w:style w:type="paragraph" w:customStyle="1" w:styleId="APP-3A">
    <w:name w:val="APP-3A"/>
    <w:rsid w:val="00717DAE"/>
    <w:rPr>
      <w:rFonts w:ascii="Arial" w:hAnsi="Arial"/>
      <w:b/>
    </w:rPr>
  </w:style>
  <w:style w:type="paragraph" w:customStyle="1" w:styleId="xl33">
    <w:name w:val="xl33"/>
    <w:basedOn w:val="Normal"/>
    <w:rsid w:val="00717DAE"/>
    <w:pPr>
      <w:spacing w:before="100" w:after="100"/>
      <w:jc w:val="center"/>
    </w:pPr>
    <w:rPr>
      <w:rFonts w:ascii="Arial" w:eastAsia="Arial Unicode MS" w:hAnsi="Arial"/>
      <w:b/>
      <w:szCs w:val="20"/>
    </w:rPr>
  </w:style>
  <w:style w:type="paragraph" w:styleId="BodyText">
    <w:name w:val="Body Text"/>
    <w:aliases w:val="body text,bt,heading3,NCDOT Body Text,1body,BodText,Body Txt,FL IND"/>
    <w:basedOn w:val="Normal"/>
    <w:link w:val="BodyTextChar"/>
    <w:rsid w:val="00717DAE"/>
    <w:rPr>
      <w:szCs w:val="20"/>
    </w:rPr>
  </w:style>
  <w:style w:type="paragraph" w:customStyle="1" w:styleId="xl27">
    <w:name w:val="xl27"/>
    <w:basedOn w:val="Normal"/>
    <w:uiPriority w:val="99"/>
    <w:rsid w:val="00717DAE"/>
    <w:pPr>
      <w:spacing w:before="100" w:after="100"/>
    </w:pPr>
    <w:rPr>
      <w:rFonts w:ascii="Arial" w:eastAsia="Arial Unicode MS" w:hAnsi="Arial"/>
      <w:b/>
      <w:szCs w:val="20"/>
    </w:rPr>
  </w:style>
  <w:style w:type="paragraph" w:styleId="FootnoteText">
    <w:name w:val="footnote text"/>
    <w:basedOn w:val="Normal"/>
    <w:semiHidden/>
    <w:rsid w:val="00717DAE"/>
    <w:rPr>
      <w:sz w:val="20"/>
      <w:szCs w:val="20"/>
    </w:rPr>
  </w:style>
  <w:style w:type="paragraph" w:customStyle="1" w:styleId="xl34">
    <w:name w:val="xl34"/>
    <w:basedOn w:val="Normal"/>
    <w:rsid w:val="00717DAE"/>
    <w:pPr>
      <w:spacing w:before="100" w:after="100"/>
      <w:jc w:val="center"/>
    </w:pPr>
    <w:rPr>
      <w:rFonts w:eastAsia="Arial Unicode MS"/>
      <w:b/>
      <w:sz w:val="20"/>
      <w:szCs w:val="20"/>
    </w:rPr>
  </w:style>
  <w:style w:type="paragraph" w:styleId="Title">
    <w:name w:val="Title"/>
    <w:basedOn w:val="Normal"/>
    <w:link w:val="TitleChar"/>
    <w:qFormat/>
    <w:rsid w:val="00717DAE"/>
    <w:pPr>
      <w:ind w:left="720"/>
      <w:jc w:val="center"/>
    </w:pPr>
    <w:rPr>
      <w:b/>
      <w:i/>
      <w:szCs w:val="20"/>
    </w:rPr>
  </w:style>
  <w:style w:type="paragraph" w:styleId="BodyText2">
    <w:name w:val="Body Text 2"/>
    <w:basedOn w:val="Normal"/>
    <w:link w:val="BodyText2Char"/>
    <w:rsid w:val="00717DAE"/>
    <w:rPr>
      <w:sz w:val="20"/>
      <w:szCs w:val="20"/>
    </w:rPr>
  </w:style>
  <w:style w:type="paragraph" w:styleId="Header">
    <w:name w:val="header"/>
    <w:basedOn w:val="Normal"/>
    <w:rsid w:val="00717DAE"/>
    <w:pPr>
      <w:tabs>
        <w:tab w:val="center" w:pos="4320"/>
        <w:tab w:val="right" w:pos="8640"/>
      </w:tabs>
    </w:pPr>
    <w:rPr>
      <w:rFonts w:ascii="CG Times" w:hAnsi="CG Times"/>
      <w:szCs w:val="20"/>
    </w:rPr>
  </w:style>
  <w:style w:type="paragraph" w:customStyle="1" w:styleId="xl24">
    <w:name w:val="xl24"/>
    <w:basedOn w:val="Normal"/>
    <w:rsid w:val="00717DAE"/>
    <w:pPr>
      <w:spacing w:before="100" w:after="100"/>
    </w:pPr>
    <w:rPr>
      <w:rFonts w:eastAsia="Arial Unicode MS"/>
      <w:szCs w:val="20"/>
      <w:u w:val="single"/>
    </w:rPr>
  </w:style>
  <w:style w:type="paragraph" w:styleId="BodyText3">
    <w:name w:val="Body Text 3"/>
    <w:basedOn w:val="Normal"/>
    <w:link w:val="BodyText3Char"/>
    <w:rsid w:val="00717DAE"/>
    <w:rPr>
      <w:color w:val="000000"/>
      <w:szCs w:val="20"/>
    </w:rPr>
  </w:style>
  <w:style w:type="paragraph" w:customStyle="1" w:styleId="xl22">
    <w:name w:val="xl22"/>
    <w:basedOn w:val="Normal"/>
    <w:rsid w:val="00717DAE"/>
    <w:pPr>
      <w:spacing w:before="100" w:after="100"/>
      <w:jc w:val="center"/>
    </w:pPr>
    <w:rPr>
      <w:rFonts w:eastAsia="Arial Unicode MS"/>
      <w:szCs w:val="20"/>
      <w:u w:val="single"/>
    </w:rPr>
  </w:style>
  <w:style w:type="paragraph" w:styleId="TOC1">
    <w:name w:val="toc 1"/>
    <w:basedOn w:val="Normal"/>
    <w:next w:val="Normal"/>
    <w:autoRedefine/>
    <w:semiHidden/>
    <w:rsid w:val="00717DAE"/>
    <w:pPr>
      <w:jc w:val="right"/>
    </w:pPr>
    <w:rPr>
      <w:szCs w:val="20"/>
    </w:rPr>
  </w:style>
  <w:style w:type="paragraph" w:styleId="TOAHeading">
    <w:name w:val="toa heading"/>
    <w:basedOn w:val="Normal"/>
    <w:next w:val="Normal"/>
    <w:semiHidden/>
    <w:rsid w:val="00717DAE"/>
    <w:pPr>
      <w:widowControl w:val="0"/>
      <w:tabs>
        <w:tab w:val="right" w:pos="9360"/>
      </w:tabs>
      <w:suppressAutoHyphens/>
    </w:pPr>
    <w:rPr>
      <w:rFonts w:ascii="Courier New" w:hAnsi="Courier New"/>
      <w:sz w:val="20"/>
      <w:szCs w:val="20"/>
    </w:rPr>
  </w:style>
  <w:style w:type="character" w:styleId="PageNumber">
    <w:name w:val="page number"/>
    <w:basedOn w:val="DefaultParagraphFont"/>
    <w:rsid w:val="00717DAE"/>
  </w:style>
  <w:style w:type="paragraph" w:styleId="BodyTextIndent">
    <w:name w:val="Body Text Indent"/>
    <w:basedOn w:val="Normal"/>
    <w:link w:val="BodyTextIndentChar"/>
    <w:rsid w:val="00717DAE"/>
    <w:pPr>
      <w:tabs>
        <w:tab w:val="left" w:leader="dot" w:pos="7920"/>
        <w:tab w:val="right" w:pos="8640"/>
      </w:tabs>
      <w:ind w:left="720"/>
    </w:pPr>
    <w:rPr>
      <w:bCs/>
      <w:i/>
      <w:iCs/>
    </w:rPr>
  </w:style>
  <w:style w:type="paragraph" w:styleId="BalloonText">
    <w:name w:val="Balloon Text"/>
    <w:basedOn w:val="Normal"/>
    <w:semiHidden/>
    <w:rsid w:val="00717DAE"/>
    <w:rPr>
      <w:rFonts w:ascii="Tahoma" w:hAnsi="Tahoma" w:cs="Tahoma"/>
      <w:sz w:val="16"/>
      <w:szCs w:val="16"/>
    </w:rPr>
  </w:style>
  <w:style w:type="paragraph" w:styleId="List2">
    <w:name w:val="List 2"/>
    <w:basedOn w:val="Normal"/>
    <w:rsid w:val="00E0065D"/>
    <w:pPr>
      <w:ind w:left="720" w:hanging="360"/>
    </w:pPr>
  </w:style>
  <w:style w:type="paragraph" w:styleId="List3">
    <w:name w:val="List 3"/>
    <w:basedOn w:val="Normal"/>
    <w:rsid w:val="00E0065D"/>
    <w:pPr>
      <w:ind w:left="1080" w:hanging="360"/>
    </w:pPr>
  </w:style>
  <w:style w:type="paragraph" w:styleId="ListBullet2">
    <w:name w:val="List Bullet 2"/>
    <w:basedOn w:val="Normal"/>
    <w:rsid w:val="00E0065D"/>
    <w:pPr>
      <w:numPr>
        <w:numId w:val="3"/>
      </w:numPr>
    </w:pPr>
  </w:style>
  <w:style w:type="paragraph" w:styleId="BodyTextFirstIndent2">
    <w:name w:val="Body Text First Indent 2"/>
    <w:basedOn w:val="BodyTextIndent"/>
    <w:rsid w:val="00E0065D"/>
    <w:pPr>
      <w:tabs>
        <w:tab w:val="clear" w:pos="7920"/>
        <w:tab w:val="clear" w:pos="8640"/>
      </w:tabs>
      <w:spacing w:after="120"/>
      <w:ind w:left="360" w:firstLine="210"/>
    </w:pPr>
    <w:rPr>
      <w:bCs w:val="0"/>
      <w:i w:val="0"/>
      <w:iCs w:val="0"/>
    </w:rPr>
  </w:style>
  <w:style w:type="table" w:styleId="TableGrid">
    <w:name w:val="Table Grid"/>
    <w:basedOn w:val="TableNormal"/>
    <w:rsid w:val="008756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282951"/>
    <w:rPr>
      <w:sz w:val="16"/>
      <w:szCs w:val="16"/>
    </w:rPr>
  </w:style>
  <w:style w:type="paragraph" w:styleId="CommentText">
    <w:name w:val="annotation text"/>
    <w:basedOn w:val="Normal"/>
    <w:link w:val="CommentTextChar"/>
    <w:uiPriority w:val="99"/>
    <w:semiHidden/>
    <w:rsid w:val="00282951"/>
    <w:rPr>
      <w:sz w:val="20"/>
      <w:szCs w:val="20"/>
    </w:rPr>
  </w:style>
  <w:style w:type="paragraph" w:styleId="CommentSubject">
    <w:name w:val="annotation subject"/>
    <w:basedOn w:val="CommentText"/>
    <w:next w:val="CommentText"/>
    <w:semiHidden/>
    <w:rsid w:val="00282951"/>
    <w:rPr>
      <w:b/>
      <w:bCs/>
    </w:rPr>
  </w:style>
  <w:style w:type="character" w:styleId="Hyperlink">
    <w:name w:val="Hyperlink"/>
    <w:basedOn w:val="DefaultParagraphFont"/>
    <w:rsid w:val="00A419B0"/>
    <w:rPr>
      <w:color w:val="0000FF"/>
      <w:u w:val="single"/>
    </w:rPr>
  </w:style>
  <w:style w:type="paragraph" w:styleId="ListParagraph">
    <w:name w:val="List Paragraph"/>
    <w:basedOn w:val="Normal"/>
    <w:uiPriority w:val="34"/>
    <w:qFormat/>
    <w:rsid w:val="00014F8E"/>
    <w:pPr>
      <w:ind w:left="720"/>
    </w:pPr>
  </w:style>
  <w:style w:type="character" w:customStyle="1" w:styleId="FooterChar">
    <w:name w:val="Footer Char"/>
    <w:basedOn w:val="DefaultParagraphFont"/>
    <w:link w:val="Footer"/>
    <w:uiPriority w:val="99"/>
    <w:rsid w:val="00427F7F"/>
    <w:rPr>
      <w:rFonts w:ascii="Courier New" w:hAnsi="Courier New"/>
    </w:rPr>
  </w:style>
  <w:style w:type="character" w:customStyle="1" w:styleId="BodyTextIndentChar">
    <w:name w:val="Body Text Indent Char"/>
    <w:basedOn w:val="DefaultParagraphFont"/>
    <w:link w:val="BodyTextIndent"/>
    <w:rsid w:val="00705837"/>
    <w:rPr>
      <w:bCs/>
      <w:i/>
      <w:iCs/>
      <w:sz w:val="24"/>
      <w:szCs w:val="24"/>
    </w:rPr>
  </w:style>
  <w:style w:type="character" w:styleId="FollowedHyperlink">
    <w:name w:val="FollowedHyperlink"/>
    <w:basedOn w:val="DefaultParagraphFont"/>
    <w:rsid w:val="001363C1"/>
    <w:rPr>
      <w:color w:val="800080"/>
      <w:u w:val="single"/>
    </w:rPr>
  </w:style>
  <w:style w:type="character" w:customStyle="1" w:styleId="CommentTextChar">
    <w:name w:val="Comment Text Char"/>
    <w:basedOn w:val="DefaultParagraphFont"/>
    <w:link w:val="CommentText"/>
    <w:uiPriority w:val="99"/>
    <w:semiHidden/>
    <w:rsid w:val="00E2109F"/>
  </w:style>
  <w:style w:type="character" w:customStyle="1" w:styleId="BodyTextChar">
    <w:name w:val="Body Text Char"/>
    <w:aliases w:val="body text Char,bt Char,heading3 Char,NCDOT Body Text Char,1body Char,BodText Char,Body Txt Char,FL IND Char"/>
    <w:basedOn w:val="DefaultParagraphFont"/>
    <w:link w:val="BodyText"/>
    <w:uiPriority w:val="99"/>
    <w:rsid w:val="00762F2E"/>
    <w:rPr>
      <w:sz w:val="24"/>
    </w:rPr>
  </w:style>
  <w:style w:type="character" w:customStyle="1" w:styleId="Heading7Char">
    <w:name w:val="Heading 7 Char"/>
    <w:basedOn w:val="DefaultParagraphFont"/>
    <w:link w:val="Heading7"/>
    <w:rsid w:val="00A813B9"/>
    <w:rPr>
      <w:sz w:val="24"/>
    </w:rPr>
  </w:style>
  <w:style w:type="character" w:customStyle="1" w:styleId="BodyText3Char">
    <w:name w:val="Body Text 3 Char"/>
    <w:basedOn w:val="DefaultParagraphFont"/>
    <w:link w:val="BodyText3"/>
    <w:uiPriority w:val="99"/>
    <w:rsid w:val="00A813B9"/>
    <w:rPr>
      <w:color w:val="000000"/>
      <w:sz w:val="24"/>
    </w:rPr>
  </w:style>
  <w:style w:type="character" w:customStyle="1" w:styleId="a6">
    <w:name w:val="a6"/>
    <w:basedOn w:val="DefaultParagraphFont"/>
    <w:rsid w:val="00A813B9"/>
    <w:rPr>
      <w:rFonts w:ascii="Arial Narrow" w:hAnsi="Arial Narrow" w:cs="Times New Roman"/>
      <w:color w:val="000000"/>
    </w:rPr>
  </w:style>
  <w:style w:type="paragraph" w:styleId="PlainText">
    <w:name w:val="Plain Text"/>
    <w:basedOn w:val="Normal"/>
    <w:link w:val="PlainTextChar"/>
    <w:rsid w:val="00A813B9"/>
    <w:rPr>
      <w:rFonts w:ascii="Courier New" w:hAnsi="Courier New" w:cs="Courier New"/>
      <w:sz w:val="20"/>
      <w:szCs w:val="20"/>
    </w:rPr>
  </w:style>
  <w:style w:type="character" w:customStyle="1" w:styleId="PlainTextChar">
    <w:name w:val="Plain Text Char"/>
    <w:basedOn w:val="DefaultParagraphFont"/>
    <w:link w:val="PlainText"/>
    <w:rsid w:val="00A813B9"/>
    <w:rPr>
      <w:rFonts w:ascii="Courier New" w:hAnsi="Courier New" w:cs="Courier New"/>
    </w:rPr>
  </w:style>
  <w:style w:type="paragraph" w:styleId="NormalWeb">
    <w:name w:val="Normal (Web)"/>
    <w:basedOn w:val="Normal"/>
    <w:uiPriority w:val="99"/>
    <w:rsid w:val="00F122B1"/>
    <w:pPr>
      <w:spacing w:before="100" w:beforeAutospacing="1" w:after="100" w:afterAutospacing="1"/>
    </w:pPr>
  </w:style>
  <w:style w:type="paragraph" w:customStyle="1" w:styleId="Default">
    <w:name w:val="Default"/>
    <w:rsid w:val="00253386"/>
    <w:pPr>
      <w:autoSpaceDE w:val="0"/>
      <w:autoSpaceDN w:val="0"/>
      <w:adjustRightInd w:val="0"/>
    </w:pPr>
    <w:rPr>
      <w:rFonts w:eastAsiaTheme="minorHAnsi"/>
      <w:color w:val="000000"/>
      <w:sz w:val="24"/>
      <w:szCs w:val="24"/>
    </w:rPr>
  </w:style>
  <w:style w:type="paragraph" w:customStyle="1" w:styleId="CM8">
    <w:name w:val="CM8"/>
    <w:basedOn w:val="Default"/>
    <w:next w:val="Default"/>
    <w:uiPriority w:val="99"/>
    <w:rsid w:val="00253386"/>
    <w:pPr>
      <w:spacing w:line="276" w:lineRule="atLeast"/>
    </w:pPr>
    <w:rPr>
      <w:color w:val="auto"/>
    </w:rPr>
  </w:style>
  <w:style w:type="paragraph" w:customStyle="1" w:styleId="CM34">
    <w:name w:val="CM34"/>
    <w:basedOn w:val="Default"/>
    <w:next w:val="Default"/>
    <w:uiPriority w:val="99"/>
    <w:rsid w:val="00253386"/>
    <w:rPr>
      <w:color w:val="auto"/>
    </w:rPr>
  </w:style>
  <w:style w:type="paragraph" w:styleId="BodyTextIndent2">
    <w:name w:val="Body Text Indent 2"/>
    <w:basedOn w:val="Normal"/>
    <w:link w:val="BodyTextIndent2Char"/>
    <w:rsid w:val="003779FE"/>
    <w:pPr>
      <w:spacing w:after="120" w:line="480" w:lineRule="auto"/>
      <w:ind w:left="360"/>
    </w:pPr>
  </w:style>
  <w:style w:type="character" w:customStyle="1" w:styleId="BodyTextIndent2Char">
    <w:name w:val="Body Text Indent 2 Char"/>
    <w:basedOn w:val="DefaultParagraphFont"/>
    <w:link w:val="BodyTextIndent2"/>
    <w:rsid w:val="003779FE"/>
    <w:rPr>
      <w:sz w:val="24"/>
      <w:szCs w:val="24"/>
    </w:rPr>
  </w:style>
  <w:style w:type="paragraph" w:styleId="Revision">
    <w:name w:val="Revision"/>
    <w:hidden/>
    <w:uiPriority w:val="99"/>
    <w:semiHidden/>
    <w:rsid w:val="00783926"/>
    <w:rPr>
      <w:sz w:val="24"/>
      <w:szCs w:val="24"/>
    </w:rPr>
  </w:style>
  <w:style w:type="character" w:styleId="Strong">
    <w:name w:val="Strong"/>
    <w:basedOn w:val="DefaultParagraphFont"/>
    <w:uiPriority w:val="22"/>
    <w:qFormat/>
    <w:rsid w:val="008D2DA4"/>
    <w:rPr>
      <w:b/>
      <w:bCs/>
    </w:rPr>
  </w:style>
  <w:style w:type="paragraph" w:styleId="NoSpacing">
    <w:name w:val="No Spacing"/>
    <w:uiPriority w:val="1"/>
    <w:qFormat/>
    <w:rsid w:val="002B3F2A"/>
    <w:rPr>
      <w:rFonts w:asciiTheme="minorHAnsi" w:eastAsiaTheme="minorHAnsi" w:hAnsiTheme="minorHAnsi" w:cstheme="minorBidi"/>
      <w:sz w:val="22"/>
      <w:szCs w:val="22"/>
    </w:rPr>
  </w:style>
  <w:style w:type="character" w:styleId="Emphasis">
    <w:name w:val="Emphasis"/>
    <w:basedOn w:val="DefaultParagraphFont"/>
    <w:uiPriority w:val="20"/>
    <w:qFormat/>
    <w:rsid w:val="00AC3AA1"/>
    <w:rPr>
      <w:rFonts w:ascii="Times New Roman" w:hAnsi="Times New Roman" w:cs="Times New Roman" w:hint="default"/>
      <w:i/>
      <w:iCs/>
    </w:rPr>
  </w:style>
  <w:style w:type="paragraph" w:customStyle="1" w:styleId="COPSLetterbody">
    <w:name w:val="COPS Letter body"/>
    <w:qFormat/>
    <w:rsid w:val="006D0387"/>
    <w:rPr>
      <w:rFonts w:eastAsia="Calibri"/>
      <w:sz w:val="24"/>
      <w:szCs w:val="24"/>
    </w:rPr>
  </w:style>
  <w:style w:type="table" w:customStyle="1" w:styleId="TableGrid1">
    <w:name w:val="Table Grid1"/>
    <w:basedOn w:val="TableNormal"/>
    <w:next w:val="TableGrid"/>
    <w:uiPriority w:val="59"/>
    <w:rsid w:val="00CE1F4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
    <w:name w:val="Body Text 2 Char"/>
    <w:basedOn w:val="DefaultParagraphFont"/>
    <w:link w:val="BodyText2"/>
    <w:rsid w:val="005B7046"/>
  </w:style>
  <w:style w:type="character" w:customStyle="1" w:styleId="TitleChar">
    <w:name w:val="Title Char"/>
    <w:basedOn w:val="DefaultParagraphFont"/>
    <w:link w:val="Title"/>
    <w:rsid w:val="003608B2"/>
    <w:rPr>
      <w:b/>
      <w: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84360">
      <w:bodyDiv w:val="1"/>
      <w:marLeft w:val="0"/>
      <w:marRight w:val="0"/>
      <w:marTop w:val="0"/>
      <w:marBottom w:val="0"/>
      <w:divBdr>
        <w:top w:val="none" w:sz="0" w:space="0" w:color="auto"/>
        <w:left w:val="none" w:sz="0" w:space="0" w:color="auto"/>
        <w:bottom w:val="none" w:sz="0" w:space="0" w:color="auto"/>
        <w:right w:val="none" w:sz="0" w:space="0" w:color="auto"/>
      </w:divBdr>
    </w:div>
    <w:div w:id="29186034">
      <w:bodyDiv w:val="1"/>
      <w:marLeft w:val="0"/>
      <w:marRight w:val="0"/>
      <w:marTop w:val="0"/>
      <w:marBottom w:val="0"/>
      <w:divBdr>
        <w:top w:val="none" w:sz="0" w:space="0" w:color="auto"/>
        <w:left w:val="none" w:sz="0" w:space="0" w:color="auto"/>
        <w:bottom w:val="none" w:sz="0" w:space="0" w:color="auto"/>
        <w:right w:val="none" w:sz="0" w:space="0" w:color="auto"/>
      </w:divBdr>
    </w:div>
    <w:div w:id="136185856">
      <w:bodyDiv w:val="1"/>
      <w:marLeft w:val="0"/>
      <w:marRight w:val="0"/>
      <w:marTop w:val="0"/>
      <w:marBottom w:val="0"/>
      <w:divBdr>
        <w:top w:val="none" w:sz="0" w:space="0" w:color="auto"/>
        <w:left w:val="none" w:sz="0" w:space="0" w:color="auto"/>
        <w:bottom w:val="none" w:sz="0" w:space="0" w:color="auto"/>
        <w:right w:val="none" w:sz="0" w:space="0" w:color="auto"/>
      </w:divBdr>
    </w:div>
    <w:div w:id="201016855">
      <w:bodyDiv w:val="1"/>
      <w:marLeft w:val="0"/>
      <w:marRight w:val="0"/>
      <w:marTop w:val="0"/>
      <w:marBottom w:val="0"/>
      <w:divBdr>
        <w:top w:val="none" w:sz="0" w:space="0" w:color="auto"/>
        <w:left w:val="none" w:sz="0" w:space="0" w:color="auto"/>
        <w:bottom w:val="none" w:sz="0" w:space="0" w:color="auto"/>
        <w:right w:val="none" w:sz="0" w:space="0" w:color="auto"/>
      </w:divBdr>
    </w:div>
    <w:div w:id="239369102">
      <w:bodyDiv w:val="1"/>
      <w:marLeft w:val="0"/>
      <w:marRight w:val="0"/>
      <w:marTop w:val="0"/>
      <w:marBottom w:val="0"/>
      <w:divBdr>
        <w:top w:val="none" w:sz="0" w:space="0" w:color="auto"/>
        <w:left w:val="none" w:sz="0" w:space="0" w:color="auto"/>
        <w:bottom w:val="none" w:sz="0" w:space="0" w:color="auto"/>
        <w:right w:val="none" w:sz="0" w:space="0" w:color="auto"/>
      </w:divBdr>
    </w:div>
    <w:div w:id="256523065">
      <w:bodyDiv w:val="1"/>
      <w:marLeft w:val="0"/>
      <w:marRight w:val="0"/>
      <w:marTop w:val="0"/>
      <w:marBottom w:val="0"/>
      <w:divBdr>
        <w:top w:val="none" w:sz="0" w:space="0" w:color="auto"/>
        <w:left w:val="none" w:sz="0" w:space="0" w:color="auto"/>
        <w:bottom w:val="none" w:sz="0" w:space="0" w:color="auto"/>
        <w:right w:val="none" w:sz="0" w:space="0" w:color="auto"/>
      </w:divBdr>
    </w:div>
    <w:div w:id="278413858">
      <w:bodyDiv w:val="1"/>
      <w:marLeft w:val="0"/>
      <w:marRight w:val="0"/>
      <w:marTop w:val="0"/>
      <w:marBottom w:val="0"/>
      <w:divBdr>
        <w:top w:val="none" w:sz="0" w:space="0" w:color="auto"/>
        <w:left w:val="none" w:sz="0" w:space="0" w:color="auto"/>
        <w:bottom w:val="none" w:sz="0" w:space="0" w:color="auto"/>
        <w:right w:val="none" w:sz="0" w:space="0" w:color="auto"/>
      </w:divBdr>
    </w:div>
    <w:div w:id="448472603">
      <w:bodyDiv w:val="1"/>
      <w:marLeft w:val="0"/>
      <w:marRight w:val="0"/>
      <w:marTop w:val="0"/>
      <w:marBottom w:val="0"/>
      <w:divBdr>
        <w:top w:val="none" w:sz="0" w:space="0" w:color="auto"/>
        <w:left w:val="none" w:sz="0" w:space="0" w:color="auto"/>
        <w:bottom w:val="none" w:sz="0" w:space="0" w:color="auto"/>
        <w:right w:val="none" w:sz="0" w:space="0" w:color="auto"/>
      </w:divBdr>
    </w:div>
    <w:div w:id="455486379">
      <w:bodyDiv w:val="1"/>
      <w:marLeft w:val="0"/>
      <w:marRight w:val="0"/>
      <w:marTop w:val="0"/>
      <w:marBottom w:val="0"/>
      <w:divBdr>
        <w:top w:val="none" w:sz="0" w:space="0" w:color="auto"/>
        <w:left w:val="none" w:sz="0" w:space="0" w:color="auto"/>
        <w:bottom w:val="none" w:sz="0" w:space="0" w:color="auto"/>
        <w:right w:val="none" w:sz="0" w:space="0" w:color="auto"/>
      </w:divBdr>
    </w:div>
    <w:div w:id="468087906">
      <w:bodyDiv w:val="1"/>
      <w:marLeft w:val="0"/>
      <w:marRight w:val="0"/>
      <w:marTop w:val="0"/>
      <w:marBottom w:val="0"/>
      <w:divBdr>
        <w:top w:val="none" w:sz="0" w:space="0" w:color="auto"/>
        <w:left w:val="none" w:sz="0" w:space="0" w:color="auto"/>
        <w:bottom w:val="none" w:sz="0" w:space="0" w:color="auto"/>
        <w:right w:val="none" w:sz="0" w:space="0" w:color="auto"/>
      </w:divBdr>
    </w:div>
    <w:div w:id="501553020">
      <w:bodyDiv w:val="1"/>
      <w:marLeft w:val="0"/>
      <w:marRight w:val="0"/>
      <w:marTop w:val="0"/>
      <w:marBottom w:val="0"/>
      <w:divBdr>
        <w:top w:val="none" w:sz="0" w:space="0" w:color="auto"/>
        <w:left w:val="none" w:sz="0" w:space="0" w:color="auto"/>
        <w:bottom w:val="none" w:sz="0" w:space="0" w:color="auto"/>
        <w:right w:val="none" w:sz="0" w:space="0" w:color="auto"/>
      </w:divBdr>
    </w:div>
    <w:div w:id="525368610">
      <w:bodyDiv w:val="1"/>
      <w:marLeft w:val="0"/>
      <w:marRight w:val="0"/>
      <w:marTop w:val="0"/>
      <w:marBottom w:val="0"/>
      <w:divBdr>
        <w:top w:val="none" w:sz="0" w:space="0" w:color="auto"/>
        <w:left w:val="none" w:sz="0" w:space="0" w:color="auto"/>
        <w:bottom w:val="none" w:sz="0" w:space="0" w:color="auto"/>
        <w:right w:val="none" w:sz="0" w:space="0" w:color="auto"/>
      </w:divBdr>
    </w:div>
    <w:div w:id="558134223">
      <w:bodyDiv w:val="1"/>
      <w:marLeft w:val="0"/>
      <w:marRight w:val="0"/>
      <w:marTop w:val="0"/>
      <w:marBottom w:val="0"/>
      <w:divBdr>
        <w:top w:val="none" w:sz="0" w:space="0" w:color="auto"/>
        <w:left w:val="none" w:sz="0" w:space="0" w:color="auto"/>
        <w:bottom w:val="none" w:sz="0" w:space="0" w:color="auto"/>
        <w:right w:val="none" w:sz="0" w:space="0" w:color="auto"/>
      </w:divBdr>
    </w:div>
    <w:div w:id="559363918">
      <w:bodyDiv w:val="1"/>
      <w:marLeft w:val="0"/>
      <w:marRight w:val="0"/>
      <w:marTop w:val="0"/>
      <w:marBottom w:val="0"/>
      <w:divBdr>
        <w:top w:val="none" w:sz="0" w:space="0" w:color="auto"/>
        <w:left w:val="none" w:sz="0" w:space="0" w:color="auto"/>
        <w:bottom w:val="none" w:sz="0" w:space="0" w:color="auto"/>
        <w:right w:val="none" w:sz="0" w:space="0" w:color="auto"/>
      </w:divBdr>
    </w:div>
    <w:div w:id="559905761">
      <w:bodyDiv w:val="1"/>
      <w:marLeft w:val="0"/>
      <w:marRight w:val="0"/>
      <w:marTop w:val="0"/>
      <w:marBottom w:val="0"/>
      <w:divBdr>
        <w:top w:val="none" w:sz="0" w:space="0" w:color="auto"/>
        <w:left w:val="none" w:sz="0" w:space="0" w:color="auto"/>
        <w:bottom w:val="none" w:sz="0" w:space="0" w:color="auto"/>
        <w:right w:val="none" w:sz="0" w:space="0" w:color="auto"/>
      </w:divBdr>
    </w:div>
    <w:div w:id="560945723">
      <w:bodyDiv w:val="1"/>
      <w:marLeft w:val="0"/>
      <w:marRight w:val="0"/>
      <w:marTop w:val="0"/>
      <w:marBottom w:val="0"/>
      <w:divBdr>
        <w:top w:val="none" w:sz="0" w:space="0" w:color="auto"/>
        <w:left w:val="none" w:sz="0" w:space="0" w:color="auto"/>
        <w:bottom w:val="none" w:sz="0" w:space="0" w:color="auto"/>
        <w:right w:val="none" w:sz="0" w:space="0" w:color="auto"/>
      </w:divBdr>
    </w:div>
    <w:div w:id="598172766">
      <w:bodyDiv w:val="1"/>
      <w:marLeft w:val="0"/>
      <w:marRight w:val="0"/>
      <w:marTop w:val="0"/>
      <w:marBottom w:val="0"/>
      <w:divBdr>
        <w:top w:val="none" w:sz="0" w:space="0" w:color="auto"/>
        <w:left w:val="none" w:sz="0" w:space="0" w:color="auto"/>
        <w:bottom w:val="none" w:sz="0" w:space="0" w:color="auto"/>
        <w:right w:val="none" w:sz="0" w:space="0" w:color="auto"/>
      </w:divBdr>
    </w:div>
    <w:div w:id="618025188">
      <w:bodyDiv w:val="1"/>
      <w:marLeft w:val="0"/>
      <w:marRight w:val="0"/>
      <w:marTop w:val="0"/>
      <w:marBottom w:val="0"/>
      <w:divBdr>
        <w:top w:val="none" w:sz="0" w:space="0" w:color="auto"/>
        <w:left w:val="none" w:sz="0" w:space="0" w:color="auto"/>
        <w:bottom w:val="none" w:sz="0" w:space="0" w:color="auto"/>
        <w:right w:val="none" w:sz="0" w:space="0" w:color="auto"/>
      </w:divBdr>
    </w:div>
    <w:div w:id="693655089">
      <w:bodyDiv w:val="1"/>
      <w:marLeft w:val="0"/>
      <w:marRight w:val="0"/>
      <w:marTop w:val="0"/>
      <w:marBottom w:val="0"/>
      <w:divBdr>
        <w:top w:val="none" w:sz="0" w:space="0" w:color="auto"/>
        <w:left w:val="none" w:sz="0" w:space="0" w:color="auto"/>
        <w:bottom w:val="none" w:sz="0" w:space="0" w:color="auto"/>
        <w:right w:val="none" w:sz="0" w:space="0" w:color="auto"/>
      </w:divBdr>
    </w:div>
    <w:div w:id="702444122">
      <w:bodyDiv w:val="1"/>
      <w:marLeft w:val="0"/>
      <w:marRight w:val="0"/>
      <w:marTop w:val="0"/>
      <w:marBottom w:val="0"/>
      <w:divBdr>
        <w:top w:val="none" w:sz="0" w:space="0" w:color="auto"/>
        <w:left w:val="none" w:sz="0" w:space="0" w:color="auto"/>
        <w:bottom w:val="none" w:sz="0" w:space="0" w:color="auto"/>
        <w:right w:val="none" w:sz="0" w:space="0" w:color="auto"/>
      </w:divBdr>
    </w:div>
    <w:div w:id="719209924">
      <w:bodyDiv w:val="1"/>
      <w:marLeft w:val="0"/>
      <w:marRight w:val="0"/>
      <w:marTop w:val="0"/>
      <w:marBottom w:val="0"/>
      <w:divBdr>
        <w:top w:val="none" w:sz="0" w:space="0" w:color="auto"/>
        <w:left w:val="none" w:sz="0" w:space="0" w:color="auto"/>
        <w:bottom w:val="none" w:sz="0" w:space="0" w:color="auto"/>
        <w:right w:val="none" w:sz="0" w:space="0" w:color="auto"/>
      </w:divBdr>
    </w:div>
    <w:div w:id="734207021">
      <w:bodyDiv w:val="1"/>
      <w:marLeft w:val="0"/>
      <w:marRight w:val="0"/>
      <w:marTop w:val="0"/>
      <w:marBottom w:val="0"/>
      <w:divBdr>
        <w:top w:val="none" w:sz="0" w:space="0" w:color="auto"/>
        <w:left w:val="none" w:sz="0" w:space="0" w:color="auto"/>
        <w:bottom w:val="none" w:sz="0" w:space="0" w:color="auto"/>
        <w:right w:val="none" w:sz="0" w:space="0" w:color="auto"/>
      </w:divBdr>
    </w:div>
    <w:div w:id="917908535">
      <w:bodyDiv w:val="1"/>
      <w:marLeft w:val="0"/>
      <w:marRight w:val="0"/>
      <w:marTop w:val="0"/>
      <w:marBottom w:val="0"/>
      <w:divBdr>
        <w:top w:val="none" w:sz="0" w:space="0" w:color="auto"/>
        <w:left w:val="none" w:sz="0" w:space="0" w:color="auto"/>
        <w:bottom w:val="none" w:sz="0" w:space="0" w:color="auto"/>
        <w:right w:val="none" w:sz="0" w:space="0" w:color="auto"/>
      </w:divBdr>
    </w:div>
    <w:div w:id="1018627245">
      <w:bodyDiv w:val="1"/>
      <w:marLeft w:val="0"/>
      <w:marRight w:val="0"/>
      <w:marTop w:val="0"/>
      <w:marBottom w:val="0"/>
      <w:divBdr>
        <w:top w:val="none" w:sz="0" w:space="0" w:color="auto"/>
        <w:left w:val="none" w:sz="0" w:space="0" w:color="auto"/>
        <w:bottom w:val="none" w:sz="0" w:space="0" w:color="auto"/>
        <w:right w:val="none" w:sz="0" w:space="0" w:color="auto"/>
      </w:divBdr>
    </w:div>
    <w:div w:id="1020816761">
      <w:bodyDiv w:val="1"/>
      <w:marLeft w:val="0"/>
      <w:marRight w:val="0"/>
      <w:marTop w:val="0"/>
      <w:marBottom w:val="0"/>
      <w:divBdr>
        <w:top w:val="none" w:sz="0" w:space="0" w:color="auto"/>
        <w:left w:val="none" w:sz="0" w:space="0" w:color="auto"/>
        <w:bottom w:val="none" w:sz="0" w:space="0" w:color="auto"/>
        <w:right w:val="none" w:sz="0" w:space="0" w:color="auto"/>
      </w:divBdr>
    </w:div>
    <w:div w:id="1037584651">
      <w:bodyDiv w:val="1"/>
      <w:marLeft w:val="0"/>
      <w:marRight w:val="0"/>
      <w:marTop w:val="0"/>
      <w:marBottom w:val="0"/>
      <w:divBdr>
        <w:top w:val="none" w:sz="0" w:space="0" w:color="auto"/>
        <w:left w:val="none" w:sz="0" w:space="0" w:color="auto"/>
        <w:bottom w:val="none" w:sz="0" w:space="0" w:color="auto"/>
        <w:right w:val="none" w:sz="0" w:space="0" w:color="auto"/>
      </w:divBdr>
    </w:div>
    <w:div w:id="1077822526">
      <w:bodyDiv w:val="1"/>
      <w:marLeft w:val="0"/>
      <w:marRight w:val="0"/>
      <w:marTop w:val="0"/>
      <w:marBottom w:val="0"/>
      <w:divBdr>
        <w:top w:val="none" w:sz="0" w:space="0" w:color="auto"/>
        <w:left w:val="none" w:sz="0" w:space="0" w:color="auto"/>
        <w:bottom w:val="none" w:sz="0" w:space="0" w:color="auto"/>
        <w:right w:val="none" w:sz="0" w:space="0" w:color="auto"/>
      </w:divBdr>
    </w:div>
    <w:div w:id="1114863265">
      <w:bodyDiv w:val="1"/>
      <w:marLeft w:val="0"/>
      <w:marRight w:val="0"/>
      <w:marTop w:val="0"/>
      <w:marBottom w:val="0"/>
      <w:divBdr>
        <w:top w:val="none" w:sz="0" w:space="0" w:color="auto"/>
        <w:left w:val="none" w:sz="0" w:space="0" w:color="auto"/>
        <w:bottom w:val="none" w:sz="0" w:space="0" w:color="auto"/>
        <w:right w:val="none" w:sz="0" w:space="0" w:color="auto"/>
      </w:divBdr>
    </w:div>
    <w:div w:id="1151289943">
      <w:bodyDiv w:val="1"/>
      <w:marLeft w:val="0"/>
      <w:marRight w:val="0"/>
      <w:marTop w:val="0"/>
      <w:marBottom w:val="0"/>
      <w:divBdr>
        <w:top w:val="none" w:sz="0" w:space="0" w:color="auto"/>
        <w:left w:val="none" w:sz="0" w:space="0" w:color="auto"/>
        <w:bottom w:val="none" w:sz="0" w:space="0" w:color="auto"/>
        <w:right w:val="none" w:sz="0" w:space="0" w:color="auto"/>
      </w:divBdr>
    </w:div>
    <w:div w:id="1163472189">
      <w:bodyDiv w:val="1"/>
      <w:marLeft w:val="0"/>
      <w:marRight w:val="0"/>
      <w:marTop w:val="0"/>
      <w:marBottom w:val="0"/>
      <w:divBdr>
        <w:top w:val="none" w:sz="0" w:space="0" w:color="auto"/>
        <w:left w:val="none" w:sz="0" w:space="0" w:color="auto"/>
        <w:bottom w:val="none" w:sz="0" w:space="0" w:color="auto"/>
        <w:right w:val="none" w:sz="0" w:space="0" w:color="auto"/>
      </w:divBdr>
    </w:div>
    <w:div w:id="1196697282">
      <w:bodyDiv w:val="1"/>
      <w:marLeft w:val="0"/>
      <w:marRight w:val="0"/>
      <w:marTop w:val="0"/>
      <w:marBottom w:val="0"/>
      <w:divBdr>
        <w:top w:val="none" w:sz="0" w:space="0" w:color="auto"/>
        <w:left w:val="none" w:sz="0" w:space="0" w:color="auto"/>
        <w:bottom w:val="none" w:sz="0" w:space="0" w:color="auto"/>
        <w:right w:val="none" w:sz="0" w:space="0" w:color="auto"/>
      </w:divBdr>
    </w:div>
    <w:div w:id="1253397251">
      <w:bodyDiv w:val="1"/>
      <w:marLeft w:val="0"/>
      <w:marRight w:val="0"/>
      <w:marTop w:val="0"/>
      <w:marBottom w:val="0"/>
      <w:divBdr>
        <w:top w:val="none" w:sz="0" w:space="0" w:color="auto"/>
        <w:left w:val="none" w:sz="0" w:space="0" w:color="auto"/>
        <w:bottom w:val="none" w:sz="0" w:space="0" w:color="auto"/>
        <w:right w:val="none" w:sz="0" w:space="0" w:color="auto"/>
      </w:divBdr>
    </w:div>
    <w:div w:id="1447382375">
      <w:bodyDiv w:val="1"/>
      <w:marLeft w:val="0"/>
      <w:marRight w:val="0"/>
      <w:marTop w:val="0"/>
      <w:marBottom w:val="0"/>
      <w:divBdr>
        <w:top w:val="none" w:sz="0" w:space="0" w:color="auto"/>
        <w:left w:val="none" w:sz="0" w:space="0" w:color="auto"/>
        <w:bottom w:val="none" w:sz="0" w:space="0" w:color="auto"/>
        <w:right w:val="none" w:sz="0" w:space="0" w:color="auto"/>
      </w:divBdr>
    </w:div>
    <w:div w:id="1469081475">
      <w:bodyDiv w:val="1"/>
      <w:marLeft w:val="0"/>
      <w:marRight w:val="0"/>
      <w:marTop w:val="0"/>
      <w:marBottom w:val="0"/>
      <w:divBdr>
        <w:top w:val="none" w:sz="0" w:space="0" w:color="auto"/>
        <w:left w:val="none" w:sz="0" w:space="0" w:color="auto"/>
        <w:bottom w:val="none" w:sz="0" w:space="0" w:color="auto"/>
        <w:right w:val="none" w:sz="0" w:space="0" w:color="auto"/>
      </w:divBdr>
    </w:div>
    <w:div w:id="1478304255">
      <w:bodyDiv w:val="1"/>
      <w:marLeft w:val="0"/>
      <w:marRight w:val="0"/>
      <w:marTop w:val="0"/>
      <w:marBottom w:val="0"/>
      <w:divBdr>
        <w:top w:val="none" w:sz="0" w:space="0" w:color="auto"/>
        <w:left w:val="none" w:sz="0" w:space="0" w:color="auto"/>
        <w:bottom w:val="none" w:sz="0" w:space="0" w:color="auto"/>
        <w:right w:val="none" w:sz="0" w:space="0" w:color="auto"/>
      </w:divBdr>
    </w:div>
    <w:div w:id="1518889285">
      <w:bodyDiv w:val="1"/>
      <w:marLeft w:val="0"/>
      <w:marRight w:val="0"/>
      <w:marTop w:val="0"/>
      <w:marBottom w:val="0"/>
      <w:divBdr>
        <w:top w:val="none" w:sz="0" w:space="0" w:color="auto"/>
        <w:left w:val="none" w:sz="0" w:space="0" w:color="auto"/>
        <w:bottom w:val="none" w:sz="0" w:space="0" w:color="auto"/>
        <w:right w:val="none" w:sz="0" w:space="0" w:color="auto"/>
      </w:divBdr>
    </w:div>
    <w:div w:id="1523515536">
      <w:bodyDiv w:val="1"/>
      <w:marLeft w:val="0"/>
      <w:marRight w:val="0"/>
      <w:marTop w:val="0"/>
      <w:marBottom w:val="0"/>
      <w:divBdr>
        <w:top w:val="none" w:sz="0" w:space="0" w:color="auto"/>
        <w:left w:val="none" w:sz="0" w:space="0" w:color="auto"/>
        <w:bottom w:val="none" w:sz="0" w:space="0" w:color="auto"/>
        <w:right w:val="none" w:sz="0" w:space="0" w:color="auto"/>
      </w:divBdr>
    </w:div>
    <w:div w:id="1538809731">
      <w:bodyDiv w:val="1"/>
      <w:marLeft w:val="0"/>
      <w:marRight w:val="0"/>
      <w:marTop w:val="0"/>
      <w:marBottom w:val="0"/>
      <w:divBdr>
        <w:top w:val="none" w:sz="0" w:space="0" w:color="auto"/>
        <w:left w:val="none" w:sz="0" w:space="0" w:color="auto"/>
        <w:bottom w:val="none" w:sz="0" w:space="0" w:color="auto"/>
        <w:right w:val="none" w:sz="0" w:space="0" w:color="auto"/>
      </w:divBdr>
    </w:div>
    <w:div w:id="1554151779">
      <w:bodyDiv w:val="1"/>
      <w:marLeft w:val="0"/>
      <w:marRight w:val="0"/>
      <w:marTop w:val="0"/>
      <w:marBottom w:val="0"/>
      <w:divBdr>
        <w:top w:val="none" w:sz="0" w:space="0" w:color="auto"/>
        <w:left w:val="none" w:sz="0" w:space="0" w:color="auto"/>
        <w:bottom w:val="none" w:sz="0" w:space="0" w:color="auto"/>
        <w:right w:val="none" w:sz="0" w:space="0" w:color="auto"/>
      </w:divBdr>
    </w:div>
    <w:div w:id="1572034667">
      <w:bodyDiv w:val="1"/>
      <w:marLeft w:val="0"/>
      <w:marRight w:val="0"/>
      <w:marTop w:val="0"/>
      <w:marBottom w:val="0"/>
      <w:divBdr>
        <w:top w:val="none" w:sz="0" w:space="0" w:color="auto"/>
        <w:left w:val="none" w:sz="0" w:space="0" w:color="auto"/>
        <w:bottom w:val="none" w:sz="0" w:space="0" w:color="auto"/>
        <w:right w:val="none" w:sz="0" w:space="0" w:color="auto"/>
      </w:divBdr>
    </w:div>
    <w:div w:id="1744063819">
      <w:bodyDiv w:val="1"/>
      <w:marLeft w:val="0"/>
      <w:marRight w:val="0"/>
      <w:marTop w:val="0"/>
      <w:marBottom w:val="0"/>
      <w:divBdr>
        <w:top w:val="none" w:sz="0" w:space="0" w:color="auto"/>
        <w:left w:val="none" w:sz="0" w:space="0" w:color="auto"/>
        <w:bottom w:val="none" w:sz="0" w:space="0" w:color="auto"/>
        <w:right w:val="none" w:sz="0" w:space="0" w:color="auto"/>
      </w:divBdr>
    </w:div>
    <w:div w:id="1838382269">
      <w:bodyDiv w:val="1"/>
      <w:marLeft w:val="0"/>
      <w:marRight w:val="0"/>
      <w:marTop w:val="0"/>
      <w:marBottom w:val="0"/>
      <w:divBdr>
        <w:top w:val="none" w:sz="0" w:space="0" w:color="auto"/>
        <w:left w:val="none" w:sz="0" w:space="0" w:color="auto"/>
        <w:bottom w:val="none" w:sz="0" w:space="0" w:color="auto"/>
        <w:right w:val="none" w:sz="0" w:space="0" w:color="auto"/>
      </w:divBdr>
    </w:div>
    <w:div w:id="1885671464">
      <w:bodyDiv w:val="1"/>
      <w:marLeft w:val="0"/>
      <w:marRight w:val="0"/>
      <w:marTop w:val="0"/>
      <w:marBottom w:val="0"/>
      <w:divBdr>
        <w:top w:val="none" w:sz="0" w:space="0" w:color="auto"/>
        <w:left w:val="none" w:sz="0" w:space="0" w:color="auto"/>
        <w:bottom w:val="none" w:sz="0" w:space="0" w:color="auto"/>
        <w:right w:val="none" w:sz="0" w:space="0" w:color="auto"/>
      </w:divBdr>
    </w:div>
    <w:div w:id="1890915931">
      <w:bodyDiv w:val="1"/>
      <w:marLeft w:val="0"/>
      <w:marRight w:val="0"/>
      <w:marTop w:val="0"/>
      <w:marBottom w:val="0"/>
      <w:divBdr>
        <w:top w:val="none" w:sz="0" w:space="0" w:color="auto"/>
        <w:left w:val="none" w:sz="0" w:space="0" w:color="auto"/>
        <w:bottom w:val="none" w:sz="0" w:space="0" w:color="auto"/>
        <w:right w:val="none" w:sz="0" w:space="0" w:color="auto"/>
      </w:divBdr>
    </w:div>
    <w:div w:id="1905723445">
      <w:bodyDiv w:val="1"/>
      <w:marLeft w:val="0"/>
      <w:marRight w:val="0"/>
      <w:marTop w:val="0"/>
      <w:marBottom w:val="0"/>
      <w:divBdr>
        <w:top w:val="none" w:sz="0" w:space="0" w:color="auto"/>
        <w:left w:val="none" w:sz="0" w:space="0" w:color="auto"/>
        <w:bottom w:val="none" w:sz="0" w:space="0" w:color="auto"/>
        <w:right w:val="none" w:sz="0" w:space="0" w:color="auto"/>
      </w:divBdr>
    </w:div>
    <w:div w:id="1982689935">
      <w:bodyDiv w:val="1"/>
      <w:marLeft w:val="0"/>
      <w:marRight w:val="0"/>
      <w:marTop w:val="0"/>
      <w:marBottom w:val="0"/>
      <w:divBdr>
        <w:top w:val="none" w:sz="0" w:space="0" w:color="auto"/>
        <w:left w:val="none" w:sz="0" w:space="0" w:color="auto"/>
        <w:bottom w:val="none" w:sz="0" w:space="0" w:color="auto"/>
        <w:right w:val="none" w:sz="0" w:space="0" w:color="auto"/>
      </w:divBdr>
    </w:div>
    <w:div w:id="2123260020">
      <w:bodyDiv w:val="1"/>
      <w:marLeft w:val="0"/>
      <w:marRight w:val="0"/>
      <w:marTop w:val="0"/>
      <w:marBottom w:val="0"/>
      <w:divBdr>
        <w:top w:val="none" w:sz="0" w:space="0" w:color="auto"/>
        <w:left w:val="none" w:sz="0" w:space="0" w:color="auto"/>
        <w:bottom w:val="none" w:sz="0" w:space="0" w:color="auto"/>
        <w:right w:val="none" w:sz="0" w:space="0" w:color="auto"/>
      </w:divBdr>
    </w:div>
    <w:div w:id="214342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cops.usdoj.gov/RIC/ric.php?page=detail&amp;id=COPS-P235"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cops.usdoj.gov/RIC/ric.php?page=detail&amp;id=COPS-P248" TargetMode="External"/><Relationship Id="rId17" Type="http://schemas.openxmlformats.org/officeDocument/2006/relationships/chart" Target="charts/chart2.xml"/><Relationship Id="rId2" Type="http://schemas.openxmlformats.org/officeDocument/2006/relationships/customXml" Target="../customXml/item2.xml"/><Relationship Id="rId16" Type="http://schemas.openxmlformats.org/officeDocument/2006/relationships/chart" Target="charts/chart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gsd-cifs-rdc01\udd\COPS%20Budget\BUDGET%20SUBMISSIONS\FY%202014\PB%202014\Estimates%20and%20Planning%20Docs\FOR%20TARGET%20DEVELOPMENT%20-%20FY13%20and%20FY14%20Hiring%20Projections%20MASTER%20DRAFT.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gsd-cifs-rdc01\udd\COPS%20Budget\BUDGET%20SUBMISSIONS\FY%202014\PB%202014\Estimates%20and%20Planning%20Docs\FY14%20Budget%20Performance%20Charts%20(linked%20to%20narrative)%201.30.1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b="1" i="0" u="none" strike="noStrike" baseline="0">
                <a:solidFill>
                  <a:srgbClr val="000000"/>
                </a:solidFill>
                <a:latin typeface="Arial"/>
                <a:ea typeface="Arial"/>
                <a:cs typeface="Arial"/>
              </a:defRPr>
            </a:pPr>
            <a:r>
              <a:rPr lang="en-US" sz="1000" baseline="0"/>
              <a:t>Officers Funded and Hired</a:t>
            </a:r>
          </a:p>
        </c:rich>
      </c:tx>
      <c:layout>
        <c:manualLayout>
          <c:xMode val="edge"/>
          <c:yMode val="edge"/>
          <c:x val="0.32714882749179308"/>
          <c:y val="3.3864550067442628E-2"/>
        </c:manualLayout>
      </c:layout>
      <c:overlay val="0"/>
      <c:spPr>
        <a:noFill/>
        <a:ln w="25400">
          <a:noFill/>
        </a:ln>
      </c:spPr>
    </c:title>
    <c:autoTitleDeleted val="0"/>
    <c:plotArea>
      <c:layout>
        <c:manualLayout>
          <c:layoutTarget val="inner"/>
          <c:xMode val="edge"/>
          <c:yMode val="edge"/>
          <c:x val="0.1240235853476358"/>
          <c:y val="0.22111559161683148"/>
          <c:w val="0.72127163051987486"/>
          <c:h val="0.61155393357088228"/>
        </c:manualLayout>
      </c:layout>
      <c:barChart>
        <c:barDir val="col"/>
        <c:grouping val="clustered"/>
        <c:varyColors val="0"/>
        <c:ser>
          <c:idx val="0"/>
          <c:order val="0"/>
          <c:tx>
            <c:strRef>
              <c:f>'Chart-Officers'!$A$9</c:f>
              <c:strCache>
                <c:ptCount val="1"/>
                <c:pt idx="0">
                  <c:v>Officers Funded</c:v>
                </c:pt>
              </c:strCache>
            </c:strRef>
          </c:tx>
          <c:spPr>
            <a:solidFill>
              <a:srgbClr val="9999FF"/>
            </a:solidFill>
            <a:ln w="12700">
              <a:solidFill>
                <a:srgbClr val="000000"/>
              </a:solidFill>
              <a:prstDash val="solid"/>
            </a:ln>
          </c:spPr>
          <c:invertIfNegative val="0"/>
          <c:dLbls>
            <c:dLbl>
              <c:idx val="2"/>
              <c:layout>
                <c:manualLayout>
                  <c:x val="2.2077542706518552E-3"/>
                  <c:y val="4.6215106148929505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8437-479E-9C80-076202D5B3DF}"/>
                </c:ext>
              </c:extLst>
            </c:dLbl>
            <c:dLbl>
              <c:idx val="3"/>
              <c:tx>
                <c:rich>
                  <a:bodyPr/>
                  <a:lstStyle/>
                  <a:p>
                    <a:r>
                      <a:rPr lang="en-US" sz="900" baseline="0"/>
                      <a:t>7</a:t>
                    </a:r>
                    <a:r>
                      <a:rPr lang="en-US"/>
                      <a:t>,843</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437-479E-9C80-076202D5B3DF}"/>
                </c:ext>
              </c:extLst>
            </c:dLbl>
            <c:dLbl>
              <c:idx val="4"/>
              <c:layout>
                <c:manualLayout>
                  <c:x val="-1.6274807754293023E-3"/>
                  <c:y val="2.3556312501081176E-2"/>
                </c:manualLayout>
              </c:layout>
              <c:tx>
                <c:rich>
                  <a:bodyPr/>
                  <a:lstStyle/>
                  <a:p>
                    <a:r>
                      <a:rPr lang="en-US"/>
                      <a:t>8,776</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8437-479E-9C80-076202D5B3DF}"/>
                </c:ext>
              </c:extLst>
            </c:dLbl>
            <c:dLbl>
              <c:idx val="5"/>
              <c:layout>
                <c:manualLayout>
                  <c:x val="0"/>
                  <c:y val="9.8570724494825065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8437-479E-9C80-076202D5B3DF}"/>
                </c:ext>
              </c:extLst>
            </c:dLbl>
            <c:numFmt formatCode="#,##0" sourceLinked="0"/>
            <c:spPr>
              <a:noFill/>
              <a:ln w="25400">
                <a:noFill/>
              </a:ln>
            </c:spPr>
            <c:txPr>
              <a:bodyPr/>
              <a:lstStyle/>
              <a:p>
                <a:pPr>
                  <a:defRPr sz="900" b="0" i="0" u="none" strike="noStrike" baseline="0">
                    <a:solidFill>
                      <a:srgbClr val="000000"/>
                    </a:solidFill>
                    <a:latin typeface="Arial"/>
                    <a:ea typeface="Arial"/>
                    <a:cs typeface="Aria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'Chart-Officers'!$B$8:$G$8</c:f>
              <c:numCache>
                <c:formatCode>General</c:formatCode>
                <c:ptCount val="6"/>
                <c:pt idx="0">
                  <c:v>2009</c:v>
                </c:pt>
                <c:pt idx="1">
                  <c:v>2010</c:v>
                </c:pt>
                <c:pt idx="2">
                  <c:v>2011</c:v>
                </c:pt>
                <c:pt idx="3">
                  <c:v>2012</c:v>
                </c:pt>
                <c:pt idx="4">
                  <c:v>2013</c:v>
                </c:pt>
                <c:pt idx="5">
                  <c:v>2014</c:v>
                </c:pt>
              </c:numCache>
            </c:numRef>
          </c:cat>
          <c:val>
            <c:numRef>
              <c:f>'Chart-Officers'!$B$9:$G$9</c:f>
              <c:numCache>
                <c:formatCode>#,##0</c:formatCode>
                <c:ptCount val="6"/>
                <c:pt idx="0">
                  <c:v>4699</c:v>
                </c:pt>
                <c:pt idx="1">
                  <c:v>5999</c:v>
                </c:pt>
                <c:pt idx="2">
                  <c:v>7115</c:v>
                </c:pt>
                <c:pt idx="3">
                  <c:v>8005</c:v>
                </c:pt>
                <c:pt idx="4">
                  <c:v>8776.3894589192751</c:v>
                </c:pt>
                <c:pt idx="5">
                  <c:v>10204.842153845153</c:v>
                </c:pt>
              </c:numCache>
            </c:numRef>
          </c:val>
          <c:extLst>
            <c:ext xmlns:c16="http://schemas.microsoft.com/office/drawing/2014/chart" uri="{C3380CC4-5D6E-409C-BE32-E72D297353CC}">
              <c16:uniqueId val="{00000004-8437-479E-9C80-076202D5B3DF}"/>
            </c:ext>
          </c:extLst>
        </c:ser>
        <c:ser>
          <c:idx val="1"/>
          <c:order val="1"/>
          <c:tx>
            <c:strRef>
              <c:f>'Chart-Officers'!$A$10</c:f>
              <c:strCache>
                <c:ptCount val="1"/>
                <c:pt idx="0">
                  <c:v>Officers Hired</c:v>
                </c:pt>
              </c:strCache>
            </c:strRef>
          </c:tx>
          <c:spPr>
            <a:solidFill>
              <a:srgbClr val="993366"/>
            </a:solidFill>
            <a:ln w="12700">
              <a:solidFill>
                <a:srgbClr val="000000"/>
              </a:solidFill>
              <a:prstDash val="solid"/>
            </a:ln>
          </c:spPr>
          <c:invertIfNegative val="0"/>
          <c:dLbls>
            <c:dLbl>
              <c:idx val="0"/>
              <c:layout>
                <c:manualLayout>
                  <c:x val="7.0175438596491342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8437-479E-9C80-076202D5B3DF}"/>
                </c:ext>
              </c:extLst>
            </c:dLbl>
            <c:dLbl>
              <c:idx val="1"/>
              <c:layout>
                <c:manualLayout>
                  <c:x val="1.8893405427986107E-2"/>
                  <c:y val="-2.0629190304280561E-2"/>
                </c:manualLayout>
              </c:layout>
              <c:tx>
                <c:rich>
                  <a:bodyPr/>
                  <a:lstStyle/>
                  <a:p>
                    <a:r>
                      <a:rPr lang="en-US" sz="900" baseline="0"/>
                      <a:t>4</a:t>
                    </a:r>
                    <a:r>
                      <a:rPr lang="en-US"/>
                      <a:t>,169</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8437-479E-9C80-076202D5B3DF}"/>
                </c:ext>
              </c:extLst>
            </c:dLbl>
            <c:dLbl>
              <c:idx val="2"/>
              <c:layout>
                <c:manualLayout>
                  <c:x val="1.6345589522348446E-2"/>
                  <c:y val="3.4376569354823442E-3"/>
                </c:manualLayout>
              </c:layout>
              <c:tx>
                <c:rich>
                  <a:bodyPr/>
                  <a:lstStyle/>
                  <a:p>
                    <a:r>
                      <a:rPr lang="en-US" sz="900" baseline="0"/>
                      <a:t>5</a:t>
                    </a:r>
                    <a:r>
                      <a:rPr lang="en-US"/>
                      <a:t>,305</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8437-479E-9C80-076202D5B3DF}"/>
                </c:ext>
              </c:extLst>
            </c:dLbl>
            <c:dLbl>
              <c:idx val="3"/>
              <c:layout>
                <c:manualLayout>
                  <c:x val="1.8680673739826865E-2"/>
                  <c:y val="0"/>
                </c:manualLayout>
              </c:layout>
              <c:tx>
                <c:rich>
                  <a:bodyPr/>
                  <a:lstStyle/>
                  <a:p>
                    <a:r>
                      <a:rPr lang="en-US" sz="900" baseline="0"/>
                      <a:t>5</a:t>
                    </a:r>
                    <a:r>
                      <a:rPr lang="en-US"/>
                      <a:t>,669</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8437-479E-9C80-076202D5B3DF}"/>
                </c:ext>
              </c:extLst>
            </c:dLbl>
            <c:dLbl>
              <c:idx val="4"/>
              <c:layout>
                <c:manualLayout>
                  <c:x val="1.6333195192706186E-2"/>
                  <c:y val="1.0314693287664984E-2"/>
                </c:manualLayout>
              </c:layout>
              <c:tx>
                <c:rich>
                  <a:bodyPr/>
                  <a:lstStyle/>
                  <a:p>
                    <a:r>
                      <a:rPr lang="en-US" sz="900" baseline="0"/>
                      <a:t>7,479</a:t>
                    </a:r>
                    <a:endParaRPr lang="en-US"/>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8437-479E-9C80-076202D5B3DF}"/>
                </c:ext>
              </c:extLst>
            </c:dLbl>
            <c:dLbl>
              <c:idx val="5"/>
              <c:layout>
                <c:manualLayout>
                  <c:x val="1.2707280011051255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8437-479E-9C80-076202D5B3DF}"/>
                </c:ext>
              </c:extLst>
            </c:dLbl>
            <c:spPr>
              <a:noFill/>
              <a:ln w="25400">
                <a:noFill/>
              </a:ln>
            </c:spPr>
            <c:txPr>
              <a:bodyPr/>
              <a:lstStyle/>
              <a:p>
                <a:pPr>
                  <a:defRPr sz="900" b="0" i="0" u="none" strike="noStrike" baseline="0">
                    <a:solidFill>
                      <a:srgbClr val="000000"/>
                    </a:solidFill>
                    <a:latin typeface="Arial"/>
                    <a:ea typeface="Arial"/>
                    <a:cs typeface="Aria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'Chart-Officers'!$B$8:$G$8</c:f>
              <c:numCache>
                <c:formatCode>General</c:formatCode>
                <c:ptCount val="6"/>
                <c:pt idx="0">
                  <c:v>2009</c:v>
                </c:pt>
                <c:pt idx="1">
                  <c:v>2010</c:v>
                </c:pt>
                <c:pt idx="2">
                  <c:v>2011</c:v>
                </c:pt>
                <c:pt idx="3">
                  <c:v>2012</c:v>
                </c:pt>
                <c:pt idx="4">
                  <c:v>2013</c:v>
                </c:pt>
                <c:pt idx="5">
                  <c:v>2014</c:v>
                </c:pt>
              </c:numCache>
            </c:numRef>
          </c:cat>
          <c:val>
            <c:numRef>
              <c:f>'Chart-Officers'!$B$10:$G$10</c:f>
              <c:numCache>
                <c:formatCode>#,##0</c:formatCode>
                <c:ptCount val="6"/>
                <c:pt idx="0">
                  <c:v>975</c:v>
                </c:pt>
                <c:pt idx="1">
                  <c:v>4169</c:v>
                </c:pt>
                <c:pt idx="2">
                  <c:v>5305</c:v>
                </c:pt>
                <c:pt idx="3">
                  <c:v>5930</c:v>
                </c:pt>
                <c:pt idx="4">
                  <c:v>7479.1320367563385</c:v>
                </c:pt>
                <c:pt idx="5">
                  <c:v>8309.6947294596321</c:v>
                </c:pt>
              </c:numCache>
            </c:numRef>
          </c:val>
          <c:extLst>
            <c:ext xmlns:c16="http://schemas.microsoft.com/office/drawing/2014/chart" uri="{C3380CC4-5D6E-409C-BE32-E72D297353CC}">
              <c16:uniqueId val="{0000000B-8437-479E-9C80-076202D5B3DF}"/>
            </c:ext>
          </c:extLst>
        </c:ser>
        <c:dLbls>
          <c:showLegendKey val="0"/>
          <c:showVal val="1"/>
          <c:showCatName val="0"/>
          <c:showSerName val="0"/>
          <c:showPercent val="0"/>
          <c:showBubbleSize val="0"/>
        </c:dLbls>
        <c:gapWidth val="150"/>
        <c:axId val="33816960"/>
        <c:axId val="33818496"/>
      </c:barChart>
      <c:catAx>
        <c:axId val="33816960"/>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sz="1000" b="1" i="0" u="none" strike="noStrike" baseline="0">
                <a:solidFill>
                  <a:srgbClr val="000000"/>
                </a:solidFill>
                <a:latin typeface="Arial"/>
                <a:ea typeface="Arial"/>
                <a:cs typeface="Arial"/>
              </a:defRPr>
            </a:pPr>
            <a:endParaRPr lang="en-US"/>
          </a:p>
        </c:txPr>
        <c:crossAx val="33818496"/>
        <c:crosses val="autoZero"/>
        <c:auto val="1"/>
        <c:lblAlgn val="ctr"/>
        <c:lblOffset val="100"/>
        <c:tickLblSkip val="1"/>
        <c:tickMarkSkip val="1"/>
        <c:noMultiLvlLbl val="0"/>
      </c:catAx>
      <c:valAx>
        <c:axId val="33818496"/>
        <c:scaling>
          <c:orientation val="minMax"/>
          <c:max val="15000"/>
        </c:scaling>
        <c:delete val="0"/>
        <c:axPos val="l"/>
        <c:majorGridlines>
          <c:spPr>
            <a:ln w="3175">
              <a:solidFill>
                <a:srgbClr val="000000"/>
              </a:solidFill>
              <a:prstDash val="solid"/>
            </a:ln>
          </c:spPr>
        </c:majorGridlines>
        <c:numFmt formatCode="#,##0" sourceLinked="1"/>
        <c:majorTickMark val="out"/>
        <c:minorTickMark val="none"/>
        <c:tickLblPos val="nextTo"/>
        <c:spPr>
          <a:ln w="3175">
            <a:solidFill>
              <a:srgbClr val="000000"/>
            </a:solidFill>
            <a:prstDash val="solid"/>
          </a:ln>
        </c:spPr>
        <c:txPr>
          <a:bodyPr rot="0" vert="horz"/>
          <a:lstStyle/>
          <a:p>
            <a:pPr>
              <a:defRPr sz="1000" b="1" i="0" u="none" strike="noStrike" baseline="0">
                <a:solidFill>
                  <a:srgbClr val="000000"/>
                </a:solidFill>
                <a:latin typeface="Arial"/>
                <a:ea typeface="Arial"/>
                <a:cs typeface="Arial"/>
              </a:defRPr>
            </a:pPr>
            <a:endParaRPr lang="en-US"/>
          </a:p>
        </c:txPr>
        <c:crossAx val="33816960"/>
        <c:crosses val="autoZero"/>
        <c:crossBetween val="between"/>
        <c:majorUnit val="5000"/>
      </c:valAx>
      <c:spPr>
        <a:solidFill>
          <a:srgbClr val="C0C0C0"/>
        </a:solidFill>
        <a:ln w="12700">
          <a:solidFill>
            <a:srgbClr val="808080"/>
          </a:solidFill>
          <a:prstDash val="solid"/>
        </a:ln>
      </c:spPr>
    </c:plotArea>
    <c:legend>
      <c:legendPos val="r"/>
      <c:layout>
        <c:manualLayout>
          <c:xMode val="edge"/>
          <c:yMode val="edge"/>
          <c:x val="0.86731444722121298"/>
          <c:y val="0.47609573330110544"/>
          <c:w val="0.12292103958684822"/>
          <c:h val="0.22971745068714916"/>
        </c:manualLayout>
      </c:layout>
      <c:overlay val="0"/>
      <c:spPr>
        <a:solidFill>
          <a:srgbClr val="FFFFFF"/>
        </a:solidFill>
        <a:ln w="3175">
          <a:solidFill>
            <a:srgbClr val="000000"/>
          </a:solidFill>
          <a:prstDash val="solid"/>
        </a:ln>
      </c:spPr>
      <c:txPr>
        <a:bodyPr/>
        <a:lstStyle/>
        <a:p>
          <a:pPr>
            <a:defRPr sz="920" b="0" i="0" u="none" strike="noStrike" baseline="0">
              <a:solidFill>
                <a:srgbClr val="000000"/>
              </a:solidFill>
              <a:latin typeface="Arial"/>
              <a:ea typeface="Arial"/>
              <a:cs typeface="Arial"/>
            </a:defRPr>
          </a:pPr>
          <a:endParaRPr lang="en-US"/>
        </a:p>
      </c:txPr>
    </c:legend>
    <c:plotVisOnly val="1"/>
    <c:dispBlanksAs val="gap"/>
    <c:showDLblsOverMax val="0"/>
  </c:chart>
  <c:spPr>
    <a:solidFill>
      <a:srgbClr val="FFFFFF"/>
    </a:solidFill>
    <a:ln w="3175">
      <a:solidFill>
        <a:srgbClr val="000000"/>
      </a:solidFill>
      <a:prstDash val="solid"/>
    </a:ln>
  </c:spPr>
  <c:txPr>
    <a:bodyPr/>
    <a:lstStyle/>
    <a:p>
      <a:pPr>
        <a:defRPr sz="1000" b="0" i="0" u="none" strike="noStrike" baseline="0">
          <a:solidFill>
            <a:srgbClr val="000000"/>
          </a:solidFill>
          <a:latin typeface="Arial"/>
          <a:ea typeface="Arial"/>
          <a:cs typeface="Arial"/>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50"/>
              <a:t>Number</a:t>
            </a:r>
            <a:r>
              <a:rPr lang="en-US" sz="1250" baseline="0"/>
              <a:t> of Knowledge Resource Products Distributed</a:t>
            </a:r>
            <a:endParaRPr lang="en-US" sz="1250"/>
          </a:p>
        </c:rich>
      </c:tx>
      <c:overlay val="0"/>
    </c:title>
    <c:autoTitleDeleted val="0"/>
    <c:plotArea>
      <c:layout/>
      <c:barChart>
        <c:barDir val="col"/>
        <c:grouping val="clustered"/>
        <c:varyColors val="0"/>
        <c:ser>
          <c:idx val="0"/>
          <c:order val="0"/>
          <c:tx>
            <c:strRef>
              <c:f>KnowledgeResources!$B$1</c:f>
              <c:strCache>
                <c:ptCount val="1"/>
                <c:pt idx="0">
                  <c:v>Actual</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KnowledgeResources!$A$2:$A$7</c:f>
              <c:numCache>
                <c:formatCode>General</c:formatCode>
                <c:ptCount val="6"/>
                <c:pt idx="0">
                  <c:v>2009</c:v>
                </c:pt>
                <c:pt idx="1">
                  <c:v>2010</c:v>
                </c:pt>
                <c:pt idx="2">
                  <c:v>2011</c:v>
                </c:pt>
                <c:pt idx="3">
                  <c:v>2012</c:v>
                </c:pt>
                <c:pt idx="4">
                  <c:v>2013</c:v>
                </c:pt>
                <c:pt idx="5">
                  <c:v>2014</c:v>
                </c:pt>
              </c:numCache>
            </c:numRef>
          </c:cat>
          <c:val>
            <c:numRef>
              <c:f>KnowledgeResources!$B$2:$B$7</c:f>
              <c:numCache>
                <c:formatCode>#,##0</c:formatCode>
                <c:ptCount val="6"/>
                <c:pt idx="0">
                  <c:v>1519675</c:v>
                </c:pt>
                <c:pt idx="1">
                  <c:v>2170926</c:v>
                </c:pt>
                <c:pt idx="2">
                  <c:v>2745893</c:v>
                </c:pt>
                <c:pt idx="3">
                  <c:v>1970576</c:v>
                </c:pt>
                <c:pt idx="4">
                  <c:v>0</c:v>
                </c:pt>
                <c:pt idx="5">
                  <c:v>0</c:v>
                </c:pt>
              </c:numCache>
            </c:numRef>
          </c:val>
          <c:extLst>
            <c:ext xmlns:c16="http://schemas.microsoft.com/office/drawing/2014/chart" uri="{C3380CC4-5D6E-409C-BE32-E72D297353CC}">
              <c16:uniqueId val="{00000000-D1CA-442A-BF8E-63CC3B1C5FFC}"/>
            </c:ext>
          </c:extLst>
        </c:ser>
        <c:ser>
          <c:idx val="1"/>
          <c:order val="1"/>
          <c:tx>
            <c:strRef>
              <c:f>KnowledgeResources!$C$1</c:f>
              <c:strCache>
                <c:ptCount val="1"/>
                <c:pt idx="0">
                  <c:v>Target</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KnowledgeResources!$A$2:$A$7</c:f>
              <c:numCache>
                <c:formatCode>General</c:formatCode>
                <c:ptCount val="6"/>
                <c:pt idx="0">
                  <c:v>2009</c:v>
                </c:pt>
                <c:pt idx="1">
                  <c:v>2010</c:v>
                </c:pt>
                <c:pt idx="2">
                  <c:v>2011</c:v>
                </c:pt>
                <c:pt idx="3">
                  <c:v>2012</c:v>
                </c:pt>
                <c:pt idx="4">
                  <c:v>2013</c:v>
                </c:pt>
                <c:pt idx="5">
                  <c:v>2014</c:v>
                </c:pt>
              </c:numCache>
            </c:numRef>
          </c:cat>
          <c:val>
            <c:numRef>
              <c:f>KnowledgeResources!$C$2:$C$7</c:f>
              <c:numCache>
                <c:formatCode>#,##0</c:formatCode>
                <c:ptCount val="6"/>
                <c:pt idx="0">
                  <c:v>700000</c:v>
                </c:pt>
                <c:pt idx="1">
                  <c:v>725000</c:v>
                </c:pt>
                <c:pt idx="2">
                  <c:v>2200000</c:v>
                </c:pt>
                <c:pt idx="3">
                  <c:v>2200000</c:v>
                </c:pt>
                <c:pt idx="4">
                  <c:v>2200000</c:v>
                </c:pt>
                <c:pt idx="5">
                  <c:v>2200000</c:v>
                </c:pt>
              </c:numCache>
            </c:numRef>
          </c:val>
          <c:extLst>
            <c:ext xmlns:c16="http://schemas.microsoft.com/office/drawing/2014/chart" uri="{C3380CC4-5D6E-409C-BE32-E72D297353CC}">
              <c16:uniqueId val="{00000001-D1CA-442A-BF8E-63CC3B1C5FFC}"/>
            </c:ext>
          </c:extLst>
        </c:ser>
        <c:dLbls>
          <c:showLegendKey val="0"/>
          <c:showVal val="1"/>
          <c:showCatName val="0"/>
          <c:showSerName val="0"/>
          <c:showPercent val="0"/>
          <c:showBubbleSize val="0"/>
        </c:dLbls>
        <c:gapWidth val="150"/>
        <c:axId val="33856128"/>
        <c:axId val="33862016"/>
      </c:barChart>
      <c:catAx>
        <c:axId val="33856128"/>
        <c:scaling>
          <c:orientation val="minMax"/>
        </c:scaling>
        <c:delete val="0"/>
        <c:axPos val="b"/>
        <c:numFmt formatCode="General" sourceLinked="1"/>
        <c:majorTickMark val="out"/>
        <c:minorTickMark val="none"/>
        <c:tickLblPos val="nextTo"/>
        <c:crossAx val="33862016"/>
        <c:crosses val="autoZero"/>
        <c:auto val="1"/>
        <c:lblAlgn val="ctr"/>
        <c:lblOffset val="100"/>
        <c:noMultiLvlLbl val="0"/>
      </c:catAx>
      <c:valAx>
        <c:axId val="33862016"/>
        <c:scaling>
          <c:orientation val="minMax"/>
        </c:scaling>
        <c:delete val="0"/>
        <c:axPos val="l"/>
        <c:majorGridlines/>
        <c:numFmt formatCode="#,##0" sourceLinked="1"/>
        <c:majorTickMark val="out"/>
        <c:minorTickMark val="none"/>
        <c:tickLblPos val="nextTo"/>
        <c:crossAx val="33856128"/>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338C2E2BFA7441902B75D8DE9D789E" ma:contentTypeVersion="8" ma:contentTypeDescription="Create a new document." ma:contentTypeScope="" ma:versionID="254d319ce0bbe9e1c2c5782a2fbcc08d">
  <xsd:schema xmlns:xsd="http://www.w3.org/2001/XMLSchema" xmlns:xs="http://www.w3.org/2001/XMLSchema" xmlns:p="http://schemas.microsoft.com/office/2006/metadata/properties" xmlns:ns3="5d0b77a9-577f-47dc-9643-883711f5ca10" targetNamespace="http://schemas.microsoft.com/office/2006/metadata/properties" ma:root="true" ma:fieldsID="23a0f690433863938e54adbbc647dea2" ns3:_="">
    <xsd:import namespace="5d0b77a9-577f-47dc-9643-883711f5ca1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0b77a9-577f-47dc-9643-883711f5ca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EED4CA-72D1-4ACC-BB62-64580EFE67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0b77a9-577f-47dc-9643-883711f5ca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27CD2E-0B32-422E-B692-3D6752DA6489}">
  <ds:schemaRefs>
    <ds:schemaRef ds:uri="http://schemas.microsoft.com/sharepoint/v3/contenttype/forms"/>
  </ds:schemaRefs>
</ds:datastoreItem>
</file>

<file path=customXml/itemProps3.xml><?xml version="1.0" encoding="utf-8"?>
<ds:datastoreItem xmlns:ds="http://schemas.openxmlformats.org/officeDocument/2006/customXml" ds:itemID="{1BDFC577-8B28-463F-9F87-A1EB059A2295}">
  <ds:schemaRefs>
    <ds:schemaRef ds:uri="http://purl.org/dc/dcmitype/"/>
    <ds:schemaRef ds:uri="http://schemas.microsoft.com/office/infopath/2007/PartnerControls"/>
    <ds:schemaRef ds:uri="http://schemas.microsoft.com/office/2006/documentManagement/types"/>
    <ds:schemaRef ds:uri="http://schemas.microsoft.com/office/2006/metadata/properties"/>
    <ds:schemaRef ds:uri="5d0b77a9-577f-47dc-9643-883711f5ca10"/>
    <ds:schemaRef ds:uri="http://purl.org/dc/terms/"/>
    <ds:schemaRef ds:uri="http://schemas.openxmlformats.org/package/2006/metadata/core-properties"/>
    <ds:schemaRef ds:uri="http://www.w3.org/XML/1998/namespace"/>
    <ds:schemaRef ds:uri="http://purl.org/dc/elements/1.1/"/>
  </ds:schemaRefs>
</ds:datastoreItem>
</file>

<file path=customXml/itemProps4.xml><?xml version="1.0" encoding="utf-8"?>
<ds:datastoreItem xmlns:ds="http://schemas.openxmlformats.org/officeDocument/2006/customXml" ds:itemID="{708ADF6D-09B9-4EB9-857A-EE6DA4C9FC95}">
  <ds:schemaRefs>
    <ds:schemaRef ds:uri="http://schemas.openxmlformats.org/officeDocument/2006/bibliography"/>
  </ds:schemaRefs>
</ds:datastoreItem>
</file>

<file path=customXml/itemProps5.xml><?xml version="1.0" encoding="utf-8"?>
<ds:datastoreItem xmlns:ds="http://schemas.openxmlformats.org/officeDocument/2006/customXml" ds:itemID="{867E5B63-7282-401E-A0F3-3CE6FEA65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50</Pages>
  <Words>20323</Words>
  <Characters>115846</Characters>
  <Application>Microsoft Office Word</Application>
  <DocSecurity>0</DocSecurity>
  <Lines>965</Lines>
  <Paragraphs>271</Paragraphs>
  <ScaleCrop>false</ScaleCrop>
  <HeadingPairs>
    <vt:vector size="2" baseType="variant">
      <vt:variant>
        <vt:lpstr>Title</vt:lpstr>
      </vt:variant>
      <vt:variant>
        <vt:i4>1</vt:i4>
      </vt:variant>
    </vt:vector>
  </HeadingPairs>
  <TitlesOfParts>
    <vt:vector size="1" baseType="lpstr">
      <vt:lpstr>DRAFT</vt:lpstr>
    </vt:vector>
  </TitlesOfParts>
  <Company>Department of Justice</Company>
  <LinksUpToDate>false</LinksUpToDate>
  <CharactersWithSpaces>135898</CharactersWithSpaces>
  <SharedDoc>false</SharedDoc>
  <HLinks>
    <vt:vector size="18" baseType="variant">
      <vt:variant>
        <vt:i4>2752608</vt:i4>
      </vt:variant>
      <vt:variant>
        <vt:i4>6</vt:i4>
      </vt:variant>
      <vt:variant>
        <vt:i4>0</vt:i4>
      </vt:variant>
      <vt:variant>
        <vt:i4>5</vt:i4>
      </vt:variant>
      <vt:variant>
        <vt:lpwstr>http://www.usdoj.gov/jmd/ep</vt:lpwstr>
      </vt:variant>
      <vt:variant>
        <vt:lpwstr/>
      </vt:variant>
      <vt:variant>
        <vt:i4>8126583</vt:i4>
      </vt:variant>
      <vt:variant>
        <vt:i4>3</vt:i4>
      </vt:variant>
      <vt:variant>
        <vt:i4>0</vt:i4>
      </vt:variant>
      <vt:variant>
        <vt:i4>5</vt:i4>
      </vt:variant>
      <vt:variant>
        <vt:lpwstr>http://www.justice.gov/02organizations/bpp.htm</vt:lpwstr>
      </vt:variant>
      <vt:variant>
        <vt:lpwstr/>
      </vt:variant>
      <vt:variant>
        <vt:i4>2162721</vt:i4>
      </vt:variant>
      <vt:variant>
        <vt:i4>0</vt:i4>
      </vt:variant>
      <vt:variant>
        <vt:i4>0</vt:i4>
      </vt:variant>
      <vt:variant>
        <vt:i4>5</vt:i4>
      </vt:variant>
      <vt:variant>
        <vt:lpwstr>https://max.omb.gov/community/x/woEZIQ</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creator>debjones</dc:creator>
  <cp:lastModifiedBy>Walton, Lamont (JMD)</cp:lastModifiedBy>
  <cp:revision>2</cp:revision>
  <cp:lastPrinted>2013-03-29T20:29:00Z</cp:lastPrinted>
  <dcterms:created xsi:type="dcterms:W3CDTF">2021-05-19T19:29:00Z</dcterms:created>
  <dcterms:modified xsi:type="dcterms:W3CDTF">2021-05-19T19:29:00Z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0x010100D3338C2E2BFA7441902B75D8DE9D789E</vt:lpwstr>
  </property>
</Properties>
</file>