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38" w:rsidRDefault="00270338">
      <w:pPr>
        <w:tabs>
          <w:tab w:val="center" w:pos="4680"/>
        </w:tabs>
      </w:pPr>
      <w:bookmarkStart w:id="0" w:name="_GoBack"/>
      <w:bookmarkEnd w:id="0"/>
      <w:r>
        <w:tab/>
        <w:t>IN THE UNITED STATES DISTRICT COURT</w:t>
      </w:r>
    </w:p>
    <w:p w:rsidR="00270338" w:rsidRDefault="00270338"/>
    <w:p w:rsidR="00270338" w:rsidRDefault="00270338">
      <w:pPr>
        <w:tabs>
          <w:tab w:val="center" w:pos="4680"/>
        </w:tabs>
      </w:pPr>
      <w:r>
        <w:tab/>
        <w:t>FOR THE WESTERN DISTRICT OF WISCONSIN</w:t>
      </w:r>
    </w:p>
    <w:p w:rsidR="00270338" w:rsidRDefault="00270338">
      <w:r>
        <w:rPr>
          <w:u w:val="single"/>
        </w:rPr>
        <w:t xml:space="preserve">                                                           </w:t>
      </w:r>
      <w:r w:rsidR="0084676A">
        <w:rPr>
          <w:u w:val="single"/>
        </w:rPr>
        <w:t xml:space="preserve">                            </w:t>
      </w:r>
    </w:p>
    <w:p w:rsidR="00270338" w:rsidRDefault="00270338">
      <w:pPr>
        <w:ind w:firstLine="5040"/>
      </w:pPr>
    </w:p>
    <w:p w:rsidR="00983C87" w:rsidRDefault="00270338">
      <w:r>
        <w:t>UNITED STATES OF AMERICA</w:t>
      </w:r>
      <w:r w:rsidR="008C75E2">
        <w:t>,</w:t>
      </w:r>
    </w:p>
    <w:p w:rsidR="00270338" w:rsidRDefault="00983C87">
      <w:r>
        <w:tab/>
      </w:r>
      <w:r w:rsidR="00270338">
        <w:tab/>
      </w:r>
      <w:r w:rsidR="00270338">
        <w:tab/>
      </w:r>
      <w:r w:rsidR="00270338">
        <w:tab/>
      </w:r>
    </w:p>
    <w:p w:rsidR="007A2645" w:rsidRDefault="007A2645">
      <w:pPr>
        <w:ind w:firstLine="1440"/>
      </w:pPr>
    </w:p>
    <w:p w:rsidR="00270338" w:rsidRDefault="00270338">
      <w:pPr>
        <w:ind w:firstLine="1440"/>
      </w:pPr>
      <w:r>
        <w:t>v.</w:t>
      </w:r>
      <w:r>
        <w:tab/>
      </w:r>
      <w:r>
        <w:tab/>
      </w:r>
      <w:r>
        <w:tab/>
      </w:r>
      <w:r>
        <w:tab/>
      </w:r>
      <w:r>
        <w:tab/>
      </w:r>
      <w:r w:rsidR="001D3C4B">
        <w:tab/>
      </w:r>
      <w:r w:rsidR="007A2645">
        <w:t xml:space="preserve">Case No. </w:t>
      </w:r>
      <w:r w:rsidR="001D3C4B">
        <w:t>1</w:t>
      </w:r>
      <w:r w:rsidR="00B30C93">
        <w:t>7</w:t>
      </w:r>
      <w:r w:rsidR="00447B52">
        <w:t>-cr-0</w:t>
      </w:r>
      <w:r w:rsidR="00D05F00">
        <w:t>0040</w:t>
      </w:r>
      <w:r w:rsidR="00447B52">
        <w:t>-wmc</w:t>
      </w:r>
    </w:p>
    <w:p w:rsidR="001D3C4B" w:rsidRDefault="001D3C4B">
      <w:pPr>
        <w:ind w:firstLine="5760"/>
      </w:pPr>
    </w:p>
    <w:p w:rsidR="00270338" w:rsidRDefault="00D05F00">
      <w:r>
        <w:t>ALEJANDRO ARIAS-PEREZ</w:t>
      </w:r>
      <w:r w:rsidR="00270338">
        <w:t>,</w:t>
      </w:r>
      <w:r w:rsidR="0084676A">
        <w:t xml:space="preserve"> </w:t>
      </w:r>
      <w:r w:rsidR="00C97526">
        <w:tab/>
      </w:r>
      <w:r w:rsidR="00C97526">
        <w:tab/>
      </w:r>
      <w:r w:rsidR="00C97526">
        <w:tab/>
      </w:r>
      <w:r w:rsidR="00C97526">
        <w:tab/>
      </w:r>
      <w:r w:rsidR="00C97526">
        <w:tab/>
      </w:r>
      <w:r w:rsidR="00C97526">
        <w:tab/>
        <w:t xml:space="preserve">   </w:t>
      </w:r>
    </w:p>
    <w:p w:rsidR="00270338" w:rsidRDefault="00C97526">
      <w:pPr>
        <w:ind w:firstLine="6480"/>
      </w:pPr>
      <w:r>
        <w:t xml:space="preserve">        </w:t>
      </w:r>
      <w:r w:rsidR="0084676A">
        <w:t xml:space="preserve">     </w:t>
      </w:r>
      <w:r w:rsidR="00270338">
        <w:tab/>
      </w:r>
    </w:p>
    <w:p w:rsidR="00270338" w:rsidRDefault="0084676A" w:rsidP="0084676A">
      <w:pPr>
        <w:ind w:firstLine="2160"/>
      </w:pPr>
      <w:r>
        <w:t>Defendant.</w:t>
      </w:r>
      <w:r>
        <w:tab/>
      </w:r>
      <w:r>
        <w:tab/>
      </w:r>
      <w:r>
        <w:tab/>
      </w:r>
      <w:r>
        <w:tab/>
      </w:r>
      <w:r>
        <w:tab/>
        <w:t xml:space="preserve">     </w:t>
      </w:r>
    </w:p>
    <w:p w:rsidR="00270338" w:rsidRDefault="00270338">
      <w:r>
        <w:rPr>
          <w:u w:val="single"/>
        </w:rPr>
        <w:t xml:space="preserve">                                                          </w:t>
      </w:r>
      <w:r w:rsidR="0084676A">
        <w:rPr>
          <w:u w:val="single"/>
        </w:rPr>
        <w:t xml:space="preserve">                            </w:t>
      </w:r>
    </w:p>
    <w:p w:rsidR="00270338" w:rsidRDefault="00270338"/>
    <w:p w:rsidR="00463B31" w:rsidRDefault="0019625E" w:rsidP="00983C87">
      <w:pPr>
        <w:tabs>
          <w:tab w:val="center" w:pos="4680"/>
        </w:tabs>
        <w:jc w:val="center"/>
        <w:rPr>
          <w:rFonts w:eastAsia="PMingLiU" w:cs="PMingLiU"/>
        </w:rPr>
      </w:pPr>
      <w:r>
        <w:rPr>
          <w:rFonts w:eastAsia="PMingLiU" w:cs="PMingLiU"/>
        </w:rPr>
        <w:t xml:space="preserve">ORDER </w:t>
      </w:r>
      <w:r w:rsidR="00537AD2">
        <w:rPr>
          <w:rFonts w:eastAsia="PMingLiU" w:cs="PMingLiU"/>
        </w:rPr>
        <w:t>AUTHORIZING ALTERNATIVE NOTIFICATION PROCEDURES</w:t>
      </w:r>
    </w:p>
    <w:p w:rsidR="00FD0585" w:rsidRPr="00875B80" w:rsidRDefault="00FD0585" w:rsidP="00970D22">
      <w:pPr>
        <w:tabs>
          <w:tab w:val="center" w:pos="4680"/>
        </w:tabs>
        <w:spacing w:line="480" w:lineRule="auto"/>
        <w:rPr>
          <w:rFonts w:eastAsia="PMingLiU" w:cs="PMingLiU"/>
        </w:rPr>
      </w:pPr>
      <w:r w:rsidRPr="00875B80">
        <w:rPr>
          <w:rFonts w:eastAsia="PMingLiU" w:cs="PMingLiU"/>
          <w:u w:val="single"/>
        </w:rPr>
        <w:t xml:space="preserve">                                                                             </w:t>
      </w:r>
    </w:p>
    <w:p w:rsidR="00537AD2" w:rsidRPr="00970D22" w:rsidRDefault="00537AD2" w:rsidP="00970D22">
      <w:pPr>
        <w:pStyle w:val="NormalWeb"/>
        <w:spacing w:before="0" w:beforeAutospacing="0" w:after="0" w:afterAutospacing="0" w:line="480" w:lineRule="auto"/>
        <w:ind w:firstLine="720"/>
        <w:rPr>
          <w:rFonts w:ascii="Book Antiqua" w:hAnsi="Book Antiqua"/>
          <w:sz w:val="23"/>
          <w:szCs w:val="23"/>
        </w:rPr>
      </w:pPr>
      <w:r w:rsidRPr="00970D22">
        <w:rPr>
          <w:rFonts w:ascii="Book Antiqua" w:hAnsi="Book Antiqua"/>
          <w:sz w:val="23"/>
          <w:szCs w:val="23"/>
        </w:rPr>
        <w:t xml:space="preserve">Before the court is the Government’s Motion to Authorize Alternative Procedures Pursuant to 18 U.S.C. § 3771(d)(2), filed January 30, 2018.  The government seeks an order from the court approving the use of alternate means to provide notice to the large number of crime victims in this case.  Under 18 U.S.C. § 3771(a)(2), crime victims have a right to “reasonable, accurate, and timely notice” of public court proceedings.  In this case, the alleged victims of the defendant’s credit card fraud activity were the owners of approximately 57,000 stolen credit card numbers.  </w:t>
      </w:r>
    </w:p>
    <w:p w:rsidR="00537AD2" w:rsidRPr="00970D22" w:rsidRDefault="00537AD2" w:rsidP="00970D22">
      <w:pPr>
        <w:pStyle w:val="NormalWeb"/>
        <w:spacing w:before="0" w:beforeAutospacing="0" w:after="0" w:afterAutospacing="0" w:line="480" w:lineRule="auto"/>
        <w:ind w:firstLine="720"/>
        <w:rPr>
          <w:rFonts w:ascii="Book Antiqua" w:hAnsi="Book Antiqua"/>
          <w:sz w:val="23"/>
          <w:szCs w:val="23"/>
        </w:rPr>
      </w:pPr>
      <w:r w:rsidRPr="00970D22">
        <w:rPr>
          <w:rFonts w:ascii="Book Antiqua" w:hAnsi="Book Antiqua"/>
          <w:sz w:val="23"/>
          <w:szCs w:val="23"/>
        </w:rPr>
        <w:t xml:space="preserve">The government represents that during its investigation, the Federal Bureau of Investigation has been able to identify one individual card holder and 12 banking institutions that are victims in this case.  However, a very large number of individual and institutional victims have not yet been identified and/or located.  Given the fact that approximately 57,000 stolen credit card numbers are at issue, it will be impracticable for the government to identify and locate all the owners of stolen credit card numbers and then to provide them with reasonable, accurate, and timely notice by mail or e-mail of the various court proceedings. </w:t>
      </w:r>
    </w:p>
    <w:p w:rsidR="00537AD2" w:rsidRPr="00970D22" w:rsidRDefault="00537AD2" w:rsidP="00970D22">
      <w:pPr>
        <w:pStyle w:val="NormalWeb"/>
        <w:spacing w:before="0" w:beforeAutospacing="0" w:after="0" w:afterAutospacing="0" w:line="480" w:lineRule="auto"/>
        <w:rPr>
          <w:rFonts w:ascii="Book Antiqua" w:hAnsi="Book Antiqua"/>
          <w:sz w:val="23"/>
          <w:szCs w:val="23"/>
        </w:rPr>
      </w:pPr>
      <w:r w:rsidRPr="00970D22">
        <w:rPr>
          <w:rFonts w:ascii="Book Antiqua" w:hAnsi="Book Antiqua"/>
          <w:sz w:val="23"/>
          <w:szCs w:val="23"/>
        </w:rPr>
        <w:lastRenderedPageBreak/>
        <w:t> </w:t>
      </w:r>
      <w:r w:rsidRPr="00970D22">
        <w:rPr>
          <w:rFonts w:ascii="Book Antiqua" w:hAnsi="Book Antiqua"/>
          <w:sz w:val="23"/>
          <w:szCs w:val="23"/>
        </w:rPr>
        <w:tab/>
        <w:t xml:space="preserve">Under such circumstances, 18 U.S.C. § 3771(a)(2) of the Crimes Victims’ Rights Act gives the court the authority to “fashion a reasonable procedure to give effect to this chapter that does not unduly complicate or prolong the proceedings.”  The government seeks authorization to provide an alternate means to provide notice to the large number of crime victims in this case.  In its motion, the government sets out its proposed actions to comply with 18 U.S.C. § 3771.  The court finds the proposal meritorious and grants the government’s motion. </w:t>
      </w:r>
    </w:p>
    <w:p w:rsidR="00537AD2" w:rsidRPr="00970D22" w:rsidRDefault="00537AD2" w:rsidP="00970D22">
      <w:pPr>
        <w:pStyle w:val="NormalWeb"/>
        <w:spacing w:before="0" w:beforeAutospacing="0" w:after="0" w:afterAutospacing="0" w:line="480" w:lineRule="auto"/>
        <w:rPr>
          <w:rFonts w:ascii="Book Antiqua" w:hAnsi="Book Antiqua"/>
          <w:sz w:val="23"/>
          <w:szCs w:val="23"/>
        </w:rPr>
      </w:pPr>
      <w:r w:rsidRPr="00970D22">
        <w:rPr>
          <w:rFonts w:ascii="Book Antiqua" w:hAnsi="Book Antiqua"/>
          <w:sz w:val="23"/>
          <w:szCs w:val="23"/>
        </w:rPr>
        <w:t> </w:t>
      </w:r>
      <w:r w:rsidRPr="00970D22">
        <w:rPr>
          <w:rFonts w:ascii="Book Antiqua" w:hAnsi="Book Antiqua"/>
          <w:sz w:val="23"/>
          <w:szCs w:val="23"/>
        </w:rPr>
        <w:tab/>
        <w:t xml:space="preserve">Therefore, the court finds that: (1) the “multiple victim” provisions of 18 U.S.C. § 3771(d)(2) apply to the above entitled and numbered cause; (2) it is impractical, because of the number of victims, for the government and the court to identify all the direct and proximate victims of the charged offenses, on an individual basis, without unduly complicating or prolonging the proceedings; and (3) the proposal set forth in the government’s motion (Document 10) is a “reasonable procedure” to give effect to the provisions of 18 U.S.C. § 3771.   </w:t>
      </w:r>
    </w:p>
    <w:p w:rsidR="00FD0585" w:rsidRPr="00970D22" w:rsidRDefault="00537AD2" w:rsidP="00970D22">
      <w:pPr>
        <w:pStyle w:val="NormalWeb"/>
        <w:spacing w:before="0" w:beforeAutospacing="0" w:after="0" w:afterAutospacing="0" w:line="480" w:lineRule="auto"/>
        <w:ind w:firstLine="720"/>
        <w:rPr>
          <w:rFonts w:ascii="Book Antiqua" w:hAnsi="Book Antiqua"/>
          <w:sz w:val="23"/>
          <w:szCs w:val="23"/>
        </w:rPr>
      </w:pPr>
      <w:r w:rsidRPr="00970D22">
        <w:rPr>
          <w:rFonts w:ascii="Book Antiqua" w:hAnsi="Book Antiqua"/>
          <w:sz w:val="23"/>
          <w:szCs w:val="23"/>
        </w:rPr>
        <w:t xml:space="preserve">Accordingly, it is ordered that the government is authorized to comply with the provisions of 18 U.S.C. § 3771(a)(2) in the above entitled and numbered cause by providing notice of the court proceedings as provided in the proposal set forth in its motion. </w:t>
      </w:r>
    </w:p>
    <w:p w:rsidR="00537AD2" w:rsidRPr="00970D22" w:rsidRDefault="00537AD2" w:rsidP="00537AD2">
      <w:pPr>
        <w:pStyle w:val="ListParagraph"/>
        <w:tabs>
          <w:tab w:val="left" w:pos="-1440"/>
          <w:tab w:val="left" w:pos="-720"/>
          <w:tab w:val="left" w:pos="1440"/>
          <w:tab w:val="left" w:pos="4680"/>
        </w:tabs>
        <w:spacing w:line="480" w:lineRule="auto"/>
        <w:ind w:left="1080"/>
        <w:rPr>
          <w:rFonts w:ascii="Book Antiqua" w:eastAsia="PMingLiU" w:hAnsi="Book Antiqua" w:cs="PMingLiU"/>
          <w:sz w:val="23"/>
          <w:szCs w:val="23"/>
        </w:rPr>
      </w:pPr>
      <w:r w:rsidRPr="00970D22">
        <w:rPr>
          <w:rFonts w:ascii="Book Antiqua" w:eastAsia="PMingLiU" w:hAnsi="Book Antiqua" w:cs="PMingLiU"/>
          <w:sz w:val="23"/>
          <w:szCs w:val="23"/>
        </w:rPr>
        <w:t>DATED: ________________</w:t>
      </w:r>
    </w:p>
    <w:p w:rsidR="00537AD2" w:rsidRPr="00970D22" w:rsidRDefault="00537AD2" w:rsidP="00537AD2">
      <w:pPr>
        <w:tabs>
          <w:tab w:val="left" w:pos="-1440"/>
          <w:tab w:val="left" w:pos="-720"/>
          <w:tab w:val="left" w:pos="720"/>
          <w:tab w:val="left" w:pos="1440"/>
          <w:tab w:val="left" w:pos="2160"/>
          <w:tab w:val="left" w:pos="4680"/>
        </w:tabs>
        <w:ind w:firstLine="4680"/>
        <w:rPr>
          <w:rFonts w:eastAsia="PMingLiU" w:cs="PMingLiU"/>
          <w:sz w:val="23"/>
          <w:szCs w:val="23"/>
          <w:u w:val="single"/>
        </w:rPr>
      </w:pPr>
      <w:r w:rsidRPr="00970D22">
        <w:rPr>
          <w:rFonts w:eastAsia="PMingLiU" w:cs="PMingLiU"/>
          <w:sz w:val="23"/>
          <w:szCs w:val="23"/>
          <w:u w:val="single"/>
        </w:rPr>
        <w:t xml:space="preserve">         </w:t>
      </w:r>
      <w:r w:rsidRPr="00970D22">
        <w:rPr>
          <w:rFonts w:eastAsia="PMingLiU" w:cs="PMingLiU"/>
          <w:sz w:val="23"/>
          <w:szCs w:val="23"/>
          <w:u w:val="single"/>
        </w:rPr>
        <w:tab/>
        <w:t xml:space="preserve">            </w:t>
      </w:r>
    </w:p>
    <w:p w:rsidR="00537AD2" w:rsidRPr="00970D22" w:rsidRDefault="00537AD2" w:rsidP="00537AD2">
      <w:pPr>
        <w:tabs>
          <w:tab w:val="left" w:pos="-1440"/>
          <w:tab w:val="left" w:pos="-720"/>
          <w:tab w:val="left" w:pos="720"/>
          <w:tab w:val="left" w:pos="1440"/>
          <w:tab w:val="left" w:pos="2160"/>
          <w:tab w:val="left" w:pos="4680"/>
        </w:tabs>
        <w:ind w:firstLine="4680"/>
        <w:rPr>
          <w:rFonts w:eastAsia="PMingLiU" w:cs="PMingLiU"/>
          <w:sz w:val="23"/>
          <w:szCs w:val="23"/>
        </w:rPr>
      </w:pPr>
      <w:r w:rsidRPr="00970D22">
        <w:rPr>
          <w:rFonts w:eastAsia="PMingLiU" w:cs="PMingLiU"/>
          <w:sz w:val="23"/>
          <w:szCs w:val="23"/>
        </w:rPr>
        <w:t>WILLIAM M. CONLEY</w:t>
      </w:r>
    </w:p>
    <w:p w:rsidR="00537AD2" w:rsidRPr="00970D22" w:rsidRDefault="00537AD2" w:rsidP="00537AD2">
      <w:pPr>
        <w:tabs>
          <w:tab w:val="left" w:pos="-1440"/>
          <w:tab w:val="left" w:pos="-720"/>
          <w:tab w:val="left" w:pos="720"/>
          <w:tab w:val="left" w:pos="1440"/>
          <w:tab w:val="left" w:pos="2160"/>
          <w:tab w:val="left" w:pos="4680"/>
        </w:tabs>
        <w:ind w:firstLine="4680"/>
        <w:rPr>
          <w:rFonts w:eastAsia="PMingLiU" w:cs="PMingLiU"/>
          <w:sz w:val="23"/>
          <w:szCs w:val="23"/>
        </w:rPr>
        <w:sectPr w:rsidR="00537AD2" w:rsidRPr="00970D22" w:rsidSect="00B0719C">
          <w:footerReference w:type="default" r:id="rId8"/>
          <w:type w:val="continuous"/>
          <w:pgSz w:w="12240" w:h="15840"/>
          <w:pgMar w:top="1080" w:right="1440" w:bottom="720" w:left="1440" w:header="1440" w:footer="1440" w:gutter="0"/>
          <w:cols w:space="720"/>
          <w:noEndnote/>
          <w:titlePg/>
          <w:docGrid w:linePitch="326"/>
        </w:sectPr>
      </w:pPr>
      <w:r w:rsidRPr="00970D22">
        <w:rPr>
          <w:rFonts w:eastAsia="PMingLiU" w:cs="PMingLiU"/>
          <w:sz w:val="23"/>
          <w:szCs w:val="23"/>
        </w:rPr>
        <w:t>United States District Judge</w:t>
      </w:r>
    </w:p>
    <w:p w:rsidR="00537AD2" w:rsidRPr="00537AD2" w:rsidRDefault="00537AD2" w:rsidP="00537AD2">
      <w:pPr>
        <w:pStyle w:val="NormalWeb"/>
        <w:spacing w:line="480" w:lineRule="auto"/>
        <w:ind w:firstLine="720"/>
        <w:rPr>
          <w:rFonts w:ascii="Book Antiqua" w:hAnsi="Book Antiqua"/>
        </w:rPr>
      </w:pPr>
    </w:p>
    <w:sectPr w:rsidR="00537AD2" w:rsidRPr="00537AD2" w:rsidSect="00970D22">
      <w:footerReference w:type="default" r:id="rId9"/>
      <w:type w:val="continuous"/>
      <w:pgSz w:w="12240" w:h="15840"/>
      <w:pgMar w:top="1440" w:right="1440" w:bottom="1440" w:left="1440" w:header="1440" w:footer="75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7E" w:rsidRDefault="00DA1E7E" w:rsidP="00270338">
      <w:r>
        <w:separator/>
      </w:r>
    </w:p>
  </w:endnote>
  <w:endnote w:type="continuationSeparator" w:id="0">
    <w:p w:rsidR="00DA1E7E" w:rsidRDefault="00DA1E7E" w:rsidP="0027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D2" w:rsidRDefault="00537AD2">
    <w:pPr>
      <w:spacing w:line="240" w:lineRule="exact"/>
    </w:pPr>
  </w:p>
  <w:p w:rsidR="00537AD2" w:rsidRDefault="00537AD2">
    <w:pPr>
      <w:framePr w:w="9361" w:wrap="notBeside" w:vAnchor="text" w:hAnchor="text" w:x="1" w:y="1"/>
      <w:jc w:val="center"/>
      <w:rPr>
        <w:rFonts w:cs="Book Antiqua"/>
      </w:rPr>
    </w:pPr>
    <w:r>
      <w:rPr>
        <w:rFonts w:cs="Book Antiqua"/>
      </w:rPr>
      <w:fldChar w:fldCharType="begin"/>
    </w:r>
    <w:r>
      <w:rPr>
        <w:rFonts w:cs="Book Antiqua"/>
      </w:rPr>
      <w:instrText xml:space="preserve">PAGE </w:instrText>
    </w:r>
    <w:r>
      <w:rPr>
        <w:rFonts w:cs="Book Antiqua"/>
      </w:rPr>
      <w:fldChar w:fldCharType="separate"/>
    </w:r>
    <w:r w:rsidR="00D5498F">
      <w:rPr>
        <w:rFonts w:cs="Book Antiqua"/>
        <w:noProof/>
      </w:rPr>
      <w:t>2</w:t>
    </w:r>
    <w:r>
      <w:rPr>
        <w:rFonts w:cs="Book Antiqua"/>
      </w:rPr>
      <w:fldChar w:fldCharType="end"/>
    </w:r>
  </w:p>
  <w:p w:rsidR="00537AD2" w:rsidRDefault="00537A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38" w:rsidRDefault="00270338">
    <w:pPr>
      <w:spacing w:line="240" w:lineRule="exact"/>
    </w:pPr>
  </w:p>
  <w:p w:rsidR="00270338" w:rsidRDefault="00270338">
    <w:pPr>
      <w:framePr w:w="9361" w:wrap="notBeside" w:vAnchor="text" w:hAnchor="text" w:x="1" w:y="1"/>
      <w:jc w:val="center"/>
      <w:rPr>
        <w:rFonts w:cs="Book Antiqua"/>
      </w:rPr>
    </w:pPr>
    <w:r>
      <w:rPr>
        <w:rFonts w:cs="Book Antiqua"/>
      </w:rPr>
      <w:fldChar w:fldCharType="begin"/>
    </w:r>
    <w:r>
      <w:rPr>
        <w:rFonts w:cs="Book Antiqua"/>
      </w:rPr>
      <w:instrText xml:space="preserve">PAGE </w:instrText>
    </w:r>
    <w:r>
      <w:rPr>
        <w:rFonts w:cs="Book Antiqua"/>
      </w:rPr>
      <w:fldChar w:fldCharType="separate"/>
    </w:r>
    <w:r w:rsidR="00537AD2">
      <w:rPr>
        <w:rFonts w:cs="Book Antiqua"/>
        <w:noProof/>
      </w:rPr>
      <w:t>3</w:t>
    </w:r>
    <w:r>
      <w:rPr>
        <w:rFonts w:cs="Book Antiqua"/>
      </w:rPr>
      <w:fldChar w:fldCharType="end"/>
    </w:r>
  </w:p>
  <w:p w:rsidR="00270338" w:rsidRDefault="002703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7E" w:rsidRDefault="00DA1E7E" w:rsidP="00270338">
      <w:r>
        <w:separator/>
      </w:r>
    </w:p>
  </w:footnote>
  <w:footnote w:type="continuationSeparator" w:id="0">
    <w:p w:rsidR="00DA1E7E" w:rsidRDefault="00DA1E7E" w:rsidP="0027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F99"/>
    <w:multiLevelType w:val="hybridMultilevel"/>
    <w:tmpl w:val="BF6E572E"/>
    <w:lvl w:ilvl="0" w:tplc="91A86F0C">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548591F"/>
    <w:multiLevelType w:val="hybridMultilevel"/>
    <w:tmpl w:val="3F8C3174"/>
    <w:lvl w:ilvl="0" w:tplc="0C743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A149E9"/>
    <w:multiLevelType w:val="hybridMultilevel"/>
    <w:tmpl w:val="03D454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657946"/>
    <w:multiLevelType w:val="hybridMultilevel"/>
    <w:tmpl w:val="4B0216E8"/>
    <w:lvl w:ilvl="0" w:tplc="23283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4252BF"/>
    <w:multiLevelType w:val="hybridMultilevel"/>
    <w:tmpl w:val="C3A63634"/>
    <w:lvl w:ilvl="0" w:tplc="6394B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7D3347"/>
    <w:multiLevelType w:val="hybridMultilevel"/>
    <w:tmpl w:val="F8CA1742"/>
    <w:lvl w:ilvl="0" w:tplc="9208A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963CF7EB-C257-4BF4-833C-E817D3D1EC35}"/>
  </w:docVars>
  <w:rsids>
    <w:rsidRoot w:val="00270338"/>
    <w:rsid w:val="00007AF9"/>
    <w:rsid w:val="000101D2"/>
    <w:rsid w:val="00037103"/>
    <w:rsid w:val="00075D3E"/>
    <w:rsid w:val="00081D4B"/>
    <w:rsid w:val="000863D1"/>
    <w:rsid w:val="00087765"/>
    <w:rsid w:val="000A6396"/>
    <w:rsid w:val="000C7C34"/>
    <w:rsid w:val="000D6CC6"/>
    <w:rsid w:val="000D6F18"/>
    <w:rsid w:val="000E549B"/>
    <w:rsid w:val="000F3386"/>
    <w:rsid w:val="001027A7"/>
    <w:rsid w:val="001060A2"/>
    <w:rsid w:val="001117EA"/>
    <w:rsid w:val="00111FD8"/>
    <w:rsid w:val="001366F3"/>
    <w:rsid w:val="00145C88"/>
    <w:rsid w:val="00175CA4"/>
    <w:rsid w:val="00192A1B"/>
    <w:rsid w:val="0019625E"/>
    <w:rsid w:val="001C6688"/>
    <w:rsid w:val="001C6880"/>
    <w:rsid w:val="001D3C4B"/>
    <w:rsid w:val="001D6CA3"/>
    <w:rsid w:val="001D7DB2"/>
    <w:rsid w:val="001E47F9"/>
    <w:rsid w:val="00200358"/>
    <w:rsid w:val="00237E31"/>
    <w:rsid w:val="00254193"/>
    <w:rsid w:val="00261348"/>
    <w:rsid w:val="002648A4"/>
    <w:rsid w:val="00265C82"/>
    <w:rsid w:val="00270338"/>
    <w:rsid w:val="002A2A43"/>
    <w:rsid w:val="002A629E"/>
    <w:rsid w:val="002B103B"/>
    <w:rsid w:val="002B3B6B"/>
    <w:rsid w:val="002C2050"/>
    <w:rsid w:val="002D34BE"/>
    <w:rsid w:val="002D76A8"/>
    <w:rsid w:val="002E2C77"/>
    <w:rsid w:val="002E425F"/>
    <w:rsid w:val="003030D8"/>
    <w:rsid w:val="00303F3A"/>
    <w:rsid w:val="00315541"/>
    <w:rsid w:val="00330454"/>
    <w:rsid w:val="003321EB"/>
    <w:rsid w:val="00334993"/>
    <w:rsid w:val="0034030F"/>
    <w:rsid w:val="00351180"/>
    <w:rsid w:val="00354410"/>
    <w:rsid w:val="0038682B"/>
    <w:rsid w:val="003A059B"/>
    <w:rsid w:val="003A5741"/>
    <w:rsid w:val="003A7405"/>
    <w:rsid w:val="003B338E"/>
    <w:rsid w:val="003B7277"/>
    <w:rsid w:val="003E2E19"/>
    <w:rsid w:val="003F47A3"/>
    <w:rsid w:val="00402605"/>
    <w:rsid w:val="00435AD9"/>
    <w:rsid w:val="00441D96"/>
    <w:rsid w:val="00447B52"/>
    <w:rsid w:val="00463497"/>
    <w:rsid w:val="00463B31"/>
    <w:rsid w:val="004670D7"/>
    <w:rsid w:val="00472084"/>
    <w:rsid w:val="00480D5A"/>
    <w:rsid w:val="00493904"/>
    <w:rsid w:val="004A50AC"/>
    <w:rsid w:val="004A590F"/>
    <w:rsid w:val="004C03D3"/>
    <w:rsid w:val="004C0E03"/>
    <w:rsid w:val="004C74BA"/>
    <w:rsid w:val="004D44BD"/>
    <w:rsid w:val="004E346C"/>
    <w:rsid w:val="004F3832"/>
    <w:rsid w:val="005005BC"/>
    <w:rsid w:val="0050158F"/>
    <w:rsid w:val="00526659"/>
    <w:rsid w:val="00531E13"/>
    <w:rsid w:val="00537AD2"/>
    <w:rsid w:val="0055042C"/>
    <w:rsid w:val="00550C9B"/>
    <w:rsid w:val="0055683C"/>
    <w:rsid w:val="00582DB7"/>
    <w:rsid w:val="00596B1F"/>
    <w:rsid w:val="005A20F7"/>
    <w:rsid w:val="005A4DE8"/>
    <w:rsid w:val="005B169F"/>
    <w:rsid w:val="005E4582"/>
    <w:rsid w:val="005F07D9"/>
    <w:rsid w:val="005F587B"/>
    <w:rsid w:val="00601B38"/>
    <w:rsid w:val="00605CC8"/>
    <w:rsid w:val="00615BA2"/>
    <w:rsid w:val="00616D5E"/>
    <w:rsid w:val="0062266F"/>
    <w:rsid w:val="00630085"/>
    <w:rsid w:val="00636AF8"/>
    <w:rsid w:val="00647CCA"/>
    <w:rsid w:val="006530BA"/>
    <w:rsid w:val="00667F31"/>
    <w:rsid w:val="00684061"/>
    <w:rsid w:val="00692BF5"/>
    <w:rsid w:val="006945F6"/>
    <w:rsid w:val="006A3BC9"/>
    <w:rsid w:val="006A3D15"/>
    <w:rsid w:val="006A4D11"/>
    <w:rsid w:val="006B280C"/>
    <w:rsid w:val="006B718D"/>
    <w:rsid w:val="006D37D9"/>
    <w:rsid w:val="006D6B50"/>
    <w:rsid w:val="006F78AF"/>
    <w:rsid w:val="007020A0"/>
    <w:rsid w:val="00752837"/>
    <w:rsid w:val="0075631E"/>
    <w:rsid w:val="00761DE3"/>
    <w:rsid w:val="0078082B"/>
    <w:rsid w:val="007838F3"/>
    <w:rsid w:val="007A2645"/>
    <w:rsid w:val="007D3058"/>
    <w:rsid w:val="007D5166"/>
    <w:rsid w:val="007E0455"/>
    <w:rsid w:val="008130A3"/>
    <w:rsid w:val="00825DDF"/>
    <w:rsid w:val="0084676A"/>
    <w:rsid w:val="00850C0E"/>
    <w:rsid w:val="00860686"/>
    <w:rsid w:val="008650CC"/>
    <w:rsid w:val="00873B6D"/>
    <w:rsid w:val="00875B80"/>
    <w:rsid w:val="008939E0"/>
    <w:rsid w:val="008948E1"/>
    <w:rsid w:val="0089729F"/>
    <w:rsid w:val="00897F2F"/>
    <w:rsid w:val="008B3CBB"/>
    <w:rsid w:val="008B4F63"/>
    <w:rsid w:val="008C75E2"/>
    <w:rsid w:val="008E2E95"/>
    <w:rsid w:val="00905666"/>
    <w:rsid w:val="009172F4"/>
    <w:rsid w:val="009227E4"/>
    <w:rsid w:val="0093058A"/>
    <w:rsid w:val="0094197A"/>
    <w:rsid w:val="0095450E"/>
    <w:rsid w:val="00957B97"/>
    <w:rsid w:val="00970D22"/>
    <w:rsid w:val="00980707"/>
    <w:rsid w:val="00983C87"/>
    <w:rsid w:val="00984462"/>
    <w:rsid w:val="0098479A"/>
    <w:rsid w:val="0099246F"/>
    <w:rsid w:val="009A5B89"/>
    <w:rsid w:val="009A701A"/>
    <w:rsid w:val="009B6F24"/>
    <w:rsid w:val="009D6F77"/>
    <w:rsid w:val="009F04A5"/>
    <w:rsid w:val="009F3FAB"/>
    <w:rsid w:val="00A0017C"/>
    <w:rsid w:val="00A23502"/>
    <w:rsid w:val="00A27A6C"/>
    <w:rsid w:val="00A369C4"/>
    <w:rsid w:val="00A441E2"/>
    <w:rsid w:val="00A51842"/>
    <w:rsid w:val="00A55A0B"/>
    <w:rsid w:val="00A85389"/>
    <w:rsid w:val="00A86BE9"/>
    <w:rsid w:val="00A96F7E"/>
    <w:rsid w:val="00AA4373"/>
    <w:rsid w:val="00AB6166"/>
    <w:rsid w:val="00AC7C83"/>
    <w:rsid w:val="00AD227C"/>
    <w:rsid w:val="00AE5331"/>
    <w:rsid w:val="00B000AD"/>
    <w:rsid w:val="00B04759"/>
    <w:rsid w:val="00B0719C"/>
    <w:rsid w:val="00B1373E"/>
    <w:rsid w:val="00B139F8"/>
    <w:rsid w:val="00B16652"/>
    <w:rsid w:val="00B25334"/>
    <w:rsid w:val="00B30C93"/>
    <w:rsid w:val="00B422EA"/>
    <w:rsid w:val="00B44D16"/>
    <w:rsid w:val="00B451A9"/>
    <w:rsid w:val="00B52F7F"/>
    <w:rsid w:val="00B851D1"/>
    <w:rsid w:val="00B91147"/>
    <w:rsid w:val="00B9653A"/>
    <w:rsid w:val="00BC293D"/>
    <w:rsid w:val="00BD3B66"/>
    <w:rsid w:val="00BE0513"/>
    <w:rsid w:val="00BE33A6"/>
    <w:rsid w:val="00C13D48"/>
    <w:rsid w:val="00C16738"/>
    <w:rsid w:val="00C201F6"/>
    <w:rsid w:val="00C206E2"/>
    <w:rsid w:val="00C2508E"/>
    <w:rsid w:val="00C33F9A"/>
    <w:rsid w:val="00C4249F"/>
    <w:rsid w:val="00C7143B"/>
    <w:rsid w:val="00C82E54"/>
    <w:rsid w:val="00C964A4"/>
    <w:rsid w:val="00C9732C"/>
    <w:rsid w:val="00C97526"/>
    <w:rsid w:val="00CA751F"/>
    <w:rsid w:val="00CB27CC"/>
    <w:rsid w:val="00CB6E9C"/>
    <w:rsid w:val="00CC4569"/>
    <w:rsid w:val="00CC64ED"/>
    <w:rsid w:val="00CD4939"/>
    <w:rsid w:val="00CD576F"/>
    <w:rsid w:val="00CE093A"/>
    <w:rsid w:val="00CF5D41"/>
    <w:rsid w:val="00D03898"/>
    <w:rsid w:val="00D04DBA"/>
    <w:rsid w:val="00D05F00"/>
    <w:rsid w:val="00D13573"/>
    <w:rsid w:val="00D1663C"/>
    <w:rsid w:val="00D245F6"/>
    <w:rsid w:val="00D41928"/>
    <w:rsid w:val="00D5498F"/>
    <w:rsid w:val="00D75AD1"/>
    <w:rsid w:val="00D86D3C"/>
    <w:rsid w:val="00D973D2"/>
    <w:rsid w:val="00DA1E7E"/>
    <w:rsid w:val="00DC00C6"/>
    <w:rsid w:val="00DC3389"/>
    <w:rsid w:val="00DD2237"/>
    <w:rsid w:val="00DD52FC"/>
    <w:rsid w:val="00DE52DD"/>
    <w:rsid w:val="00DF420D"/>
    <w:rsid w:val="00E01930"/>
    <w:rsid w:val="00E2099D"/>
    <w:rsid w:val="00E23CA8"/>
    <w:rsid w:val="00E316BB"/>
    <w:rsid w:val="00E45612"/>
    <w:rsid w:val="00EA0224"/>
    <w:rsid w:val="00EA1CBE"/>
    <w:rsid w:val="00EA7956"/>
    <w:rsid w:val="00EC108F"/>
    <w:rsid w:val="00EC4C6A"/>
    <w:rsid w:val="00ED35DB"/>
    <w:rsid w:val="00ED52C2"/>
    <w:rsid w:val="00EE56B1"/>
    <w:rsid w:val="00EF186A"/>
    <w:rsid w:val="00F07F17"/>
    <w:rsid w:val="00F4018D"/>
    <w:rsid w:val="00F52EF6"/>
    <w:rsid w:val="00F60800"/>
    <w:rsid w:val="00F719AA"/>
    <w:rsid w:val="00F75836"/>
    <w:rsid w:val="00F956AA"/>
    <w:rsid w:val="00FA17A0"/>
    <w:rsid w:val="00FA2D0D"/>
    <w:rsid w:val="00FA538F"/>
    <w:rsid w:val="00FB2DC6"/>
    <w:rsid w:val="00FB521A"/>
    <w:rsid w:val="00FB7224"/>
    <w:rsid w:val="00FC7909"/>
    <w:rsid w:val="00FD0585"/>
    <w:rsid w:val="00FE432B"/>
    <w:rsid w:val="00FE67ED"/>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B69BD9C-A67B-46A2-8137-B45A3E92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FE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084"/>
    <w:pPr>
      <w:tabs>
        <w:tab w:val="center" w:pos="4680"/>
        <w:tab w:val="right" w:pos="9360"/>
      </w:tabs>
    </w:pPr>
  </w:style>
  <w:style w:type="character" w:customStyle="1" w:styleId="HeaderChar">
    <w:name w:val="Header Char"/>
    <w:basedOn w:val="DefaultParagraphFont"/>
    <w:link w:val="Header"/>
    <w:uiPriority w:val="99"/>
    <w:rsid w:val="00472084"/>
    <w:rPr>
      <w:rFonts w:ascii="Book Antiqua" w:hAnsi="Book Antiqua"/>
      <w:sz w:val="24"/>
      <w:szCs w:val="24"/>
    </w:rPr>
  </w:style>
  <w:style w:type="paragraph" w:styleId="Footer">
    <w:name w:val="footer"/>
    <w:basedOn w:val="Normal"/>
    <w:link w:val="FooterChar"/>
    <w:uiPriority w:val="99"/>
    <w:unhideWhenUsed/>
    <w:rsid w:val="00472084"/>
    <w:pPr>
      <w:tabs>
        <w:tab w:val="center" w:pos="4680"/>
        <w:tab w:val="right" w:pos="9360"/>
      </w:tabs>
    </w:pPr>
  </w:style>
  <w:style w:type="character" w:customStyle="1" w:styleId="FooterChar">
    <w:name w:val="Footer Char"/>
    <w:basedOn w:val="DefaultParagraphFont"/>
    <w:link w:val="Footer"/>
    <w:uiPriority w:val="99"/>
    <w:rsid w:val="00472084"/>
    <w:rPr>
      <w:rFonts w:ascii="Book Antiqua" w:hAnsi="Book Antiqua"/>
      <w:sz w:val="24"/>
      <w:szCs w:val="24"/>
    </w:rPr>
  </w:style>
  <w:style w:type="character" w:styleId="CommentReference">
    <w:name w:val="annotation reference"/>
    <w:basedOn w:val="DefaultParagraphFont"/>
    <w:uiPriority w:val="99"/>
    <w:semiHidden/>
    <w:unhideWhenUsed/>
    <w:rsid w:val="00630085"/>
    <w:rPr>
      <w:sz w:val="16"/>
      <w:szCs w:val="16"/>
    </w:rPr>
  </w:style>
  <w:style w:type="paragraph" w:styleId="CommentText">
    <w:name w:val="annotation text"/>
    <w:basedOn w:val="Normal"/>
    <w:link w:val="CommentTextChar"/>
    <w:uiPriority w:val="99"/>
    <w:semiHidden/>
    <w:unhideWhenUsed/>
    <w:rsid w:val="00630085"/>
    <w:rPr>
      <w:sz w:val="20"/>
      <w:szCs w:val="20"/>
    </w:rPr>
  </w:style>
  <w:style w:type="character" w:customStyle="1" w:styleId="CommentTextChar">
    <w:name w:val="Comment Text Char"/>
    <w:basedOn w:val="DefaultParagraphFont"/>
    <w:link w:val="CommentText"/>
    <w:uiPriority w:val="99"/>
    <w:semiHidden/>
    <w:rsid w:val="00630085"/>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630085"/>
    <w:rPr>
      <w:b/>
      <w:bCs/>
    </w:rPr>
  </w:style>
  <w:style w:type="character" w:customStyle="1" w:styleId="CommentSubjectChar">
    <w:name w:val="Comment Subject Char"/>
    <w:basedOn w:val="CommentTextChar"/>
    <w:link w:val="CommentSubject"/>
    <w:uiPriority w:val="99"/>
    <w:semiHidden/>
    <w:rsid w:val="00630085"/>
    <w:rPr>
      <w:rFonts w:ascii="Book Antiqua" w:hAnsi="Book Antiqua"/>
      <w:b/>
      <w:bCs/>
      <w:sz w:val="20"/>
      <w:szCs w:val="20"/>
    </w:rPr>
  </w:style>
  <w:style w:type="paragraph" w:styleId="BalloonText">
    <w:name w:val="Balloon Text"/>
    <w:basedOn w:val="Normal"/>
    <w:link w:val="BalloonTextChar"/>
    <w:uiPriority w:val="99"/>
    <w:semiHidden/>
    <w:unhideWhenUsed/>
    <w:rsid w:val="00630085"/>
    <w:rPr>
      <w:rFonts w:ascii="Tahoma" w:hAnsi="Tahoma" w:cs="Tahoma"/>
      <w:sz w:val="16"/>
      <w:szCs w:val="16"/>
    </w:rPr>
  </w:style>
  <w:style w:type="character" w:customStyle="1" w:styleId="BalloonTextChar">
    <w:name w:val="Balloon Text Char"/>
    <w:basedOn w:val="DefaultParagraphFont"/>
    <w:link w:val="BalloonText"/>
    <w:uiPriority w:val="99"/>
    <w:semiHidden/>
    <w:rsid w:val="00630085"/>
    <w:rPr>
      <w:rFonts w:ascii="Tahoma" w:hAnsi="Tahoma" w:cs="Tahoma"/>
      <w:sz w:val="16"/>
      <w:szCs w:val="16"/>
    </w:rPr>
  </w:style>
  <w:style w:type="paragraph" w:styleId="ListParagraph">
    <w:name w:val="List Paragraph"/>
    <w:basedOn w:val="Normal"/>
    <w:uiPriority w:val="34"/>
    <w:qFormat/>
    <w:rsid w:val="002648A4"/>
    <w:pPr>
      <w:widowControl/>
      <w:autoSpaceDE/>
      <w:autoSpaceDN/>
      <w:adjustRightInd/>
      <w:ind w:left="720"/>
    </w:pPr>
    <w:rPr>
      <w:rFonts w:ascii="Calibri" w:eastAsiaTheme="minorHAnsi" w:hAnsi="Calibri" w:cs="Times New Roman"/>
      <w:sz w:val="22"/>
      <w:szCs w:val="22"/>
    </w:rPr>
  </w:style>
  <w:style w:type="paragraph" w:styleId="NoSpacing">
    <w:name w:val="No Spacing"/>
    <w:uiPriority w:val="1"/>
    <w:qFormat/>
    <w:rsid w:val="00A96F7E"/>
    <w:pPr>
      <w:spacing w:after="0" w:line="240" w:lineRule="auto"/>
    </w:pPr>
    <w:rPr>
      <w:rFonts w:ascii="Book Antiqua" w:eastAsiaTheme="minorHAnsi" w:hAnsi="Book Antiqua"/>
      <w:sz w:val="24"/>
      <w:szCs w:val="24"/>
    </w:rPr>
  </w:style>
  <w:style w:type="paragraph" w:styleId="FootnoteText">
    <w:name w:val="footnote text"/>
    <w:basedOn w:val="Normal"/>
    <w:link w:val="FootnoteTextChar"/>
    <w:uiPriority w:val="99"/>
    <w:semiHidden/>
    <w:unhideWhenUsed/>
    <w:rsid w:val="00FB2DC6"/>
    <w:rPr>
      <w:sz w:val="20"/>
      <w:szCs w:val="20"/>
    </w:rPr>
  </w:style>
  <w:style w:type="character" w:customStyle="1" w:styleId="FootnoteTextChar">
    <w:name w:val="Footnote Text Char"/>
    <w:basedOn w:val="DefaultParagraphFont"/>
    <w:link w:val="FootnoteText"/>
    <w:uiPriority w:val="99"/>
    <w:semiHidden/>
    <w:rsid w:val="00FB2DC6"/>
    <w:rPr>
      <w:rFonts w:ascii="Book Antiqua" w:hAnsi="Book Antiqua"/>
      <w:sz w:val="20"/>
      <w:szCs w:val="20"/>
    </w:rPr>
  </w:style>
  <w:style w:type="paragraph" w:styleId="NormalWeb">
    <w:name w:val="Normal (Web)"/>
    <w:basedOn w:val="Normal"/>
    <w:uiPriority w:val="99"/>
    <w:unhideWhenUsed/>
    <w:rsid w:val="00537AD2"/>
    <w:pPr>
      <w:widowControl/>
      <w:autoSpaceDE/>
      <w:autoSpaceDN/>
      <w:adjustRightInd/>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9169">
      <w:bodyDiv w:val="1"/>
      <w:marLeft w:val="0"/>
      <w:marRight w:val="0"/>
      <w:marTop w:val="0"/>
      <w:marBottom w:val="0"/>
      <w:divBdr>
        <w:top w:val="none" w:sz="0" w:space="0" w:color="auto"/>
        <w:left w:val="none" w:sz="0" w:space="0" w:color="auto"/>
        <w:bottom w:val="none" w:sz="0" w:space="0" w:color="auto"/>
        <w:right w:val="none" w:sz="0" w:space="0" w:color="auto"/>
      </w:divBdr>
    </w:div>
    <w:div w:id="1594120752">
      <w:bodyDiv w:val="1"/>
      <w:marLeft w:val="0"/>
      <w:marRight w:val="0"/>
      <w:marTop w:val="0"/>
      <w:marBottom w:val="0"/>
      <w:divBdr>
        <w:top w:val="none" w:sz="0" w:space="0" w:color="auto"/>
        <w:left w:val="none" w:sz="0" w:space="0" w:color="auto"/>
        <w:bottom w:val="none" w:sz="0" w:space="0" w:color="auto"/>
        <w:right w:val="none" w:sz="0" w:space="0" w:color="auto"/>
      </w:divBdr>
    </w:div>
    <w:div w:id="1623655727">
      <w:bodyDiv w:val="1"/>
      <w:marLeft w:val="0"/>
      <w:marRight w:val="0"/>
      <w:marTop w:val="0"/>
      <w:marBottom w:val="0"/>
      <w:divBdr>
        <w:top w:val="none" w:sz="0" w:space="0" w:color="auto"/>
        <w:left w:val="none" w:sz="0" w:space="0" w:color="auto"/>
        <w:bottom w:val="none" w:sz="0" w:space="0" w:color="auto"/>
        <w:right w:val="none" w:sz="0" w:space="0" w:color="auto"/>
      </w:divBdr>
    </w:div>
    <w:div w:id="1716852637">
      <w:bodyDiv w:val="1"/>
      <w:marLeft w:val="0"/>
      <w:marRight w:val="0"/>
      <w:marTop w:val="0"/>
      <w:marBottom w:val="0"/>
      <w:divBdr>
        <w:top w:val="none" w:sz="0" w:space="0" w:color="auto"/>
        <w:left w:val="none" w:sz="0" w:space="0" w:color="auto"/>
        <w:bottom w:val="none" w:sz="0" w:space="0" w:color="auto"/>
        <w:right w:val="none" w:sz="0" w:space="0" w:color="auto"/>
      </w:divBdr>
    </w:div>
    <w:div w:id="20526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AF87-598A-4388-BCF4-71EBEBD5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dgraber</dc:creator>
  <cp:lastModifiedBy>Neale, Trevor (USAWIW)</cp:lastModifiedBy>
  <cp:revision>2</cp:revision>
  <cp:lastPrinted>2017-11-29T20:46:00Z</cp:lastPrinted>
  <dcterms:created xsi:type="dcterms:W3CDTF">2018-02-13T19:42:00Z</dcterms:created>
  <dcterms:modified xsi:type="dcterms:W3CDTF">2018-02-13T19:42:00Z</dcterms:modified>
</cp:coreProperties>
</file>