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37CA4" w14:textId="77777777" w:rsidR="00BC38AE" w:rsidRPr="00BC38AE" w:rsidRDefault="00BC38AE" w:rsidP="00BC38AE">
      <w:pPr>
        <w:widowControl/>
        <w:autoSpaceDE/>
        <w:autoSpaceDN/>
        <w:adjustRightInd/>
        <w:jc w:val="center"/>
        <w:rPr>
          <w:rFonts w:ascii="Book Antiqua" w:eastAsia="Times New Roman" w:hAnsi="Book Antiqua"/>
        </w:rPr>
      </w:pPr>
      <w:bookmarkStart w:id="0" w:name="_GoBack"/>
      <w:bookmarkEnd w:id="0"/>
      <w:r w:rsidRPr="00BC38AE">
        <w:rPr>
          <w:rFonts w:ascii="Book Antiqua" w:eastAsia="Times New Roman" w:hAnsi="Book Antiqua"/>
        </w:rPr>
        <w:t>IN THE UNITED STATES DISTRICT COURT</w:t>
      </w:r>
    </w:p>
    <w:p w14:paraId="2CF17FB6" w14:textId="77777777" w:rsidR="00BC38AE" w:rsidRPr="00BC38AE" w:rsidRDefault="00BC38AE" w:rsidP="00BC38AE">
      <w:pPr>
        <w:widowControl/>
        <w:autoSpaceDE/>
        <w:autoSpaceDN/>
        <w:adjustRightInd/>
        <w:jc w:val="center"/>
        <w:rPr>
          <w:rFonts w:ascii="Book Antiqua" w:eastAsia="Times New Roman" w:hAnsi="Book Antiqua"/>
        </w:rPr>
      </w:pPr>
      <w:r w:rsidRPr="00BC38AE">
        <w:rPr>
          <w:rFonts w:ascii="Book Antiqua" w:eastAsia="Times New Roman" w:hAnsi="Book Antiqua"/>
        </w:rPr>
        <w:t>FOR THE WESTERN DISTRICT OF WISCONSIN</w:t>
      </w:r>
    </w:p>
    <w:p w14:paraId="47BD44AE" w14:textId="77777777" w:rsidR="00BC38AE" w:rsidRPr="00BC38AE" w:rsidRDefault="00BC38AE" w:rsidP="00BC38AE">
      <w:pPr>
        <w:widowControl/>
        <w:autoSpaceDE/>
        <w:autoSpaceDN/>
        <w:adjustRightInd/>
        <w:jc w:val="center"/>
        <w:rPr>
          <w:rFonts w:ascii="Book Antiqua" w:eastAsia="Times New Roman" w:hAnsi="Book Antiqu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C38AE" w:rsidRPr="00BC38AE" w14:paraId="1441C8B4" w14:textId="77777777" w:rsidTr="00771ACB">
        <w:tc>
          <w:tcPr>
            <w:tcW w:w="4788" w:type="dxa"/>
          </w:tcPr>
          <w:p w14:paraId="43009FB4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</w:p>
          <w:p w14:paraId="09FB83BA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  <w:r w:rsidRPr="00BC38AE">
              <w:rPr>
                <w:rFonts w:ascii="Book Antiqua" w:hAnsi="Book Antiqua"/>
              </w:rPr>
              <w:t>UNITED STATES OF AMERICA</w:t>
            </w:r>
          </w:p>
          <w:p w14:paraId="10F9270D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</w:p>
          <w:p w14:paraId="415BE534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  <w:r w:rsidRPr="00BC38AE">
              <w:rPr>
                <w:rFonts w:ascii="Book Antiqua" w:hAnsi="Book Antiqua"/>
              </w:rPr>
              <w:tab/>
              <w:t>v.</w:t>
            </w:r>
          </w:p>
          <w:p w14:paraId="7D74E0AA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</w:p>
          <w:p w14:paraId="07DBE5BA" w14:textId="42779732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ALEJANDRO ARIAS-PEREZ</w:t>
            </w:r>
            <w:r w:rsidRPr="00BC38AE">
              <w:rPr>
                <w:rFonts w:ascii="Book Antiqua" w:hAnsi="Book Antiqua"/>
              </w:rPr>
              <w:t>,</w:t>
            </w:r>
          </w:p>
          <w:p w14:paraId="1A08CFBD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</w:p>
          <w:p w14:paraId="5F163DDB" w14:textId="77777777" w:rsidR="00BC38AE" w:rsidRPr="00BC38AE" w:rsidRDefault="00BC38AE" w:rsidP="00BC38AE">
            <w:pPr>
              <w:widowControl/>
              <w:tabs>
                <w:tab w:val="left" w:pos="4680"/>
                <w:tab w:val="left" w:pos="5040"/>
                <w:tab w:val="left" w:pos="6480"/>
              </w:tabs>
              <w:autoSpaceDE/>
              <w:autoSpaceDN/>
              <w:adjustRightInd/>
              <w:ind w:left="2880"/>
              <w:rPr>
                <w:rFonts w:ascii="Book Antiqua" w:hAnsi="Book Antiqua"/>
              </w:rPr>
            </w:pPr>
            <w:r w:rsidRPr="00BC38AE">
              <w:rPr>
                <w:rFonts w:ascii="Book Antiqua" w:hAnsi="Book Antiqua"/>
              </w:rPr>
              <w:t>Defendant.</w:t>
            </w:r>
          </w:p>
          <w:p w14:paraId="734FDD3D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</w:tabs>
              <w:autoSpaceDE/>
              <w:autoSpaceDN/>
              <w:adjustRightInd/>
              <w:rPr>
                <w:rFonts w:ascii="Book Antiqua" w:hAnsi="Book Antiqua"/>
                <w:u w:val="single"/>
              </w:rPr>
            </w:pPr>
          </w:p>
        </w:tc>
        <w:tc>
          <w:tcPr>
            <w:tcW w:w="4788" w:type="dxa"/>
          </w:tcPr>
          <w:p w14:paraId="59E74F77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  <w:u w:val="single"/>
              </w:rPr>
            </w:pPr>
          </w:p>
          <w:p w14:paraId="19E06E10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  <w:u w:val="single"/>
              </w:rPr>
            </w:pPr>
          </w:p>
          <w:p w14:paraId="51EB0985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  <w:u w:val="single"/>
              </w:rPr>
            </w:pPr>
          </w:p>
          <w:p w14:paraId="40D90583" w14:textId="7FC94EB4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  <w:t>Case No. 17</w:t>
            </w:r>
            <w:r w:rsidRPr="00BC38AE">
              <w:rPr>
                <w:rFonts w:ascii="Book Antiqua" w:hAnsi="Book Antiqua"/>
              </w:rPr>
              <w:t>-cr-</w:t>
            </w:r>
            <w:r>
              <w:rPr>
                <w:rFonts w:ascii="Book Antiqua" w:hAnsi="Book Antiqua"/>
              </w:rPr>
              <w:t>00040</w:t>
            </w:r>
            <w:r w:rsidRPr="00BC38AE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wmc</w:t>
            </w:r>
          </w:p>
          <w:p w14:paraId="60B55665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</w:rPr>
            </w:pPr>
          </w:p>
          <w:p w14:paraId="27C0386F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rPr>
                <w:rFonts w:ascii="Book Antiqua" w:hAnsi="Book Antiqua"/>
                <w:u w:val="single"/>
              </w:rPr>
            </w:pPr>
          </w:p>
        </w:tc>
      </w:tr>
      <w:tr w:rsidR="00BC38AE" w:rsidRPr="00BC38AE" w14:paraId="3A8EB388" w14:textId="77777777" w:rsidTr="00771ACB">
        <w:tc>
          <w:tcPr>
            <w:tcW w:w="9576" w:type="dxa"/>
            <w:gridSpan w:val="2"/>
          </w:tcPr>
          <w:p w14:paraId="3ABD54B8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jc w:val="center"/>
              <w:rPr>
                <w:rFonts w:ascii="Book Antiqua" w:hAnsi="Book Antiqua"/>
                <w:b/>
              </w:rPr>
            </w:pPr>
          </w:p>
          <w:p w14:paraId="3858B09B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</w:rPr>
            </w:pPr>
            <w:r w:rsidRPr="00BC38AE">
              <w:rPr>
                <w:rFonts w:ascii="Book Antiqua" w:hAnsi="Book Antiqua"/>
                <w:b/>
                <w:bCs/>
              </w:rPr>
              <w:t>GOVERNMENT</w:t>
            </w:r>
            <w:r w:rsidRPr="00BC38AE">
              <w:rPr>
                <w:rFonts w:ascii="Book Antiqua" w:hAnsi="Book Antiqua"/>
                <w:b/>
                <w:bCs/>
              </w:rPr>
              <w:sym w:font="WP TypographicSymbols" w:char="003D"/>
            </w:r>
            <w:r w:rsidRPr="00BC38AE">
              <w:rPr>
                <w:rFonts w:ascii="Book Antiqua" w:hAnsi="Book Antiqua"/>
                <w:b/>
                <w:bCs/>
              </w:rPr>
              <w:t xml:space="preserve">S MOTION FOR ALTERNATIVE VICTIM NOTIFICATION </w:t>
            </w:r>
          </w:p>
          <w:p w14:paraId="3D7C0113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</w:rPr>
            </w:pPr>
            <w:r w:rsidRPr="00BC38AE">
              <w:rPr>
                <w:rFonts w:ascii="Book Antiqua" w:hAnsi="Book Antiqua"/>
                <w:b/>
                <w:bCs/>
              </w:rPr>
              <w:t xml:space="preserve">UNDER 18 U.S.C. </w:t>
            </w:r>
            <w:r w:rsidRPr="00BC38AE">
              <w:rPr>
                <w:rFonts w:ascii="Book Antiqua" w:hAnsi="Book Antiqua"/>
                <w:b/>
                <w:bCs/>
              </w:rPr>
              <w:sym w:font="WP TypographicSymbols" w:char="0027"/>
            </w:r>
            <w:r w:rsidRPr="00BC38AE">
              <w:rPr>
                <w:rFonts w:ascii="Book Antiqua" w:hAnsi="Book Antiqua"/>
                <w:b/>
                <w:bCs/>
              </w:rPr>
              <w:t xml:space="preserve"> 3771(d)(2)</w:t>
            </w:r>
          </w:p>
          <w:p w14:paraId="07394167" w14:textId="77777777" w:rsidR="00BC38AE" w:rsidRPr="00BC38AE" w:rsidRDefault="00BC38AE" w:rsidP="00BC38AE">
            <w:pPr>
              <w:widowControl/>
              <w:tabs>
                <w:tab w:val="left" w:pos="1440"/>
                <w:tab w:val="left" w:pos="4680"/>
                <w:tab w:val="left" w:pos="5040"/>
                <w:tab w:val="left" w:pos="6480"/>
                <w:tab w:val="left" w:pos="9360"/>
              </w:tabs>
              <w:autoSpaceDE/>
              <w:autoSpaceDN/>
              <w:adjustRightInd/>
              <w:jc w:val="center"/>
              <w:rPr>
                <w:rFonts w:ascii="Book Antiqua" w:hAnsi="Book Antiqua"/>
                <w:b/>
              </w:rPr>
            </w:pPr>
          </w:p>
        </w:tc>
      </w:tr>
    </w:tbl>
    <w:p w14:paraId="07F24ADE" w14:textId="77777777" w:rsidR="00410019" w:rsidRPr="00F02C36" w:rsidRDefault="00410019">
      <w:pPr>
        <w:jc w:val="center"/>
        <w:rPr>
          <w:rFonts w:eastAsia="PMingLiU"/>
        </w:rPr>
      </w:pPr>
    </w:p>
    <w:p w14:paraId="07F24ADF" w14:textId="134AA465" w:rsidR="003A7D93" w:rsidRPr="00F02C36" w:rsidRDefault="00AA17D4" w:rsidP="00AA17D4">
      <w:pPr>
        <w:widowControl/>
        <w:tabs>
          <w:tab w:val="left" w:pos="720"/>
        </w:tabs>
        <w:spacing w:line="480" w:lineRule="auto"/>
        <w:rPr>
          <w:color w:val="000000"/>
        </w:rPr>
      </w:pPr>
      <w:r>
        <w:rPr>
          <w:color w:val="000000"/>
        </w:rPr>
        <w:tab/>
      </w:r>
      <w:r w:rsidR="003A7D93" w:rsidRPr="00F02C36">
        <w:rPr>
          <w:color w:val="000000"/>
        </w:rPr>
        <w:t>The United States of America</w:t>
      </w:r>
      <w:r w:rsidR="00BC38AE">
        <w:rPr>
          <w:color w:val="000000"/>
        </w:rPr>
        <w:t>, by and through its counsel, Aaron Wegner</w:t>
      </w:r>
      <w:r w:rsidR="003A7D93" w:rsidRPr="00F02C36">
        <w:rPr>
          <w:color w:val="000000"/>
        </w:rPr>
        <w:t>, hereby</w:t>
      </w:r>
    </w:p>
    <w:p w14:paraId="07F24AE0" w14:textId="77777777" w:rsidR="003A7D93" w:rsidRPr="00F02C36" w:rsidRDefault="003A7D93" w:rsidP="003A7D93">
      <w:pPr>
        <w:widowControl/>
        <w:spacing w:line="480" w:lineRule="auto"/>
        <w:rPr>
          <w:color w:val="000000"/>
        </w:rPr>
      </w:pPr>
      <w:r w:rsidRPr="00F02C36">
        <w:rPr>
          <w:color w:val="000000"/>
        </w:rPr>
        <w:t>respectfully moves this Court, pursuant to Title 18, United States Code, Section 3771(d)(2), for</w:t>
      </w:r>
    </w:p>
    <w:p w14:paraId="07F24AE1" w14:textId="77777777" w:rsidR="003A7D93" w:rsidRPr="00F02C36" w:rsidRDefault="003A7D93" w:rsidP="003A7D93">
      <w:pPr>
        <w:widowControl/>
        <w:spacing w:line="480" w:lineRule="auto"/>
        <w:rPr>
          <w:color w:val="000000"/>
        </w:rPr>
      </w:pPr>
      <w:r w:rsidRPr="00F02C36">
        <w:rPr>
          <w:color w:val="000000"/>
        </w:rPr>
        <w:t>authorization to employ the victim notification procedures described below, in lieu of those</w:t>
      </w:r>
    </w:p>
    <w:p w14:paraId="07F24AE2" w14:textId="77777777" w:rsidR="003A7D93" w:rsidRPr="00F02C36" w:rsidRDefault="003A7D93" w:rsidP="003A7D93">
      <w:pPr>
        <w:widowControl/>
        <w:spacing w:line="480" w:lineRule="auto"/>
        <w:rPr>
          <w:color w:val="000000"/>
        </w:rPr>
      </w:pPr>
      <w:r w:rsidRPr="00F02C36">
        <w:rPr>
          <w:color w:val="000000"/>
        </w:rPr>
        <w:t>prescribed by section 3771(a), (b) and (c), on the grounds that the number of crime victims in</w:t>
      </w:r>
    </w:p>
    <w:p w14:paraId="07F24AE3" w14:textId="77777777" w:rsidR="003A7D93" w:rsidRPr="00F02C36" w:rsidRDefault="003A7D93" w:rsidP="003A7D93">
      <w:pPr>
        <w:widowControl/>
        <w:spacing w:line="480" w:lineRule="auto"/>
        <w:rPr>
          <w:color w:val="000000"/>
        </w:rPr>
      </w:pPr>
      <w:r w:rsidRPr="00F02C36">
        <w:rPr>
          <w:color w:val="000000"/>
        </w:rPr>
        <w:t>this case makes it impracticable to accord all of the crime victims the rights described in</w:t>
      </w:r>
    </w:p>
    <w:p w14:paraId="07F24AE4" w14:textId="77777777" w:rsidR="003A7D93" w:rsidRPr="00F02C36" w:rsidRDefault="003A7D93" w:rsidP="003A7D93">
      <w:pPr>
        <w:widowControl/>
        <w:spacing w:line="480" w:lineRule="auto"/>
        <w:rPr>
          <w:color w:val="000000"/>
        </w:rPr>
      </w:pPr>
      <w:r w:rsidRPr="00F02C36">
        <w:rPr>
          <w:color w:val="000000"/>
        </w:rPr>
        <w:t xml:space="preserve">subsection 3771(a). </w:t>
      </w:r>
    </w:p>
    <w:p w14:paraId="07F24AE5" w14:textId="77777777" w:rsidR="00BE35D2" w:rsidRPr="00F02C36" w:rsidRDefault="00BE35D2" w:rsidP="00BE35D2">
      <w:pPr>
        <w:spacing w:line="480" w:lineRule="auto"/>
        <w:ind w:firstLine="720"/>
        <w:rPr>
          <w:rFonts w:eastAsia="PMingLiU"/>
        </w:rPr>
      </w:pPr>
      <w:r w:rsidRPr="00F02C36">
        <w:rPr>
          <w:rFonts w:eastAsia="PMingLiU"/>
        </w:rPr>
        <w:t>The Crimes Victims’ Rights Act (“the Act”), codified at 18 U.S.C. § 3771,</w:t>
      </w:r>
    </w:p>
    <w:p w14:paraId="07F24AE6" w14:textId="4D5B8B3D" w:rsidR="00BE35D2" w:rsidRPr="00F02C36" w:rsidRDefault="00BE35D2" w:rsidP="00237421">
      <w:pPr>
        <w:spacing w:line="480" w:lineRule="auto"/>
        <w:rPr>
          <w:rFonts w:eastAsia="PMingLiU"/>
        </w:rPr>
      </w:pPr>
      <w:r w:rsidRPr="00F02C36">
        <w:rPr>
          <w:rFonts w:eastAsia="PMingLiU"/>
        </w:rPr>
        <w:t xml:space="preserve">provides certain rights to victims in federal criminal proceedings. Among these rights </w:t>
      </w:r>
      <w:r w:rsidR="00373616">
        <w:rPr>
          <w:rFonts w:eastAsia="PMingLiU"/>
        </w:rPr>
        <w:t>is</w:t>
      </w:r>
      <w:r w:rsidRPr="00F02C36">
        <w:rPr>
          <w:rFonts w:eastAsia="PMingLiU"/>
        </w:rPr>
        <w:t xml:space="preserve"> the right to “reasonable, accurate, and timely notice” of public court proceedings. 18 U.S.C. § 3771(a).</w:t>
      </w:r>
      <w:r w:rsidR="00237421">
        <w:rPr>
          <w:rFonts w:eastAsia="PMingLiU"/>
        </w:rPr>
        <w:t xml:space="preserve">  </w:t>
      </w:r>
      <w:r w:rsidRPr="00F02C36">
        <w:rPr>
          <w:rFonts w:eastAsia="PMingLiU"/>
        </w:rPr>
        <w:t xml:space="preserve"> </w:t>
      </w:r>
      <w:r w:rsidR="00237421" w:rsidRPr="00237421">
        <w:rPr>
          <w:rFonts w:eastAsia="PMingLiU"/>
        </w:rPr>
        <w:t>The Act requires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>“[o]fficers and employees of the Department of Justice and other departments and agencies of the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>United States engaged in the detection, investigation and prosecution of crime make their best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>efforts to see that crime victims are notified of, and accorded, the rights described in subsection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 xml:space="preserve">[3771](a),” 18 U.S.C. § 3771(c)(1), and it instructs the Court to “ensure </w:t>
      </w:r>
      <w:r w:rsidR="00237421" w:rsidRPr="00237421">
        <w:rPr>
          <w:rFonts w:eastAsia="PMingLiU"/>
        </w:rPr>
        <w:lastRenderedPageBreak/>
        <w:t>that the crime victim is</w:t>
      </w:r>
      <w:r w:rsidR="009B02CC">
        <w:rPr>
          <w:rFonts w:eastAsia="PMingLiU"/>
        </w:rPr>
        <w:t xml:space="preserve"> </w:t>
      </w:r>
      <w:r w:rsidR="00237421" w:rsidRPr="00237421">
        <w:rPr>
          <w:rFonts w:eastAsia="PMingLiU"/>
        </w:rPr>
        <w:t>afforded” those rights. 18 U.S.C. § 3771(b).</w:t>
      </w:r>
      <w:r w:rsidR="009B02CC">
        <w:rPr>
          <w:rFonts w:eastAsia="PMingLiU"/>
        </w:rPr>
        <w:t xml:space="preserve"> </w:t>
      </w:r>
      <w:r w:rsidRPr="00F02C36">
        <w:rPr>
          <w:rFonts w:eastAsia="PMingLiU"/>
        </w:rPr>
        <w:t xml:space="preserve">The Act defines a crime victim as “a person directly and proximately harmed as a result of the commission of a Federal offense . . .” 18 U.S.C. § 3771(e). Importantly, the Act recognizes that for crimes involving multiple victims, the Court has discretion to adopt procedures </w:t>
      </w:r>
      <w:r w:rsidR="00373616">
        <w:rPr>
          <w:rFonts w:eastAsia="PMingLiU"/>
        </w:rPr>
        <w:t>to accord victim rights without unduly interfering</w:t>
      </w:r>
      <w:r w:rsidRPr="00F02C36">
        <w:rPr>
          <w:rFonts w:eastAsia="PMingLiU"/>
        </w:rPr>
        <w:t xml:space="preserve"> with the criminal proceedings. Thus, 18 U.S.C. §3771(d)(2) provides:</w:t>
      </w:r>
    </w:p>
    <w:p w14:paraId="07F24AE7" w14:textId="77777777" w:rsidR="00BE35D2" w:rsidRPr="00F02C36" w:rsidRDefault="00AA17D4" w:rsidP="00BE35D2">
      <w:pPr>
        <w:ind w:firstLine="720"/>
        <w:rPr>
          <w:rFonts w:eastAsia="PMingLiU"/>
        </w:rPr>
      </w:pPr>
      <w:r>
        <w:rPr>
          <w:rFonts w:eastAsia="PMingLiU"/>
        </w:rPr>
        <w:t>I</w:t>
      </w:r>
      <w:r w:rsidR="00BE35D2" w:rsidRPr="00F02C36">
        <w:rPr>
          <w:rFonts w:eastAsia="PMingLiU"/>
        </w:rPr>
        <w:t>n a case where the court finds that the number of crime victims makes it</w:t>
      </w:r>
    </w:p>
    <w:p w14:paraId="07F24AE8" w14:textId="77777777" w:rsidR="00BE35D2" w:rsidRPr="00F02C36" w:rsidRDefault="00BE35D2" w:rsidP="00BE35D2">
      <w:pPr>
        <w:ind w:firstLine="720"/>
        <w:rPr>
          <w:rFonts w:eastAsia="PMingLiU"/>
        </w:rPr>
      </w:pPr>
      <w:r w:rsidRPr="00F02C36">
        <w:rPr>
          <w:rFonts w:eastAsia="PMingLiU"/>
        </w:rPr>
        <w:t>impracticable to accord all of the crime victims the rights described in subsection</w:t>
      </w:r>
    </w:p>
    <w:p w14:paraId="07F24AE9" w14:textId="77777777" w:rsidR="00BE35D2" w:rsidRPr="00F02C36" w:rsidRDefault="00BE35D2" w:rsidP="00BE35D2">
      <w:pPr>
        <w:ind w:firstLine="720"/>
        <w:rPr>
          <w:rFonts w:eastAsia="PMingLiU"/>
        </w:rPr>
      </w:pPr>
      <w:r w:rsidRPr="00F02C36">
        <w:rPr>
          <w:rFonts w:eastAsia="PMingLiU"/>
        </w:rPr>
        <w:t>(a), the court shall fashion a reasonable procedure to give effect to this chapter</w:t>
      </w:r>
    </w:p>
    <w:p w14:paraId="07F24AEA" w14:textId="77777777" w:rsidR="00BE35D2" w:rsidRPr="00F02C36" w:rsidRDefault="00BE35D2" w:rsidP="00BE35D2">
      <w:pPr>
        <w:ind w:firstLine="720"/>
        <w:rPr>
          <w:rFonts w:eastAsia="PMingLiU"/>
        </w:rPr>
      </w:pPr>
      <w:r w:rsidRPr="00F02C36">
        <w:rPr>
          <w:rFonts w:eastAsia="PMingLiU"/>
        </w:rPr>
        <w:t>that does not unduly complicate or prolong the proceedings.</w:t>
      </w:r>
    </w:p>
    <w:p w14:paraId="07F24AEB" w14:textId="77777777" w:rsidR="00237421" w:rsidRDefault="00237421" w:rsidP="00237421">
      <w:pPr>
        <w:spacing w:line="480" w:lineRule="auto"/>
        <w:rPr>
          <w:rFonts w:eastAsia="PMingLiU"/>
        </w:rPr>
      </w:pPr>
    </w:p>
    <w:p w14:paraId="07F24AEC" w14:textId="77777777" w:rsidR="00237421" w:rsidRPr="00F02C36" w:rsidRDefault="00237421" w:rsidP="00237421">
      <w:pPr>
        <w:spacing w:line="480" w:lineRule="auto"/>
        <w:rPr>
          <w:rFonts w:eastAsia="PMingLiU"/>
        </w:rPr>
      </w:pPr>
      <w:r w:rsidRPr="00237421">
        <w:rPr>
          <w:rFonts w:eastAsia="PMingLiU"/>
        </w:rPr>
        <w:t>The Act places no limitations on the alternative procedures which a</w:t>
      </w:r>
      <w:r>
        <w:rPr>
          <w:rFonts w:eastAsia="PMingLiU"/>
        </w:rPr>
        <w:t xml:space="preserve"> </w:t>
      </w:r>
      <w:r w:rsidRPr="00237421">
        <w:rPr>
          <w:rFonts w:eastAsia="PMingLiU"/>
        </w:rPr>
        <w:t>Court may fashion other than that the procedures be reasonable to effectuate the Act and that</w:t>
      </w:r>
      <w:r>
        <w:rPr>
          <w:rFonts w:eastAsia="PMingLiU"/>
        </w:rPr>
        <w:t xml:space="preserve"> </w:t>
      </w:r>
      <w:r w:rsidRPr="00237421">
        <w:rPr>
          <w:rFonts w:eastAsia="PMingLiU"/>
        </w:rPr>
        <w:t xml:space="preserve">they not unduly complicate or prolong the proceedings. </w:t>
      </w:r>
      <w:r w:rsidRPr="00237421">
        <w:rPr>
          <w:rFonts w:eastAsia="PMingLiU"/>
          <w:i/>
          <w:iCs/>
        </w:rPr>
        <w:t>Id</w:t>
      </w:r>
      <w:r w:rsidRPr="00237421">
        <w:rPr>
          <w:rFonts w:eastAsia="PMingLiU"/>
        </w:rPr>
        <w:t>.</w:t>
      </w:r>
    </w:p>
    <w:p w14:paraId="07F24AEF" w14:textId="3F914EA5" w:rsidR="00C60E9A" w:rsidRPr="00F02C36" w:rsidRDefault="00BC38AE" w:rsidP="00BC38AE">
      <w:pPr>
        <w:spacing w:line="480" w:lineRule="auto"/>
        <w:ind w:firstLine="720"/>
        <w:rPr>
          <w:rFonts w:eastAsia="PMingLiU"/>
        </w:rPr>
      </w:pPr>
      <w:r>
        <w:rPr>
          <w:rFonts w:eastAsia="PMingLiU"/>
        </w:rPr>
        <w:t xml:space="preserve">The </w:t>
      </w:r>
      <w:r w:rsidR="00752228">
        <w:rPr>
          <w:rFonts w:eastAsia="PMingLiU"/>
        </w:rPr>
        <w:t>Federal Bureau of Investigation’s (“FBI”)</w:t>
      </w:r>
      <w:r>
        <w:rPr>
          <w:rFonts w:eastAsia="PMingLiU"/>
        </w:rPr>
        <w:t xml:space="preserve"> investigation in this case shows that </w:t>
      </w:r>
      <w:r w:rsidR="00CB2DF2">
        <w:rPr>
          <w:rFonts w:eastAsia="PMingLiU"/>
        </w:rPr>
        <w:t xml:space="preserve">between August of 2016 and April of 2017, </w:t>
      </w:r>
      <w:r>
        <w:rPr>
          <w:rFonts w:eastAsia="PMingLiU"/>
        </w:rPr>
        <w:t xml:space="preserve">the defendant </w:t>
      </w:r>
      <w:r w:rsidR="00CB2DF2">
        <w:rPr>
          <w:rFonts w:eastAsia="PMingLiU"/>
        </w:rPr>
        <w:t xml:space="preserve">possessed </w:t>
      </w:r>
      <w:r>
        <w:rPr>
          <w:rFonts w:eastAsia="PMingLiU"/>
        </w:rPr>
        <w:t>approximately 57,0</w:t>
      </w:r>
      <w:r w:rsidR="00C73DEA">
        <w:rPr>
          <w:rFonts w:eastAsia="PMingLiU"/>
        </w:rPr>
        <w:t xml:space="preserve">00 stolen credit card numbers. </w:t>
      </w:r>
      <w:r w:rsidR="00CB2DF2">
        <w:rPr>
          <w:rFonts w:eastAsia="PMingLiU"/>
        </w:rPr>
        <w:t>To date, the FBI has only been able to identify one individual card holder and 12 financial institutions that were the victims of the defendant’</w:t>
      </w:r>
      <w:r w:rsidR="00C73DEA">
        <w:rPr>
          <w:rFonts w:eastAsia="PMingLiU"/>
        </w:rPr>
        <w:t xml:space="preserve">s crimes. However, given the large number of stolen credit cards at issue, there are certainly a large amount of victims (both individual and institutional) that have not yet been notified in this case. </w:t>
      </w:r>
      <w:r w:rsidR="00237421" w:rsidRPr="00237421">
        <w:rPr>
          <w:rFonts w:eastAsia="PMingLiU"/>
        </w:rPr>
        <w:t>This number of victims make compliance with the notification requirements outlined in section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>3771(a), (b) and (c) impracticable. Neither the government nor the Court has the resources to</w:t>
      </w:r>
      <w:r w:rsidR="00237421">
        <w:rPr>
          <w:rFonts w:eastAsia="PMingLiU"/>
        </w:rPr>
        <w:t xml:space="preserve"> </w:t>
      </w:r>
      <w:r w:rsidR="00237421" w:rsidRPr="00237421">
        <w:rPr>
          <w:rFonts w:eastAsia="PMingLiU"/>
        </w:rPr>
        <w:t xml:space="preserve">accord all of the victims in this case the </w:t>
      </w:r>
      <w:r w:rsidR="00237421">
        <w:rPr>
          <w:rFonts w:eastAsia="PMingLiU"/>
        </w:rPr>
        <w:t>notice required by subsection 3771(a)</w:t>
      </w:r>
      <w:r w:rsidR="009B02CC">
        <w:rPr>
          <w:rFonts w:eastAsia="PMingLiU"/>
        </w:rPr>
        <w:t xml:space="preserve">. </w:t>
      </w:r>
      <w:r w:rsidR="00237421">
        <w:rPr>
          <w:rFonts w:eastAsia="PMingLiU"/>
        </w:rPr>
        <w:t>Therefore, d</w:t>
      </w:r>
      <w:r w:rsidR="00A049C1">
        <w:rPr>
          <w:rFonts w:eastAsia="PMingLiU"/>
        </w:rPr>
        <w:t xml:space="preserve">ue to the large number of victims in this case, the Government intends to use the Justice Department’s website for large cases, </w:t>
      </w:r>
      <w:hyperlink r:id="rId9" w:history="1">
        <w:r w:rsidR="009315F1">
          <w:rPr>
            <w:rStyle w:val="Hyperlink"/>
            <w:rFonts w:eastAsia="PMingLiU"/>
          </w:rPr>
          <w:t>http://justice.gov/largecases/</w:t>
        </w:r>
      </w:hyperlink>
      <w:r w:rsidR="00024380">
        <w:rPr>
          <w:rFonts w:eastAsia="PMingLiU"/>
        </w:rPr>
        <w:t>, to direct victims to a case-specific</w:t>
      </w:r>
      <w:r w:rsidR="00A049C1">
        <w:rPr>
          <w:rFonts w:eastAsia="PMingLiU"/>
        </w:rPr>
        <w:t xml:space="preserve"> website where all required </w:t>
      </w:r>
      <w:r w:rsidR="00A049C1">
        <w:rPr>
          <w:rFonts w:eastAsia="PMingLiU"/>
        </w:rPr>
        <w:lastRenderedPageBreak/>
        <w:t xml:space="preserve">notices will be posted. The Government will issue a press release </w:t>
      </w:r>
      <w:r w:rsidR="00373616">
        <w:rPr>
          <w:rFonts w:eastAsia="PMingLiU"/>
        </w:rPr>
        <w:t>informing</w:t>
      </w:r>
      <w:r w:rsidR="00A049C1">
        <w:rPr>
          <w:rFonts w:eastAsia="PMingLiU"/>
        </w:rPr>
        <w:t xml:space="preserve"> individual</w:t>
      </w:r>
      <w:r w:rsidR="00024380">
        <w:rPr>
          <w:rFonts w:eastAsia="PMingLiU"/>
        </w:rPr>
        <w:t>s</w:t>
      </w:r>
      <w:r w:rsidR="00A049C1">
        <w:rPr>
          <w:rFonts w:eastAsia="PMingLiU"/>
        </w:rPr>
        <w:t xml:space="preserve"> who believe they may be victims to</w:t>
      </w:r>
      <w:r w:rsidR="00373616">
        <w:rPr>
          <w:rFonts w:eastAsia="PMingLiU"/>
        </w:rPr>
        <w:t xml:space="preserve"> access</w:t>
      </w:r>
      <w:r w:rsidR="00A049C1">
        <w:rPr>
          <w:rFonts w:eastAsia="PMingLiU"/>
        </w:rPr>
        <w:t xml:space="preserve"> the Justice Department website for more information. Victim notification at the corrections stage will be provided through the Bureau of Prisons’ website, </w:t>
      </w:r>
      <w:hyperlink r:id="rId10" w:history="1">
        <w:r w:rsidR="00A049C1" w:rsidRPr="005C2288">
          <w:rPr>
            <w:rStyle w:val="Hyperlink"/>
            <w:rFonts w:eastAsia="PMingLiU"/>
          </w:rPr>
          <w:t>www.bop.gov</w:t>
        </w:r>
      </w:hyperlink>
      <w:r w:rsidR="00A049C1">
        <w:rPr>
          <w:rFonts w:eastAsia="PMingLiU"/>
        </w:rPr>
        <w:t xml:space="preserve">. </w:t>
      </w:r>
    </w:p>
    <w:p w14:paraId="07F24AF0" w14:textId="77777777" w:rsidR="00410019" w:rsidRPr="00F02C36" w:rsidRDefault="00410019">
      <w:pPr>
        <w:spacing w:line="480" w:lineRule="auto"/>
        <w:jc w:val="center"/>
        <w:rPr>
          <w:rFonts w:eastAsia="PMingLiU"/>
        </w:rPr>
      </w:pPr>
      <w:r w:rsidRPr="00F02C36">
        <w:rPr>
          <w:rFonts w:eastAsia="PMingLiU"/>
          <w:b/>
          <w:bCs/>
        </w:rPr>
        <w:t>CONCLUSION</w:t>
      </w:r>
    </w:p>
    <w:p w14:paraId="07F24AF2" w14:textId="56DBD0FC" w:rsidR="00410019" w:rsidRPr="00F02C36" w:rsidRDefault="00410019" w:rsidP="00BC38AE">
      <w:pPr>
        <w:spacing w:line="480" w:lineRule="auto"/>
        <w:ind w:firstLine="720"/>
        <w:rPr>
          <w:rFonts w:eastAsia="PMingLiU"/>
        </w:rPr>
      </w:pPr>
      <w:r w:rsidRPr="00F02C36">
        <w:rPr>
          <w:rFonts w:eastAsia="PMingLiU"/>
        </w:rPr>
        <w:t>Based on the foregoing</w:t>
      </w:r>
      <w:r w:rsidR="00237421">
        <w:rPr>
          <w:rFonts w:eastAsia="PMingLiU"/>
        </w:rPr>
        <w:t>,</w:t>
      </w:r>
      <w:r w:rsidRPr="00F02C36">
        <w:rPr>
          <w:rFonts w:eastAsia="PMingLiU"/>
        </w:rPr>
        <w:t xml:space="preserve"> the government requests the Court grant the motion </w:t>
      </w:r>
      <w:r w:rsidR="00A049C1">
        <w:rPr>
          <w:rFonts w:eastAsia="PMingLiU"/>
        </w:rPr>
        <w:t>for alternative victim notification procedures</w:t>
      </w:r>
      <w:r w:rsidRPr="00F02C36">
        <w:rPr>
          <w:rFonts w:eastAsia="PMingLiU"/>
        </w:rPr>
        <w:t xml:space="preserve">.   </w:t>
      </w:r>
    </w:p>
    <w:p w14:paraId="62233908" w14:textId="534BE2CA" w:rsidR="00BC38AE" w:rsidRPr="00BC38AE" w:rsidRDefault="00BC38AE" w:rsidP="00BC38AE">
      <w:pPr>
        <w:keepNext/>
        <w:keepLines/>
        <w:autoSpaceDE/>
        <w:autoSpaceDN/>
        <w:adjustRightInd/>
        <w:spacing w:line="480" w:lineRule="auto"/>
        <w:ind w:firstLine="720"/>
        <w:rPr>
          <w:rFonts w:ascii="Book Antiqua" w:eastAsia="Times New Roman" w:hAnsi="Book Antiqua"/>
          <w:szCs w:val="22"/>
        </w:rPr>
      </w:pPr>
      <w:r w:rsidRPr="00BC38AE">
        <w:rPr>
          <w:rFonts w:ascii="Book Antiqua" w:eastAsia="Times New Roman" w:hAnsi="Book Antiqua"/>
          <w:szCs w:val="22"/>
        </w:rPr>
        <w:t xml:space="preserve">Dated this </w:t>
      </w:r>
      <w:r>
        <w:rPr>
          <w:rFonts w:ascii="Book Antiqua" w:eastAsia="Times New Roman" w:hAnsi="Book Antiqua"/>
          <w:szCs w:val="22"/>
          <w:u w:val="single"/>
        </w:rPr>
        <w:t>30</w:t>
      </w:r>
      <w:r w:rsidRPr="00BC38AE">
        <w:rPr>
          <w:rFonts w:ascii="Book Antiqua" w:eastAsia="Times New Roman" w:hAnsi="Book Antiqua"/>
          <w:szCs w:val="22"/>
          <w:u w:val="single"/>
        </w:rPr>
        <w:t>th</w:t>
      </w:r>
      <w:r w:rsidRPr="00BC38AE">
        <w:rPr>
          <w:rFonts w:ascii="Book Antiqua" w:eastAsia="Times New Roman" w:hAnsi="Book Antiqua"/>
          <w:szCs w:val="22"/>
        </w:rPr>
        <w:t xml:space="preserve"> day of </w:t>
      </w:r>
      <w:r>
        <w:rPr>
          <w:rFonts w:ascii="Book Antiqua" w:eastAsia="Times New Roman" w:hAnsi="Book Antiqua"/>
          <w:szCs w:val="22"/>
        </w:rPr>
        <w:t>January</w:t>
      </w:r>
      <w:r w:rsidRPr="00BC38AE">
        <w:rPr>
          <w:rFonts w:ascii="Book Antiqua" w:eastAsia="Times New Roman" w:hAnsi="Book Antiqua"/>
          <w:szCs w:val="22"/>
        </w:rPr>
        <w:t xml:space="preserve"> 201</w:t>
      </w:r>
      <w:r>
        <w:rPr>
          <w:rFonts w:ascii="Book Antiqua" w:eastAsia="Times New Roman" w:hAnsi="Book Antiqua"/>
          <w:szCs w:val="22"/>
        </w:rPr>
        <w:t>8</w:t>
      </w:r>
      <w:r w:rsidRPr="00BC38AE">
        <w:rPr>
          <w:rFonts w:ascii="Book Antiqua" w:eastAsia="Times New Roman" w:hAnsi="Book Antiqua"/>
          <w:szCs w:val="22"/>
        </w:rPr>
        <w:t>.</w:t>
      </w:r>
    </w:p>
    <w:p w14:paraId="7C4FCCD5" w14:textId="77777777" w:rsidR="00BC38AE" w:rsidRPr="00BC38AE" w:rsidRDefault="00BC38AE" w:rsidP="00BC38AE">
      <w:pPr>
        <w:keepNext/>
        <w:keepLines/>
        <w:tabs>
          <w:tab w:val="left" w:pos="4320"/>
        </w:tabs>
        <w:autoSpaceDE/>
        <w:autoSpaceDN/>
        <w:adjustRightInd/>
        <w:rPr>
          <w:rFonts w:ascii="Book Antiqua" w:eastAsia="Times New Roman" w:hAnsi="Book Antiqua"/>
          <w:szCs w:val="22"/>
        </w:rPr>
      </w:pPr>
      <w:r w:rsidRPr="00BC38AE">
        <w:rPr>
          <w:rFonts w:ascii="Book Antiqua" w:eastAsia="Times New Roman" w:hAnsi="Book Antiqua"/>
          <w:szCs w:val="22"/>
        </w:rPr>
        <w:tab/>
        <w:t>Respectfully submitted,</w:t>
      </w:r>
    </w:p>
    <w:p w14:paraId="1C71FAEC" w14:textId="77777777" w:rsidR="00BC38AE" w:rsidRPr="00BC38AE" w:rsidRDefault="00BC38AE" w:rsidP="00BC38AE">
      <w:pPr>
        <w:keepNext/>
        <w:keepLines/>
        <w:tabs>
          <w:tab w:val="left" w:pos="4320"/>
        </w:tabs>
        <w:autoSpaceDE/>
        <w:autoSpaceDN/>
        <w:adjustRightInd/>
        <w:rPr>
          <w:rFonts w:ascii="Book Antiqua" w:eastAsia="Times New Roman" w:hAnsi="Book Antiqua"/>
          <w:szCs w:val="22"/>
        </w:rPr>
      </w:pPr>
    </w:p>
    <w:p w14:paraId="5BB3E6CE" w14:textId="56CC6216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  <w:r w:rsidRPr="00BC38AE">
        <w:rPr>
          <w:rFonts w:ascii="Book Antiqua" w:eastAsia="PMingLiU" w:hAnsi="Book Antiqua"/>
          <w:szCs w:val="22"/>
        </w:rPr>
        <w:tab/>
      </w:r>
      <w:r>
        <w:rPr>
          <w:rFonts w:ascii="Book Antiqua" w:eastAsia="PMingLiU" w:hAnsi="Book Antiqua"/>
          <w:szCs w:val="22"/>
        </w:rPr>
        <w:t>SCOTT C. BLADER</w:t>
      </w:r>
    </w:p>
    <w:p w14:paraId="1FAA5A15" w14:textId="372C0065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  <w:r w:rsidRPr="00BC38AE">
        <w:rPr>
          <w:rFonts w:ascii="Book Antiqua" w:eastAsia="PMingLiU" w:hAnsi="Book Antiqua"/>
          <w:szCs w:val="22"/>
        </w:rPr>
        <w:tab/>
        <w:t>United States Attorney</w:t>
      </w:r>
    </w:p>
    <w:p w14:paraId="654EAB06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</w:p>
    <w:p w14:paraId="1603E564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  <w:r w:rsidRPr="00BC38AE">
        <w:rPr>
          <w:rFonts w:ascii="Book Antiqua" w:eastAsia="PMingLiU" w:hAnsi="Book Antiqua"/>
          <w:szCs w:val="22"/>
        </w:rPr>
        <w:tab/>
        <w:t>By:</w:t>
      </w:r>
    </w:p>
    <w:p w14:paraId="2E83E97F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</w:p>
    <w:p w14:paraId="15A18182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b/>
          <w:i/>
          <w:szCs w:val="22"/>
        </w:rPr>
      </w:pPr>
      <w:r w:rsidRPr="00BC38AE">
        <w:rPr>
          <w:rFonts w:ascii="Book Antiqua" w:eastAsia="PMingLiU" w:hAnsi="Book Antiqua"/>
          <w:szCs w:val="22"/>
        </w:rPr>
        <w:tab/>
      </w:r>
      <w:r w:rsidRPr="00BC38AE">
        <w:rPr>
          <w:rFonts w:ascii="Book Antiqua" w:eastAsia="PMingLiU" w:hAnsi="Book Antiqua"/>
          <w:i/>
          <w:szCs w:val="22"/>
          <w:u w:val="single"/>
        </w:rPr>
        <w:t xml:space="preserve">s/Aaron D. Wegner   </w:t>
      </w:r>
    </w:p>
    <w:p w14:paraId="6FF21FEE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  <w:r w:rsidRPr="00BC38AE">
        <w:rPr>
          <w:rFonts w:ascii="Book Antiqua" w:eastAsia="PMingLiU" w:hAnsi="Book Antiqua"/>
          <w:szCs w:val="22"/>
        </w:rPr>
        <w:tab/>
        <w:t>AARON D. WEGNER</w:t>
      </w:r>
    </w:p>
    <w:p w14:paraId="36BFE725" w14:textId="77777777" w:rsidR="00BC38AE" w:rsidRPr="00BC38AE" w:rsidRDefault="00BC38AE" w:rsidP="00BC38AE">
      <w:pPr>
        <w:keepNext/>
        <w:keepLines/>
        <w:widowControl/>
        <w:tabs>
          <w:tab w:val="left" w:pos="4320"/>
        </w:tabs>
        <w:autoSpaceDE/>
        <w:autoSpaceDN/>
        <w:adjustRightInd/>
        <w:rPr>
          <w:rFonts w:ascii="Book Antiqua" w:eastAsia="PMingLiU" w:hAnsi="Book Antiqua"/>
          <w:szCs w:val="22"/>
        </w:rPr>
      </w:pPr>
      <w:r w:rsidRPr="00BC38AE">
        <w:rPr>
          <w:rFonts w:ascii="Book Antiqua" w:eastAsia="PMingLiU" w:hAnsi="Book Antiqua"/>
          <w:szCs w:val="22"/>
        </w:rPr>
        <w:tab/>
        <w:t>Assistant United States Attorney</w:t>
      </w:r>
    </w:p>
    <w:p w14:paraId="07F24AF6" w14:textId="31FFA724" w:rsidR="00410019" w:rsidRPr="00F02C36" w:rsidRDefault="00410019">
      <w:pPr>
        <w:rPr>
          <w:rFonts w:eastAsia="PMingLiU"/>
        </w:rPr>
      </w:pPr>
    </w:p>
    <w:sectPr w:rsidR="00410019" w:rsidRPr="00F02C36" w:rsidSect="00410019">
      <w:footerReference w:type="default" r:id="rId11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8A67" w14:textId="77777777" w:rsidR="00B74648" w:rsidRDefault="00B74648" w:rsidP="00410019">
      <w:r>
        <w:separator/>
      </w:r>
    </w:p>
  </w:endnote>
  <w:endnote w:type="continuationSeparator" w:id="0">
    <w:p w14:paraId="6A60EDCB" w14:textId="77777777" w:rsidR="00B74648" w:rsidRDefault="00B74648" w:rsidP="004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4AFB" w14:textId="77777777" w:rsidR="00410019" w:rsidRDefault="00410019">
    <w:pPr>
      <w:spacing w:line="240" w:lineRule="exact"/>
    </w:pPr>
  </w:p>
  <w:p w14:paraId="07F24AFC" w14:textId="5643D662" w:rsidR="00410019" w:rsidRDefault="00410019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6F7A44">
      <w:rPr>
        <w:noProof/>
      </w:rPr>
      <w:t>3</w:t>
    </w:r>
    <w:r>
      <w:fldChar w:fldCharType="end"/>
    </w:r>
  </w:p>
  <w:p w14:paraId="07F24AFD" w14:textId="77777777" w:rsidR="00410019" w:rsidRDefault="00410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4D385" w14:textId="77777777" w:rsidR="00B74648" w:rsidRDefault="00B74648" w:rsidP="00410019">
      <w:r>
        <w:separator/>
      </w:r>
    </w:p>
  </w:footnote>
  <w:footnote w:type="continuationSeparator" w:id="0">
    <w:p w14:paraId="08B338E1" w14:textId="77777777" w:rsidR="00B74648" w:rsidRDefault="00B74648" w:rsidP="0041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954B535-8B2E-4A9B-8C3A-EBE3D538BAB0}"/>
  </w:docVars>
  <w:rsids>
    <w:rsidRoot w:val="00410019"/>
    <w:rsid w:val="00024380"/>
    <w:rsid w:val="0012008D"/>
    <w:rsid w:val="00237421"/>
    <w:rsid w:val="002B760C"/>
    <w:rsid w:val="00373616"/>
    <w:rsid w:val="003A7D93"/>
    <w:rsid w:val="00410019"/>
    <w:rsid w:val="006F7A44"/>
    <w:rsid w:val="0070371A"/>
    <w:rsid w:val="00752228"/>
    <w:rsid w:val="00905FE6"/>
    <w:rsid w:val="009315F1"/>
    <w:rsid w:val="009325B0"/>
    <w:rsid w:val="009B02CC"/>
    <w:rsid w:val="00A049C1"/>
    <w:rsid w:val="00AA17D4"/>
    <w:rsid w:val="00B74648"/>
    <w:rsid w:val="00BC38AE"/>
    <w:rsid w:val="00BE35D2"/>
    <w:rsid w:val="00C0093E"/>
    <w:rsid w:val="00C139FC"/>
    <w:rsid w:val="00C60E9A"/>
    <w:rsid w:val="00C73DEA"/>
    <w:rsid w:val="00CB2DF2"/>
    <w:rsid w:val="00F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24ACE"/>
  <w14:defaultImageDpi w14:val="0"/>
  <w15:docId w15:val="{CE55E94A-870B-41A2-9C54-88F2E1B3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A04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38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op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justice.gov/largec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211dde5-905d-471c-a5f0-076231918c70">Legal Arguments</Document_x0020_Type>
    <OLVP_x0020_Program xmlns="b211dde5-905d-471c-a5f0-076231918c70">15</OLVP_x0020_Program>
    <Topic xmlns="b211dde5-905d-471c-a5f0-076231918c70">5</Topic>
    <PSC xmlns="b211dde5-905d-471c-a5f0-076231918c70">false</PSC>
    <a87c57b9b4a3490a80cfed857f060d09 xmlns="b211dde5-905d-471c-a5f0-076231918c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EOUSA</TermName>
          <TermId xmlns="http://schemas.microsoft.com/office/infopath/2007/PartnerControls">e6402924-2ae3-41c8-986e-7c60a0938b98</TermId>
        </TermInfo>
      </Terms>
    </a87c57b9b4a3490a80cfed857f060d09>
    <_x003a_ xmlns="b211dde5-905d-471c-a5f0-076231918c70" xsi:nil="true"/>
    <IRS_x0020_Code_x002f_Section xmlns="b211dde5-905d-471c-a5f0-076231918c70" xsi:nil="true"/>
    <_x0035_08_x0020_Compliant xmlns="b211dde5-905d-471c-a5f0-076231918c70">false</_x0035_08_x0020_Compliant>
    <IconOverlay xmlns="http://schemas.microsoft.com/sharepoint/v4" xsi:nil="true"/>
    <IRS_x0020_SAUSA xmlns="b211dde5-905d-471c-a5f0-076231918c70">false</IRS_x0020_SAUSA>
    <Date xmlns="b211dde5-905d-471c-a5f0-076231918c70">2014-06-16T04:00:00+00:00</Date>
    <TaxCatchAll xmlns="6104b5c0-e763-400a-834b-126cfcecb5b2">
      <Value>120</Value>
    </TaxCatchAll>
    <Bankruptcy_x0020_Topics xmlns="b211dde5-905d-471c-a5f0-076231918c70" xsi:nil="true"/>
    <Archive xmlns="b211dde5-905d-471c-a5f0-076231918c70">No</Archive>
    <Bankruptcy_x0020_Sub_x0020_Topics xmlns="b211dde5-905d-471c-a5f0-076231918c70" xsi:nil="true"/>
    <ParentListItemID xmlns="b211dde5-905d-471c-a5f0-076231918c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44162131BCC4DB5DE2A5CF735F195" ma:contentTypeVersion="32" ma:contentTypeDescription="Create a new document." ma:contentTypeScope="" ma:versionID="8f8332aac04ed8422fe0f600e5884530">
  <xsd:schema xmlns:xsd="http://www.w3.org/2001/XMLSchema" xmlns:xs="http://www.w3.org/2001/XMLSchema" xmlns:p="http://schemas.microsoft.com/office/2006/metadata/properties" xmlns:ns2="b211dde5-905d-471c-a5f0-076231918c70" xmlns:ns3="6104b5c0-e763-400a-834b-126cfcecb5b2" xmlns:ns4="http://schemas.microsoft.com/sharepoint/v4" targetNamespace="http://schemas.microsoft.com/office/2006/metadata/properties" ma:root="true" ma:fieldsID="95ca2b067bc525c30c29b855f8c8f833" ns2:_="" ns3:_="" ns4:_="">
    <xsd:import namespace="b211dde5-905d-471c-a5f0-076231918c70"/>
    <xsd:import namespace="6104b5c0-e763-400a-834b-126cfcecb5b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OLVP_x0020_Program" minOccurs="0"/>
                <xsd:element ref="ns2:Document_x0020_Type" minOccurs="0"/>
                <xsd:element ref="ns2:Topic" minOccurs="0"/>
                <xsd:element ref="ns2:PSC" minOccurs="0"/>
                <xsd:element ref="ns2:a87c57b9b4a3490a80cfed857f060d09" minOccurs="0"/>
                <xsd:element ref="ns3:TaxCatchAll" minOccurs="0"/>
                <xsd:element ref="ns4:IconOverlay" minOccurs="0"/>
                <xsd:element ref="ns2:_x003a_" minOccurs="0"/>
                <xsd:element ref="ns2:IRS_x0020_SAUSA" minOccurs="0"/>
                <xsd:element ref="ns2:IRS_x0020_Code_x002f_Section" minOccurs="0"/>
                <xsd:element ref="ns2:_x0035_08_x0020_Compliant" minOccurs="0"/>
                <xsd:element ref="ns2:Archive" minOccurs="0"/>
                <xsd:element ref="ns2:Bankruptcy_x0020_Topics" minOccurs="0"/>
                <xsd:element ref="ns2:Bankruptcy_x0020_Sub_x0020_Topics" minOccurs="0"/>
                <xsd:element ref="ns2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dde5-905d-471c-a5f0-076231918c7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OLVP_x0020_Program" ma:index="9" nillable="true" ma:displayName="OLVP Program" ma:list="{4fc2fc5f-0dcc-4a58-95f3-0987e1d76d0a}" ma:internalName="OLVP_x0020_Program" ma:showField="Title">
      <xsd:simpleType>
        <xsd:restriction base="dms:Lookup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ffidavits and Declarations"/>
          <xsd:enumeration value="Complaints and Warrants"/>
          <xsd:enumeration value="Indictments and Informations"/>
          <xsd:enumeration value="Jury Instructions"/>
          <xsd:enumeration value="Insolvency Referral Forms"/>
          <xsd:enumeration value="Legal Arguments"/>
          <xsd:enumeration value="Memorandum"/>
          <xsd:enumeration value="Sentencing Memoranda"/>
          <xsd:enumeration value="Voir Dire Questions"/>
        </xsd:restriction>
      </xsd:simpleType>
    </xsd:element>
    <xsd:element name="Topic" ma:index="11" nillable="true" ma:displayName="Topic" ma:list="{94f91e84-d339-464b-b73e-08bc71c028f2}" ma:internalName="Topic" ma:showField="Title">
      <xsd:simpleType>
        <xsd:restriction base="dms:Lookup"/>
      </xsd:simpleType>
    </xsd:element>
    <xsd:element name="PSC" ma:index="12" nillable="true" ma:displayName="PSC" ma:default="0" ma:internalName="PSC">
      <xsd:simpleType>
        <xsd:restriction base="dms:Boolean"/>
      </xsd:simpleType>
    </xsd:element>
    <xsd:element name="a87c57b9b4a3490a80cfed857f060d09" ma:index="14" nillable="true" ma:taxonomy="true" ma:internalName="a87c57b9b4a3490a80cfed857f060d09" ma:taxonomyFieldName="District2" ma:displayName="District" ma:default="" ma:fieldId="{a87c57b9-b4a3-490a-80cf-ed857f060d09}" ma:sspId="c66c56f7-3721-494f-9606-ccdd7e381cd4" ma:termSetId="3279a093-b806-4201-a93d-2c42f6c345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x003a_" ma:index="17" nillable="true" ma:displayName=":" ma:description="Narcotics only" ma:format="Dropdown" ma:internalName="_x003a_">
      <xsd:simpleType>
        <xsd:restriction base="dms:Choice">
          <xsd:enumeration value="Proving Similar Chemical Structure"/>
          <xsd:enumeration value="Proving Similar Effects"/>
          <xsd:enumeration value="Resources"/>
          <xsd:enumeration value="Court Filings"/>
        </xsd:restriction>
      </xsd:simpleType>
    </xsd:element>
    <xsd:element name="IRS_x0020_SAUSA" ma:index="18" nillable="true" ma:displayName="IRS SAUSA" ma:default="0" ma:description="Check for ALL IRS SAUSA transition material." ma:internalName="IRS_x0020_SAUSA">
      <xsd:simpleType>
        <xsd:restriction base="dms:Boolean"/>
      </xsd:simpleType>
    </xsd:element>
    <xsd:element name="IRS_x0020_Code_x002f_Section" ma:index="19" nillable="true" ma:displayName="Code/Section" ma:format="Dropdown" ma:internalName="IRS_x0020_Code_x002f_Section">
      <xsd:simpleType>
        <xsd:restriction base="dms:Choice">
          <xsd:enumeration value="Chapter 7"/>
          <xsd:enumeration value="Chapter 11"/>
          <xsd:enumeration value="Chapter 12"/>
          <xsd:enumeration value="Chapter 13"/>
          <xsd:enumeration value="Section 105"/>
          <xsd:enumeration value="Section 109"/>
          <xsd:enumeration value="Section 331"/>
          <xsd:enumeration value="Section 350"/>
          <xsd:enumeration value="Section 362"/>
          <xsd:enumeration value="Section 363"/>
          <xsd:enumeration value="Section 501"/>
          <xsd:enumeration value="Section 502"/>
          <xsd:enumeration value="Section 503"/>
          <xsd:enumeration value="Section 505"/>
          <xsd:enumeration value="Section 507"/>
          <xsd:enumeration value="Section 542"/>
          <xsd:enumeration value="Section 554"/>
          <xsd:enumeration value="Rule 1016"/>
          <xsd:enumeration value="Rule 2004"/>
          <xsd:enumeration value="Rule 2017"/>
          <xsd:enumeration value="Rule 3002"/>
          <xsd:enumeration value="Rule 3003"/>
          <xsd:enumeration value="Rule 5011"/>
          <xsd:enumeration value="Rule 8001"/>
          <xsd:enumeration value="Rule 8002"/>
          <xsd:enumeration value="Rule 8005"/>
          <xsd:enumeration value="Rule 9010"/>
          <xsd:enumeration value="Rule 9011"/>
          <xsd:enumeration value="Rule 9014"/>
          <xsd:enumeration value="Rule 9018"/>
          <xsd:enumeration value="Rule 9027"/>
        </xsd:restriction>
      </xsd:simpleType>
    </xsd:element>
    <xsd:element name="_x0035_08_x0020_Compliant" ma:index="20" nillable="true" ma:displayName="508 Compliant" ma:default="0" ma:internalName="_x0035_08_x0020_Compliant">
      <xsd:simpleType>
        <xsd:restriction base="dms:Boolean"/>
      </xsd:simpleType>
    </xsd:element>
    <xsd:element name="Archive" ma:index="21" nillable="true" ma:displayName="Archive" ma:default="No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Bankruptcy_x0020_Topics" ma:index="22" nillable="true" ma:displayName="Bankruptcy Topic" ma:list="{94f91e84-d339-464b-b73e-08bc71c028f2}" ma:internalName="Bankruptcy_x0020_Topics" ma:showField="Topic">
      <xsd:simpleType>
        <xsd:restriction base="dms:Lookup"/>
      </xsd:simpleType>
    </xsd:element>
    <xsd:element name="Bankruptcy_x0020_Sub_x0020_Topics" ma:index="23" nillable="true" ma:displayName="Bankruptcy Sub Topic" ma:list="{94f91e84-d339-464b-b73e-08bc71c028f2}" ma:internalName="Bankruptcy_x0020_Sub_x0020_Topics" ma:showField="Topic_x0020_Set_x0020_2">
      <xsd:simpleType>
        <xsd:restriction base="dms:Lookup"/>
      </xsd:simpleType>
    </xsd:element>
    <xsd:element name="ParentListItemID" ma:index="25" nillable="true" ma:displayName="ParentListItemID" ma:hidden="true" ma:internalName="ParentListItem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b5c0-e763-400a-834b-126cfcecb5b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a2f98c4-cd2c-44b6-b594-306e2644447f}" ma:internalName="TaxCatchAll" ma:showField="CatchAllData" ma:web="2ea00baa-55b9-4429-b46e-7aa4d6715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C9D78-5006-4E0E-BC2E-B3367875A971}">
  <ds:schemaRefs>
    <ds:schemaRef ds:uri="http://schemas.microsoft.com/office/2006/metadata/properties"/>
    <ds:schemaRef ds:uri="http://schemas.microsoft.com/office/infopath/2007/PartnerControls"/>
    <ds:schemaRef ds:uri="b211dde5-905d-471c-a5f0-076231918c70"/>
    <ds:schemaRef ds:uri="http://schemas.microsoft.com/sharepoint/v4"/>
    <ds:schemaRef ds:uri="6104b5c0-e763-400a-834b-126cfcecb5b2"/>
  </ds:schemaRefs>
</ds:datastoreItem>
</file>

<file path=customXml/itemProps2.xml><?xml version="1.0" encoding="utf-8"?>
<ds:datastoreItem xmlns:ds="http://schemas.openxmlformats.org/officeDocument/2006/customXml" ds:itemID="{05969E8C-20D2-49FC-AF4E-778FBE934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8C854-FA0D-4986-A002-AF7B27B14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1dde5-905d-471c-a5f0-076231918c70"/>
    <ds:schemaRef ds:uri="6104b5c0-e763-400a-834b-126cfcecb5b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Alternative Victim Notification by DOJ Large Case Website (Sample)</vt:lpstr>
    </vt:vector>
  </TitlesOfParts>
  <Company>US Attorneys Office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Alternative Victim Notification by DOJ Large Case Website (Sample)</dc:title>
  <dc:creator>Manning, Katharine (USAEO)</dc:creator>
  <cp:lastModifiedBy>Neale, Trevor (USAWIW)</cp:lastModifiedBy>
  <cp:revision>2</cp:revision>
  <cp:lastPrinted>2018-01-24T18:51:00Z</cp:lastPrinted>
  <dcterms:created xsi:type="dcterms:W3CDTF">2018-02-13T19:42:00Z</dcterms:created>
  <dcterms:modified xsi:type="dcterms:W3CDTF">2018-02-13T19:42:00Z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0x01010007444162131BCC4DB5DE2A5CF735F195</vt:lpwstr>
  </property>
  <property fmtid="{D5CDD505-2E9C-101B-9397-08002B2CF9AE}" pid="3" name="District2">
    <vt:lpwstr>120;#EOUSA|e6402924-2ae3-41c8-986e-7c60a0938b98</vt:lpwstr>
  </property>
</Properties>
</file>