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E5" w:rsidRDefault="00DD5825" w:rsidP="00506916">
      <w:pPr>
        <w:pStyle w:val="TOC4"/>
      </w:pPr>
      <w:bookmarkStart w:id="0" w:name="_Toc173815316"/>
      <w:bookmarkStart w:id="1" w:name="_Toc173815351"/>
      <w:bookmarkStart w:id="2" w:name="_Toc174241279"/>
      <w:bookmarkStart w:id="3" w:name="_Toc174241319"/>
      <w:bookmarkStart w:id="4" w:name="_Toc174241380"/>
      <w:bookmarkStart w:id="5" w:name="_Toc174241715"/>
      <w:bookmarkStart w:id="6" w:name="_Toc174242211"/>
      <w:bookmarkStart w:id="7" w:name="_Toc174243059"/>
      <w:bookmarkStart w:id="8" w:name="_Toc174243175"/>
      <w:bookmarkStart w:id="9" w:name="_Toc174243281"/>
      <w:bookmarkStart w:id="10" w:name="_Toc174243360"/>
      <w:bookmarkStart w:id="11" w:name="_Toc174243438"/>
      <w:bookmarkStart w:id="12" w:name="_Toc174243472"/>
      <w:bookmarkStart w:id="13" w:name="_Toc174431085"/>
      <w:bookmarkStart w:id="14" w:name="_Toc174854343"/>
      <w:bookmarkStart w:id="15" w:name="_Toc174871643"/>
      <w:bookmarkStart w:id="16" w:name="_Toc174931506"/>
      <w:bookmarkStart w:id="17" w:name="_Toc174932813"/>
      <w:bookmarkStart w:id="18" w:name="_Toc174932893"/>
      <w:bookmarkStart w:id="19" w:name="_Toc174933216"/>
      <w:bookmarkStart w:id="20" w:name="_Toc174933343"/>
      <w:bookmarkStart w:id="21" w:name="_Toc174933521"/>
      <w:bookmarkStart w:id="22" w:name="_Toc174933544"/>
      <w:bookmarkStart w:id="23" w:name="_Toc174933682"/>
      <w:bookmarkStart w:id="24" w:name="_Toc174933838"/>
      <w:bookmarkStart w:id="25" w:name="_Toc174933867"/>
      <w:bookmarkStart w:id="26" w:name="_Toc174933904"/>
      <w:bookmarkStart w:id="27" w:name="_Toc174934088"/>
      <w:bookmarkStart w:id="28" w:name="_Toc174934130"/>
      <w:bookmarkStart w:id="29" w:name="_Toc174934174"/>
      <w:bookmarkStart w:id="30" w:name="_Toc174934195"/>
      <w:bookmarkStart w:id="31" w:name="_Toc174934220"/>
      <w:bookmarkStart w:id="32" w:name="_Toc174934250"/>
      <w:bookmarkStart w:id="33" w:name="_Toc174934499"/>
      <w:bookmarkStart w:id="34" w:name="_Toc174937693"/>
      <w:bookmarkStart w:id="35" w:name="_Toc174941769"/>
      <w:bookmarkStart w:id="36" w:name="_Toc174941941"/>
      <w:bookmarkStart w:id="37" w:name="_Toc175028338"/>
      <w:bookmarkStart w:id="38" w:name="_Toc175034751"/>
      <w:bookmarkStart w:id="39" w:name="_Toc175034947"/>
      <w:bookmarkStart w:id="40" w:name="_Toc187548551"/>
      <w:bookmarkStart w:id="41" w:name="_Toc187548948"/>
      <w:bookmarkStart w:id="42" w:name="_Toc187637989"/>
      <w:bookmarkStart w:id="43" w:name="_Toc187650224"/>
      <w:bookmarkStart w:id="44" w:name="_Toc187652520"/>
      <w:bookmarkStart w:id="45" w:name="_Toc187653539"/>
      <w:bookmarkStart w:id="46" w:name="_Toc188781685"/>
      <w:bookmarkStart w:id="47" w:name="_Toc188782047"/>
      <w:bookmarkStart w:id="48" w:name="_Toc223940893"/>
      <w:bookmarkStart w:id="49" w:name="_Toc223949218"/>
      <w:bookmarkStart w:id="50" w:name="_Toc223949336"/>
      <w:bookmarkStart w:id="51" w:name="_Toc223949447"/>
      <w:bookmarkStart w:id="52" w:name="_Toc224004958"/>
      <w:bookmarkStart w:id="53" w:name="_Toc224013707"/>
      <w:bookmarkStart w:id="54" w:name="_Toc224029486"/>
      <w:bookmarkStart w:id="55" w:name="_Toc224091605"/>
      <w:bookmarkStart w:id="56" w:name="_Toc224091624"/>
      <w:bookmarkStart w:id="57" w:name="_Toc224091756"/>
      <w:bookmarkStart w:id="58" w:name="_Toc224350828"/>
      <w:bookmarkStart w:id="59" w:name="_Toc226515290"/>
      <w:bookmarkStart w:id="60" w:name="_Toc228081174"/>
      <w:bookmarkStart w:id="61" w:name="_Toc228245724"/>
      <w:bookmarkStart w:id="62" w:name="_Toc228589036"/>
      <w:bookmarkStart w:id="63" w:name="_Toc228590563"/>
      <w:bookmarkStart w:id="64" w:name="_Toc229382306"/>
      <w:bookmarkStart w:id="65" w:name="_Toc229383596"/>
      <w:bookmarkStart w:id="66" w:name="_Toc230411312"/>
      <w:bookmarkStart w:id="67" w:name="_Toc230426032"/>
      <w:bookmarkStart w:id="68" w:name="_Toc230428265"/>
      <w:bookmarkStart w:id="69" w:name="_Toc230428345"/>
      <w:bookmarkStart w:id="70" w:name="_Toc230489406"/>
      <w:bookmarkStart w:id="71" w:name="_Toc230495267"/>
      <w:bookmarkStart w:id="72" w:name="_Toc230569774"/>
      <w:bookmarkStart w:id="73" w:name="_Toc230569973"/>
      <w:bookmarkStart w:id="74" w:name="_Toc230570306"/>
      <w:bookmarkStart w:id="75" w:name="_Toc230577116"/>
      <w:bookmarkStart w:id="76" w:name="_Toc238872641"/>
      <w:bookmarkStart w:id="77" w:name="_Toc239041125"/>
      <w:bookmarkStart w:id="78" w:name="_Toc240177096"/>
      <w:bookmarkStart w:id="79" w:name="_Toc250362654"/>
      <w:bookmarkStart w:id="80" w:name="_Toc250447746"/>
      <w:bookmarkStart w:id="81" w:name="_Toc250614232"/>
      <w:bookmarkStart w:id="82" w:name="_Toc250626521"/>
      <w:bookmarkStart w:id="83" w:name="_Toc250713793"/>
      <w:bookmarkStart w:id="84" w:name="_Toc25105647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J seal." style="width:435.4pt;height:405.5pt">
            <v:imagedata r:id="rId8" o:title="DOJ Seal #2"/>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3B05E5">
        <w:t xml:space="preserve"> </w:t>
      </w:r>
      <w:r w:rsidR="003B05E5">
        <w:tab/>
      </w:r>
    </w:p>
    <w:p w:rsidR="003B05E5" w:rsidRDefault="003B05E5">
      <w:pPr>
        <w:tabs>
          <w:tab w:val="center" w:pos="6840"/>
        </w:tabs>
      </w:pPr>
    </w:p>
    <w:p w:rsidR="003B05E5" w:rsidRDefault="00DD5825">
      <w:pPr>
        <w:tabs>
          <w:tab w:val="center" w:pos="6840"/>
        </w:tabs>
        <w:jc w:val="center"/>
      </w:pPr>
      <w:r w:rsidRPr="00DD5825">
        <w:rPr>
          <w:b/>
          <w:bCs/>
          <w:smallCaps/>
          <w:noProof/>
          <w:sz w:val="20"/>
        </w:rPr>
        <w:pict>
          <v:shapetype id="_x0000_t202" coordsize="21600,21600" o:spt="202" path="m,l,21600r21600,l21600,xe">
            <v:stroke joinstyle="miter"/>
            <v:path gradientshapeok="t" o:connecttype="rect"/>
          </v:shapetype>
          <v:shape id="_x0000_s1034" type="#_x0000_t202" style="position:absolute;left:0;text-align:left;margin-left:-46.95pt;margin-top:4.5pt;width:558pt;height:48pt;z-index:251637248" fillcolor="#0d0f39">
            <v:textbox style="mso-next-textbox:#_x0000_s1034">
              <w:txbxContent>
                <w:p w:rsidR="00145476" w:rsidRPr="00BF5DB6" w:rsidRDefault="00145476">
                  <w:pPr>
                    <w:jc w:val="center"/>
                    <w:rPr>
                      <w:color w:val="F4950A"/>
                      <w:sz w:val="72"/>
                    </w:rPr>
                  </w:pPr>
                  <w:r w:rsidRPr="00BF5DB6">
                    <w:rPr>
                      <w:color w:val="F4950A"/>
                      <w:sz w:val="72"/>
                    </w:rPr>
                    <w:t>A N T I T R U S T   D I V I S I O N</w:t>
                  </w:r>
                </w:p>
              </w:txbxContent>
            </v:textbox>
          </v:shape>
        </w:pict>
      </w:r>
    </w:p>
    <w:p w:rsidR="003B05E5" w:rsidRDefault="003B05E5">
      <w:pPr>
        <w:pStyle w:val="Header"/>
        <w:tabs>
          <w:tab w:val="clear" w:pos="4320"/>
          <w:tab w:val="clear" w:pos="8640"/>
          <w:tab w:val="center" w:pos="6840"/>
        </w:tabs>
        <w:rPr>
          <w:sz w:val="48"/>
          <w:szCs w:val="22"/>
        </w:rPr>
      </w:pPr>
      <w:r>
        <w:tab/>
      </w:r>
    </w:p>
    <w:p w:rsidR="003B05E5" w:rsidRDefault="003B05E5">
      <w:pPr>
        <w:rPr>
          <w:b/>
          <w:bCs/>
          <w:smallCaps/>
          <w:sz w:val="36"/>
        </w:rPr>
      </w:pPr>
      <w:bookmarkStart w:id="85" w:name="_Toc37996953"/>
    </w:p>
    <w:p w:rsidR="003B05E5" w:rsidRDefault="003B05E5">
      <w:pPr>
        <w:jc w:val="center"/>
        <w:rPr>
          <w:b/>
          <w:bCs/>
          <w:smallCaps/>
          <w:sz w:val="36"/>
        </w:rPr>
      </w:pPr>
    </w:p>
    <w:p w:rsidR="003B05E5" w:rsidRDefault="003B05E5">
      <w:pPr>
        <w:jc w:val="center"/>
        <w:rPr>
          <w:b/>
          <w:bCs/>
          <w:smallCaps/>
          <w:sz w:val="36"/>
        </w:rPr>
      </w:pPr>
    </w:p>
    <w:p w:rsidR="003B05E5" w:rsidRDefault="00EA6E81">
      <w:pPr>
        <w:jc w:val="center"/>
        <w:rPr>
          <w:rFonts w:ascii="Bookman Old Style" w:hAnsi="Bookman Old Style"/>
          <w:b/>
          <w:bCs/>
          <w:smallCaps/>
          <w:sz w:val="52"/>
        </w:rPr>
      </w:pPr>
      <w:r>
        <w:rPr>
          <w:rFonts w:ascii="Bookman Old Style" w:hAnsi="Bookman Old Style"/>
          <w:b/>
          <w:bCs/>
          <w:smallCaps/>
          <w:sz w:val="52"/>
        </w:rPr>
        <w:t>Congressional</w:t>
      </w:r>
      <w:r w:rsidR="003B05E5">
        <w:rPr>
          <w:rFonts w:ascii="Bookman Old Style" w:hAnsi="Bookman Old Style"/>
          <w:b/>
          <w:bCs/>
          <w:smallCaps/>
          <w:sz w:val="52"/>
        </w:rPr>
        <w:t xml:space="preserve"> Submission</w:t>
      </w:r>
      <w:bookmarkEnd w:id="85"/>
    </w:p>
    <w:p w:rsidR="003B05E5" w:rsidRDefault="003B05E5">
      <w:pPr>
        <w:jc w:val="center"/>
        <w:rPr>
          <w:rFonts w:ascii="Bookman Old Style" w:hAnsi="Bookman Old Style"/>
          <w:b/>
          <w:bCs/>
          <w:smallCaps/>
          <w:sz w:val="52"/>
        </w:rPr>
        <w:sectPr w:rsidR="003B05E5" w:rsidSect="0054642A">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code="1"/>
          <w:pgMar w:top="1008" w:right="1008" w:bottom="1008" w:left="1440" w:header="144" w:footer="432" w:gutter="0"/>
          <w:pgNumType w:start="1"/>
          <w:cols w:space="720"/>
          <w:vAlign w:val="center"/>
          <w:noEndnote/>
        </w:sectPr>
      </w:pPr>
      <w:bookmarkStart w:id="86" w:name="_Toc37996954"/>
      <w:r>
        <w:rPr>
          <w:rFonts w:ascii="Bookman Old Style" w:hAnsi="Bookman Old Style"/>
          <w:b/>
          <w:bCs/>
          <w:smallCaps/>
          <w:sz w:val="52"/>
        </w:rPr>
        <w:t>FY 20</w:t>
      </w:r>
      <w:bookmarkEnd w:id="86"/>
      <w:r>
        <w:rPr>
          <w:rFonts w:ascii="Bookman Old Style" w:hAnsi="Bookman Old Style"/>
          <w:b/>
          <w:bCs/>
          <w:smallCaps/>
          <w:sz w:val="52"/>
        </w:rPr>
        <w:t>1</w:t>
      </w:r>
      <w:r w:rsidR="00E935A5">
        <w:rPr>
          <w:rFonts w:ascii="Bookman Old Style" w:hAnsi="Bookman Old Style"/>
          <w:b/>
          <w:bCs/>
          <w:smallCaps/>
          <w:sz w:val="52"/>
        </w:rPr>
        <w:t>4</w:t>
      </w:r>
      <w:r>
        <w:rPr>
          <w:rFonts w:ascii="Bookman Old Style" w:hAnsi="Bookman Old Style"/>
          <w:b/>
          <w:bCs/>
          <w:smallCaps/>
          <w:sz w:val="52"/>
        </w:rPr>
        <w:t xml:space="preserve"> Performance Budget</w:t>
      </w:r>
    </w:p>
    <w:p w:rsidR="003B05E5" w:rsidRDefault="003B05E5">
      <w:pPr>
        <w:jc w:val="center"/>
        <w:rPr>
          <w:rFonts w:ascii="Bookman Old Style" w:hAnsi="Bookman Old Style"/>
          <w:b/>
          <w:bCs/>
          <w:smallCaps/>
          <w:sz w:val="52"/>
        </w:rPr>
        <w:sectPr w:rsidR="003B05E5" w:rsidSect="0054642A">
          <w:endnotePr>
            <w:numFmt w:val="decimal"/>
          </w:endnotePr>
          <w:pgSz w:w="12240" w:h="15840" w:code="1"/>
          <w:pgMar w:top="1008" w:right="1440" w:bottom="1008" w:left="1440" w:header="144" w:footer="432" w:gutter="0"/>
          <w:pgNumType w:start="1"/>
          <w:cols w:space="720"/>
          <w:vAlign w:val="center"/>
          <w:noEndnote/>
        </w:sectPr>
      </w:pPr>
    </w:p>
    <w:p w:rsidR="004C2E05" w:rsidRDefault="004C2E05">
      <w:pPr>
        <w:jc w:val="center"/>
        <w:rPr>
          <w:rFonts w:ascii="Bookman Old Style" w:hAnsi="Bookman Old Style"/>
          <w:b/>
          <w:bCs/>
          <w:sz w:val="16"/>
          <w:szCs w:val="16"/>
        </w:rPr>
      </w:pPr>
    </w:p>
    <w:p w:rsidR="00CD5E1C" w:rsidRDefault="00CD5E1C">
      <w:pPr>
        <w:jc w:val="center"/>
        <w:rPr>
          <w:rFonts w:ascii="Bookman Old Style" w:hAnsi="Bookman Old Style"/>
          <w:b/>
          <w:bCs/>
          <w:sz w:val="16"/>
          <w:szCs w:val="16"/>
        </w:rPr>
      </w:pPr>
    </w:p>
    <w:p w:rsidR="00CD5E1C" w:rsidRPr="00116CD7" w:rsidRDefault="00CD5E1C">
      <w:pPr>
        <w:jc w:val="center"/>
        <w:rPr>
          <w:rFonts w:ascii="Bookman Old Style" w:hAnsi="Bookman Old Style"/>
          <w:b/>
          <w:bCs/>
          <w:sz w:val="16"/>
          <w:szCs w:val="16"/>
        </w:rPr>
      </w:pPr>
    </w:p>
    <w:p w:rsidR="003B05E5" w:rsidRPr="0042090E" w:rsidRDefault="003B05E5">
      <w:pPr>
        <w:jc w:val="center"/>
        <w:rPr>
          <w:rFonts w:ascii="Bookman Old Style" w:hAnsi="Bookman Old Style"/>
          <w:b/>
          <w:bCs/>
          <w:sz w:val="36"/>
          <w:szCs w:val="36"/>
        </w:rPr>
      </w:pPr>
      <w:r w:rsidRPr="0042090E">
        <w:rPr>
          <w:rFonts w:ascii="Bookman Old Style" w:hAnsi="Bookman Old Style"/>
          <w:b/>
          <w:bCs/>
          <w:sz w:val="36"/>
          <w:szCs w:val="36"/>
        </w:rPr>
        <w:t>Antitrust Division</w:t>
      </w:r>
    </w:p>
    <w:p w:rsidR="003B05E5" w:rsidRPr="002225B3" w:rsidRDefault="003B05E5">
      <w:pPr>
        <w:jc w:val="center"/>
        <w:rPr>
          <w:rFonts w:ascii="Bookman Old Style" w:hAnsi="Bookman Old Style"/>
          <w:b/>
          <w:bCs/>
          <w:sz w:val="16"/>
          <w:szCs w:val="16"/>
        </w:rPr>
      </w:pPr>
    </w:p>
    <w:p w:rsidR="003B05E5" w:rsidRPr="0042090E" w:rsidRDefault="003B05E5">
      <w:pPr>
        <w:jc w:val="center"/>
        <w:rPr>
          <w:rFonts w:ascii="Bookman Old Style" w:hAnsi="Bookman Old Style"/>
          <w:b/>
          <w:bCs/>
          <w:sz w:val="32"/>
          <w:szCs w:val="32"/>
        </w:rPr>
      </w:pPr>
      <w:r w:rsidRPr="0042090E">
        <w:rPr>
          <w:rFonts w:ascii="Bookman Old Style" w:hAnsi="Bookman Old Style"/>
          <w:b/>
          <w:bCs/>
          <w:sz w:val="32"/>
          <w:szCs w:val="32"/>
        </w:rPr>
        <w:t>FY 201</w:t>
      </w:r>
      <w:r w:rsidR="005318F8">
        <w:rPr>
          <w:rFonts w:ascii="Bookman Old Style" w:hAnsi="Bookman Old Style"/>
          <w:b/>
          <w:bCs/>
          <w:sz w:val="32"/>
          <w:szCs w:val="32"/>
        </w:rPr>
        <w:t>4</w:t>
      </w:r>
      <w:r w:rsidRPr="0042090E">
        <w:rPr>
          <w:rFonts w:ascii="Bookman Old Style" w:hAnsi="Bookman Old Style"/>
          <w:b/>
          <w:bCs/>
          <w:sz w:val="32"/>
          <w:szCs w:val="32"/>
        </w:rPr>
        <w:t xml:space="preserve"> </w:t>
      </w:r>
      <w:r w:rsidR="00EA6E81">
        <w:rPr>
          <w:rFonts w:ascii="Bookman Old Style" w:hAnsi="Bookman Old Style"/>
          <w:b/>
          <w:bCs/>
          <w:sz w:val="32"/>
          <w:szCs w:val="32"/>
        </w:rPr>
        <w:t>Congressional</w:t>
      </w:r>
      <w:r w:rsidRPr="0042090E">
        <w:rPr>
          <w:rFonts w:ascii="Bookman Old Style" w:hAnsi="Bookman Old Style"/>
          <w:b/>
          <w:bCs/>
          <w:sz w:val="32"/>
          <w:szCs w:val="32"/>
        </w:rPr>
        <w:t xml:space="preserve"> Budget Submission</w:t>
      </w:r>
    </w:p>
    <w:p w:rsidR="003B05E5" w:rsidRDefault="003B05E5">
      <w:pPr>
        <w:jc w:val="center"/>
        <w:rPr>
          <w:rFonts w:ascii="Bookman Old Style" w:hAnsi="Bookman Old Style"/>
          <w:b/>
          <w:bCs/>
          <w:sz w:val="16"/>
        </w:rPr>
      </w:pPr>
    </w:p>
    <w:p w:rsidR="003B05E5" w:rsidRDefault="003B05E5">
      <w:pPr>
        <w:jc w:val="center"/>
        <w:rPr>
          <w:rFonts w:ascii="Bookman Old Style" w:hAnsi="Bookman Old Style"/>
          <w:b/>
          <w:bCs/>
          <w:sz w:val="28"/>
        </w:rPr>
      </w:pPr>
      <w:r>
        <w:rPr>
          <w:rFonts w:ascii="Bookman Old Style" w:hAnsi="Bookman Old Style"/>
          <w:b/>
          <w:bCs/>
          <w:sz w:val="28"/>
        </w:rPr>
        <w:t>Table of Contents</w:t>
      </w:r>
    </w:p>
    <w:p w:rsidR="00706ACF" w:rsidRDefault="00DD5825">
      <w:pPr>
        <w:pStyle w:val="TOC1"/>
        <w:rPr>
          <w:rFonts w:asciiTheme="minorHAnsi" w:eastAsiaTheme="minorEastAsia" w:hAnsiTheme="minorHAnsi" w:cstheme="minorBidi"/>
          <w:b w:val="0"/>
          <w:bCs w:val="0"/>
          <w:sz w:val="22"/>
          <w:szCs w:val="22"/>
        </w:rPr>
      </w:pPr>
      <w:r w:rsidRPr="00DD5825">
        <w:rPr>
          <w:caps/>
        </w:rPr>
        <w:fldChar w:fldCharType="begin"/>
      </w:r>
      <w:r w:rsidR="00886DAA">
        <w:rPr>
          <w:caps/>
        </w:rPr>
        <w:instrText xml:space="preserve"> TOC \o \h \z </w:instrText>
      </w:r>
      <w:r w:rsidRPr="00DD5825">
        <w:rPr>
          <w:caps/>
        </w:rPr>
        <w:fldChar w:fldCharType="separate"/>
      </w:r>
      <w:hyperlink w:anchor="_Toc349640460" w:history="1">
        <w:r w:rsidR="00706ACF" w:rsidRPr="00C94AA4">
          <w:rPr>
            <w:rStyle w:val="Hyperlink"/>
          </w:rPr>
          <w:t>I.  Overview</w:t>
        </w:r>
        <w:r w:rsidR="00706ACF">
          <w:rPr>
            <w:webHidden/>
          </w:rPr>
          <w:tab/>
        </w:r>
        <w:r>
          <w:rPr>
            <w:webHidden/>
          </w:rPr>
          <w:fldChar w:fldCharType="begin"/>
        </w:r>
        <w:r w:rsidR="00706ACF">
          <w:rPr>
            <w:webHidden/>
          </w:rPr>
          <w:instrText xml:space="preserve"> PAGEREF _Toc349640460 \h </w:instrText>
        </w:r>
        <w:r>
          <w:rPr>
            <w:webHidden/>
          </w:rPr>
        </w:r>
        <w:r>
          <w:rPr>
            <w:webHidden/>
          </w:rPr>
          <w:fldChar w:fldCharType="separate"/>
        </w:r>
        <w:r w:rsidR="00706ACF">
          <w:rPr>
            <w:webHidden/>
          </w:rPr>
          <w:t>2</w:t>
        </w:r>
        <w:r>
          <w:rPr>
            <w:webHidden/>
          </w:rPr>
          <w:fldChar w:fldCharType="end"/>
        </w:r>
      </w:hyperlink>
    </w:p>
    <w:p w:rsidR="00706ACF" w:rsidRDefault="00DD5825">
      <w:pPr>
        <w:pStyle w:val="TOC3"/>
        <w:rPr>
          <w:rFonts w:asciiTheme="minorHAnsi" w:eastAsiaTheme="minorEastAsia" w:hAnsiTheme="minorHAnsi" w:cstheme="minorBidi"/>
          <w:b w:val="0"/>
          <w:bCs w:val="0"/>
          <w:noProof/>
          <w:sz w:val="22"/>
          <w:szCs w:val="22"/>
        </w:rPr>
      </w:pPr>
      <w:hyperlink w:anchor="_Toc349640461" w:history="1">
        <w:r w:rsidR="00706ACF" w:rsidRPr="00C94AA4">
          <w:rPr>
            <w:rStyle w:val="Hyperlink"/>
            <w:noProof/>
          </w:rPr>
          <w:t>A.  Introduction</w:t>
        </w:r>
        <w:r w:rsidR="00706ACF">
          <w:rPr>
            <w:noProof/>
            <w:webHidden/>
          </w:rPr>
          <w:tab/>
        </w:r>
        <w:r>
          <w:rPr>
            <w:noProof/>
            <w:webHidden/>
          </w:rPr>
          <w:fldChar w:fldCharType="begin"/>
        </w:r>
        <w:r w:rsidR="00706ACF">
          <w:rPr>
            <w:noProof/>
            <w:webHidden/>
          </w:rPr>
          <w:instrText xml:space="preserve"> PAGEREF _Toc349640461 \h </w:instrText>
        </w:r>
        <w:r>
          <w:rPr>
            <w:noProof/>
            <w:webHidden/>
          </w:rPr>
        </w:r>
        <w:r>
          <w:rPr>
            <w:noProof/>
            <w:webHidden/>
          </w:rPr>
          <w:fldChar w:fldCharType="separate"/>
        </w:r>
        <w:r w:rsidR="00706ACF">
          <w:rPr>
            <w:noProof/>
            <w:webHidden/>
          </w:rPr>
          <w:t>2</w:t>
        </w:r>
        <w:r>
          <w:rPr>
            <w:noProof/>
            <w:webHidden/>
          </w:rPr>
          <w:fldChar w:fldCharType="end"/>
        </w:r>
      </w:hyperlink>
    </w:p>
    <w:p w:rsidR="00706ACF" w:rsidRDefault="00DD5825">
      <w:pPr>
        <w:pStyle w:val="TOC3"/>
        <w:rPr>
          <w:rFonts w:asciiTheme="minorHAnsi" w:eastAsiaTheme="minorEastAsia" w:hAnsiTheme="minorHAnsi" w:cstheme="minorBidi"/>
          <w:b w:val="0"/>
          <w:bCs w:val="0"/>
          <w:noProof/>
          <w:sz w:val="22"/>
          <w:szCs w:val="22"/>
        </w:rPr>
      </w:pPr>
      <w:hyperlink w:anchor="_Toc349640462" w:history="1">
        <w:r w:rsidR="00706ACF" w:rsidRPr="00C94AA4">
          <w:rPr>
            <w:rStyle w:val="Hyperlink"/>
            <w:noProof/>
          </w:rPr>
          <w:t>B.  Issues, Outcomes, and Strategies</w:t>
        </w:r>
        <w:r w:rsidR="00706ACF">
          <w:rPr>
            <w:noProof/>
            <w:webHidden/>
          </w:rPr>
          <w:tab/>
        </w:r>
        <w:r>
          <w:rPr>
            <w:noProof/>
            <w:webHidden/>
          </w:rPr>
          <w:fldChar w:fldCharType="begin"/>
        </w:r>
        <w:r w:rsidR="00706ACF">
          <w:rPr>
            <w:noProof/>
            <w:webHidden/>
          </w:rPr>
          <w:instrText xml:space="preserve"> PAGEREF _Toc349640462 \h </w:instrText>
        </w:r>
        <w:r>
          <w:rPr>
            <w:noProof/>
            <w:webHidden/>
          </w:rPr>
        </w:r>
        <w:r>
          <w:rPr>
            <w:noProof/>
            <w:webHidden/>
          </w:rPr>
          <w:fldChar w:fldCharType="separate"/>
        </w:r>
        <w:r w:rsidR="00706ACF">
          <w:rPr>
            <w:noProof/>
            <w:webHidden/>
          </w:rPr>
          <w:t>3</w:t>
        </w:r>
        <w:r>
          <w:rPr>
            <w:noProof/>
            <w:webHidden/>
          </w:rPr>
          <w:fldChar w:fldCharType="end"/>
        </w:r>
      </w:hyperlink>
    </w:p>
    <w:p w:rsidR="00706ACF" w:rsidRDefault="00DD5825">
      <w:pPr>
        <w:pStyle w:val="TOC3"/>
        <w:rPr>
          <w:rFonts w:asciiTheme="minorHAnsi" w:eastAsiaTheme="minorEastAsia" w:hAnsiTheme="minorHAnsi" w:cstheme="minorBidi"/>
          <w:b w:val="0"/>
          <w:bCs w:val="0"/>
          <w:noProof/>
          <w:sz w:val="22"/>
          <w:szCs w:val="22"/>
        </w:rPr>
      </w:pPr>
      <w:hyperlink w:anchor="_Toc349640463" w:history="1">
        <w:r w:rsidR="00706ACF" w:rsidRPr="00C94AA4">
          <w:rPr>
            <w:rStyle w:val="Hyperlink"/>
            <w:noProof/>
          </w:rPr>
          <w:t>C.  Full Program Costs</w:t>
        </w:r>
        <w:r w:rsidR="00706ACF">
          <w:rPr>
            <w:noProof/>
            <w:webHidden/>
          </w:rPr>
          <w:tab/>
        </w:r>
        <w:r>
          <w:rPr>
            <w:noProof/>
            <w:webHidden/>
          </w:rPr>
          <w:fldChar w:fldCharType="begin"/>
        </w:r>
        <w:r w:rsidR="00706ACF">
          <w:rPr>
            <w:noProof/>
            <w:webHidden/>
          </w:rPr>
          <w:instrText xml:space="preserve"> PAGEREF _Toc349640463 \h </w:instrText>
        </w:r>
        <w:r>
          <w:rPr>
            <w:noProof/>
            <w:webHidden/>
          </w:rPr>
        </w:r>
        <w:r>
          <w:rPr>
            <w:noProof/>
            <w:webHidden/>
          </w:rPr>
          <w:fldChar w:fldCharType="separate"/>
        </w:r>
        <w:r w:rsidR="00706ACF">
          <w:rPr>
            <w:noProof/>
            <w:webHidden/>
          </w:rPr>
          <w:t>15</w:t>
        </w:r>
        <w:r>
          <w:rPr>
            <w:noProof/>
            <w:webHidden/>
          </w:rPr>
          <w:fldChar w:fldCharType="end"/>
        </w:r>
      </w:hyperlink>
    </w:p>
    <w:p w:rsidR="00706ACF" w:rsidRDefault="00DD5825">
      <w:pPr>
        <w:pStyle w:val="TOC3"/>
        <w:rPr>
          <w:rFonts w:asciiTheme="minorHAnsi" w:eastAsiaTheme="minorEastAsia" w:hAnsiTheme="minorHAnsi" w:cstheme="minorBidi"/>
          <w:b w:val="0"/>
          <w:bCs w:val="0"/>
          <w:noProof/>
          <w:sz w:val="22"/>
          <w:szCs w:val="22"/>
        </w:rPr>
      </w:pPr>
      <w:hyperlink w:anchor="_Toc349640464" w:history="1">
        <w:r w:rsidR="00706ACF" w:rsidRPr="00C94AA4">
          <w:rPr>
            <w:rStyle w:val="Hyperlink"/>
            <w:noProof/>
          </w:rPr>
          <w:t>D.  Performance Challenges</w:t>
        </w:r>
        <w:r w:rsidR="00706ACF">
          <w:rPr>
            <w:noProof/>
            <w:webHidden/>
          </w:rPr>
          <w:tab/>
        </w:r>
        <w:r>
          <w:rPr>
            <w:noProof/>
            <w:webHidden/>
          </w:rPr>
          <w:fldChar w:fldCharType="begin"/>
        </w:r>
        <w:r w:rsidR="00706ACF">
          <w:rPr>
            <w:noProof/>
            <w:webHidden/>
          </w:rPr>
          <w:instrText xml:space="preserve"> PAGEREF _Toc349640464 \h </w:instrText>
        </w:r>
        <w:r>
          <w:rPr>
            <w:noProof/>
            <w:webHidden/>
          </w:rPr>
        </w:r>
        <w:r>
          <w:rPr>
            <w:noProof/>
            <w:webHidden/>
          </w:rPr>
          <w:fldChar w:fldCharType="separate"/>
        </w:r>
        <w:r w:rsidR="00706ACF">
          <w:rPr>
            <w:noProof/>
            <w:webHidden/>
          </w:rPr>
          <w:t>16</w:t>
        </w:r>
        <w:r>
          <w:rPr>
            <w:noProof/>
            <w:webHidden/>
          </w:rPr>
          <w:fldChar w:fldCharType="end"/>
        </w:r>
      </w:hyperlink>
    </w:p>
    <w:p w:rsidR="00706ACF" w:rsidRDefault="00DD5825">
      <w:pPr>
        <w:pStyle w:val="TOC1"/>
        <w:rPr>
          <w:rFonts w:asciiTheme="minorHAnsi" w:eastAsiaTheme="minorEastAsia" w:hAnsiTheme="minorHAnsi" w:cstheme="minorBidi"/>
          <w:b w:val="0"/>
          <w:bCs w:val="0"/>
          <w:sz w:val="22"/>
          <w:szCs w:val="22"/>
        </w:rPr>
      </w:pPr>
      <w:hyperlink w:anchor="_Toc349640465" w:history="1">
        <w:r w:rsidR="00706ACF" w:rsidRPr="00C94AA4">
          <w:rPr>
            <w:rStyle w:val="Hyperlink"/>
          </w:rPr>
          <w:t>I.  Summary of Program Changes</w:t>
        </w:r>
        <w:r w:rsidR="00706ACF">
          <w:rPr>
            <w:webHidden/>
          </w:rPr>
          <w:tab/>
        </w:r>
        <w:r>
          <w:rPr>
            <w:webHidden/>
          </w:rPr>
          <w:fldChar w:fldCharType="begin"/>
        </w:r>
        <w:r w:rsidR="00706ACF">
          <w:rPr>
            <w:webHidden/>
          </w:rPr>
          <w:instrText xml:space="preserve"> PAGEREF _Toc349640465 \h </w:instrText>
        </w:r>
        <w:r>
          <w:rPr>
            <w:webHidden/>
          </w:rPr>
        </w:r>
        <w:r>
          <w:rPr>
            <w:webHidden/>
          </w:rPr>
          <w:fldChar w:fldCharType="separate"/>
        </w:r>
        <w:r w:rsidR="00706ACF">
          <w:rPr>
            <w:webHidden/>
          </w:rPr>
          <w:t>17</w:t>
        </w:r>
        <w:r>
          <w:rPr>
            <w:webHidden/>
          </w:rPr>
          <w:fldChar w:fldCharType="end"/>
        </w:r>
      </w:hyperlink>
    </w:p>
    <w:p w:rsidR="00706ACF" w:rsidRDefault="00DD5825">
      <w:pPr>
        <w:pStyle w:val="TOC1"/>
        <w:rPr>
          <w:rFonts w:asciiTheme="minorHAnsi" w:eastAsiaTheme="minorEastAsia" w:hAnsiTheme="minorHAnsi" w:cstheme="minorBidi"/>
          <w:b w:val="0"/>
          <w:bCs w:val="0"/>
          <w:sz w:val="22"/>
          <w:szCs w:val="22"/>
        </w:rPr>
      </w:pPr>
      <w:hyperlink w:anchor="_Toc349640466" w:history="1">
        <w:r w:rsidR="00706ACF" w:rsidRPr="00C94AA4">
          <w:rPr>
            <w:rStyle w:val="Hyperlink"/>
          </w:rPr>
          <w:t>III.  Appropriations Language and Analysis of Appropriations Language</w:t>
        </w:r>
        <w:r w:rsidR="00706ACF">
          <w:rPr>
            <w:webHidden/>
          </w:rPr>
          <w:tab/>
        </w:r>
        <w:r>
          <w:rPr>
            <w:webHidden/>
          </w:rPr>
          <w:fldChar w:fldCharType="begin"/>
        </w:r>
        <w:r w:rsidR="00706ACF">
          <w:rPr>
            <w:webHidden/>
          </w:rPr>
          <w:instrText xml:space="preserve"> PAGEREF _Toc349640466 \h </w:instrText>
        </w:r>
        <w:r>
          <w:rPr>
            <w:webHidden/>
          </w:rPr>
        </w:r>
        <w:r>
          <w:rPr>
            <w:webHidden/>
          </w:rPr>
          <w:fldChar w:fldCharType="separate"/>
        </w:r>
        <w:r w:rsidR="00706ACF">
          <w:rPr>
            <w:webHidden/>
          </w:rPr>
          <w:t>18</w:t>
        </w:r>
        <w:r>
          <w:rPr>
            <w:webHidden/>
          </w:rPr>
          <w:fldChar w:fldCharType="end"/>
        </w:r>
      </w:hyperlink>
    </w:p>
    <w:p w:rsidR="00706ACF" w:rsidRDefault="00DD5825">
      <w:pPr>
        <w:pStyle w:val="TOC1"/>
        <w:rPr>
          <w:rFonts w:asciiTheme="minorHAnsi" w:eastAsiaTheme="minorEastAsia" w:hAnsiTheme="minorHAnsi" w:cstheme="minorBidi"/>
          <w:b w:val="0"/>
          <w:bCs w:val="0"/>
          <w:sz w:val="22"/>
          <w:szCs w:val="22"/>
        </w:rPr>
      </w:pPr>
      <w:hyperlink w:anchor="_Toc349640467" w:history="1">
        <w:r w:rsidR="00706ACF" w:rsidRPr="00C94AA4">
          <w:rPr>
            <w:rStyle w:val="Hyperlink"/>
          </w:rPr>
          <w:t>IV.  Program Activity Justification</w:t>
        </w:r>
        <w:r w:rsidR="00706ACF">
          <w:rPr>
            <w:webHidden/>
          </w:rPr>
          <w:tab/>
        </w:r>
        <w:r>
          <w:rPr>
            <w:webHidden/>
          </w:rPr>
          <w:fldChar w:fldCharType="begin"/>
        </w:r>
        <w:r w:rsidR="00706ACF">
          <w:rPr>
            <w:webHidden/>
          </w:rPr>
          <w:instrText xml:space="preserve"> PAGEREF _Toc349640467 \h </w:instrText>
        </w:r>
        <w:r>
          <w:rPr>
            <w:webHidden/>
          </w:rPr>
        </w:r>
        <w:r>
          <w:rPr>
            <w:webHidden/>
          </w:rPr>
          <w:fldChar w:fldCharType="separate"/>
        </w:r>
        <w:r w:rsidR="00706ACF">
          <w:rPr>
            <w:webHidden/>
          </w:rPr>
          <w:t>19</w:t>
        </w:r>
        <w:r>
          <w:rPr>
            <w:webHidden/>
          </w:rPr>
          <w:fldChar w:fldCharType="end"/>
        </w:r>
      </w:hyperlink>
    </w:p>
    <w:p w:rsidR="00706ACF" w:rsidRDefault="00DD5825">
      <w:pPr>
        <w:pStyle w:val="TOC3"/>
        <w:rPr>
          <w:rFonts w:asciiTheme="minorHAnsi" w:eastAsiaTheme="minorEastAsia" w:hAnsiTheme="minorHAnsi" w:cstheme="minorBidi"/>
          <w:b w:val="0"/>
          <w:bCs w:val="0"/>
          <w:noProof/>
          <w:sz w:val="22"/>
          <w:szCs w:val="22"/>
        </w:rPr>
      </w:pPr>
      <w:hyperlink w:anchor="_Toc349640468" w:history="1">
        <w:r w:rsidR="00706ACF" w:rsidRPr="00C94AA4">
          <w:rPr>
            <w:rStyle w:val="Hyperlink"/>
            <w:noProof/>
          </w:rPr>
          <w:t>A.  Decision Unit:  Antitrust</w:t>
        </w:r>
        <w:r w:rsidR="00706ACF">
          <w:rPr>
            <w:noProof/>
            <w:webHidden/>
          </w:rPr>
          <w:tab/>
        </w:r>
        <w:r>
          <w:rPr>
            <w:noProof/>
            <w:webHidden/>
          </w:rPr>
          <w:fldChar w:fldCharType="begin"/>
        </w:r>
        <w:r w:rsidR="00706ACF">
          <w:rPr>
            <w:noProof/>
            <w:webHidden/>
          </w:rPr>
          <w:instrText xml:space="preserve"> PAGEREF _Toc349640468 \h </w:instrText>
        </w:r>
        <w:r>
          <w:rPr>
            <w:noProof/>
            <w:webHidden/>
          </w:rPr>
        </w:r>
        <w:r>
          <w:rPr>
            <w:noProof/>
            <w:webHidden/>
          </w:rPr>
          <w:fldChar w:fldCharType="separate"/>
        </w:r>
        <w:r w:rsidR="00706ACF">
          <w:rPr>
            <w:noProof/>
            <w:webHidden/>
          </w:rPr>
          <w:t>19</w:t>
        </w:r>
        <w:r>
          <w:rPr>
            <w:noProof/>
            <w:webHidden/>
          </w:rPr>
          <w:fldChar w:fldCharType="end"/>
        </w:r>
      </w:hyperlink>
    </w:p>
    <w:p w:rsidR="00706ACF" w:rsidRDefault="00DD5825">
      <w:pPr>
        <w:pStyle w:val="TOC4"/>
        <w:tabs>
          <w:tab w:val="right" w:pos="9350"/>
        </w:tabs>
        <w:rPr>
          <w:rFonts w:asciiTheme="minorHAnsi" w:eastAsiaTheme="minorEastAsia" w:hAnsiTheme="minorHAnsi" w:cstheme="minorBidi"/>
          <w:b w:val="0"/>
          <w:bCs w:val="0"/>
          <w:sz w:val="22"/>
          <w:szCs w:val="22"/>
        </w:rPr>
      </w:pPr>
      <w:hyperlink w:anchor="_Toc349640469" w:history="1">
        <w:r w:rsidR="00706ACF" w:rsidRPr="00C94AA4">
          <w:rPr>
            <w:rStyle w:val="Hyperlink"/>
          </w:rPr>
          <w:t>1.  Program Description</w:t>
        </w:r>
        <w:r w:rsidR="00706ACF">
          <w:rPr>
            <w:webHidden/>
          </w:rPr>
          <w:tab/>
        </w:r>
        <w:r>
          <w:rPr>
            <w:webHidden/>
          </w:rPr>
          <w:fldChar w:fldCharType="begin"/>
        </w:r>
        <w:r w:rsidR="00706ACF">
          <w:rPr>
            <w:webHidden/>
          </w:rPr>
          <w:instrText xml:space="preserve"> PAGEREF _Toc349640469 \h </w:instrText>
        </w:r>
        <w:r>
          <w:rPr>
            <w:webHidden/>
          </w:rPr>
        </w:r>
        <w:r>
          <w:rPr>
            <w:webHidden/>
          </w:rPr>
          <w:fldChar w:fldCharType="separate"/>
        </w:r>
        <w:r w:rsidR="00706ACF">
          <w:rPr>
            <w:webHidden/>
          </w:rPr>
          <w:t>19</w:t>
        </w:r>
        <w:r>
          <w:rPr>
            <w:webHidden/>
          </w:rPr>
          <w:fldChar w:fldCharType="end"/>
        </w:r>
      </w:hyperlink>
    </w:p>
    <w:p w:rsidR="00706ACF" w:rsidRDefault="00DD5825">
      <w:pPr>
        <w:pStyle w:val="TOC4"/>
        <w:tabs>
          <w:tab w:val="right" w:pos="9350"/>
        </w:tabs>
        <w:rPr>
          <w:rFonts w:asciiTheme="minorHAnsi" w:eastAsiaTheme="minorEastAsia" w:hAnsiTheme="minorHAnsi" w:cstheme="minorBidi"/>
          <w:b w:val="0"/>
          <w:bCs w:val="0"/>
          <w:sz w:val="22"/>
          <w:szCs w:val="22"/>
        </w:rPr>
      </w:pPr>
      <w:hyperlink w:anchor="_Toc349640470" w:history="1">
        <w:r w:rsidR="00706ACF" w:rsidRPr="00C94AA4">
          <w:rPr>
            <w:rStyle w:val="Hyperlink"/>
          </w:rPr>
          <w:t>2.  Performance and Resource Tables</w:t>
        </w:r>
        <w:r w:rsidR="00706ACF">
          <w:rPr>
            <w:webHidden/>
          </w:rPr>
          <w:tab/>
        </w:r>
        <w:r>
          <w:rPr>
            <w:webHidden/>
          </w:rPr>
          <w:fldChar w:fldCharType="begin"/>
        </w:r>
        <w:r w:rsidR="00706ACF">
          <w:rPr>
            <w:webHidden/>
          </w:rPr>
          <w:instrText xml:space="preserve"> PAGEREF _Toc349640470 \h </w:instrText>
        </w:r>
        <w:r>
          <w:rPr>
            <w:webHidden/>
          </w:rPr>
        </w:r>
        <w:r>
          <w:rPr>
            <w:webHidden/>
          </w:rPr>
          <w:fldChar w:fldCharType="separate"/>
        </w:r>
        <w:r w:rsidR="00706ACF">
          <w:rPr>
            <w:webHidden/>
          </w:rPr>
          <w:t>25</w:t>
        </w:r>
        <w:r>
          <w:rPr>
            <w:webHidden/>
          </w:rPr>
          <w:fldChar w:fldCharType="end"/>
        </w:r>
      </w:hyperlink>
    </w:p>
    <w:p w:rsidR="00706ACF" w:rsidRDefault="00DD5825">
      <w:pPr>
        <w:pStyle w:val="TOC4"/>
        <w:tabs>
          <w:tab w:val="right" w:pos="9350"/>
        </w:tabs>
        <w:rPr>
          <w:rFonts w:asciiTheme="minorHAnsi" w:eastAsiaTheme="minorEastAsia" w:hAnsiTheme="minorHAnsi" w:cstheme="minorBidi"/>
          <w:b w:val="0"/>
          <w:bCs w:val="0"/>
          <w:sz w:val="22"/>
          <w:szCs w:val="22"/>
        </w:rPr>
      </w:pPr>
      <w:hyperlink w:anchor="_Toc349640471" w:history="1">
        <w:r w:rsidR="00706ACF" w:rsidRPr="00C94AA4">
          <w:rPr>
            <w:rStyle w:val="Hyperlink"/>
          </w:rPr>
          <w:t>3.  Performance Measurement Framework</w:t>
        </w:r>
        <w:r w:rsidR="00706ACF">
          <w:rPr>
            <w:webHidden/>
          </w:rPr>
          <w:tab/>
        </w:r>
        <w:r>
          <w:rPr>
            <w:webHidden/>
          </w:rPr>
          <w:fldChar w:fldCharType="begin"/>
        </w:r>
        <w:r w:rsidR="00706ACF">
          <w:rPr>
            <w:webHidden/>
          </w:rPr>
          <w:instrText xml:space="preserve"> PAGEREF _Toc349640471 \h </w:instrText>
        </w:r>
        <w:r>
          <w:rPr>
            <w:webHidden/>
          </w:rPr>
        </w:r>
        <w:r>
          <w:rPr>
            <w:webHidden/>
          </w:rPr>
          <w:fldChar w:fldCharType="separate"/>
        </w:r>
        <w:r w:rsidR="00706ACF">
          <w:rPr>
            <w:webHidden/>
          </w:rPr>
          <w:t>30</w:t>
        </w:r>
        <w:r>
          <w:rPr>
            <w:webHidden/>
          </w:rPr>
          <w:fldChar w:fldCharType="end"/>
        </w:r>
      </w:hyperlink>
    </w:p>
    <w:p w:rsidR="00706ACF" w:rsidRDefault="00DD5825">
      <w:pPr>
        <w:pStyle w:val="TOC4"/>
        <w:tabs>
          <w:tab w:val="right" w:pos="9350"/>
        </w:tabs>
        <w:rPr>
          <w:rFonts w:asciiTheme="minorHAnsi" w:eastAsiaTheme="minorEastAsia" w:hAnsiTheme="minorHAnsi" w:cstheme="minorBidi"/>
          <w:b w:val="0"/>
          <w:bCs w:val="0"/>
          <w:sz w:val="22"/>
          <w:szCs w:val="22"/>
        </w:rPr>
      </w:pPr>
      <w:hyperlink w:anchor="_Toc349640472" w:history="1">
        <w:r w:rsidR="00706ACF" w:rsidRPr="00C94AA4">
          <w:rPr>
            <w:rStyle w:val="Hyperlink"/>
          </w:rPr>
          <w:t>4.  Performance, Resources, and Strategies</w:t>
        </w:r>
        <w:r w:rsidR="00706ACF">
          <w:rPr>
            <w:webHidden/>
          </w:rPr>
          <w:tab/>
        </w:r>
        <w:r>
          <w:rPr>
            <w:webHidden/>
          </w:rPr>
          <w:fldChar w:fldCharType="begin"/>
        </w:r>
        <w:r w:rsidR="00706ACF">
          <w:rPr>
            <w:webHidden/>
          </w:rPr>
          <w:instrText xml:space="preserve"> PAGEREF _Toc349640472 \h </w:instrText>
        </w:r>
        <w:r>
          <w:rPr>
            <w:webHidden/>
          </w:rPr>
        </w:r>
        <w:r>
          <w:rPr>
            <w:webHidden/>
          </w:rPr>
          <w:fldChar w:fldCharType="separate"/>
        </w:r>
        <w:r w:rsidR="00706ACF">
          <w:rPr>
            <w:webHidden/>
          </w:rPr>
          <w:t>31</w:t>
        </w:r>
        <w:r>
          <w:rPr>
            <w:webHidden/>
          </w:rPr>
          <w:fldChar w:fldCharType="end"/>
        </w:r>
      </w:hyperlink>
    </w:p>
    <w:p w:rsidR="00706ACF" w:rsidRDefault="00DD5825">
      <w:pPr>
        <w:pStyle w:val="TOC4"/>
        <w:tabs>
          <w:tab w:val="right" w:pos="9350"/>
        </w:tabs>
        <w:rPr>
          <w:rFonts w:asciiTheme="minorHAnsi" w:eastAsiaTheme="minorEastAsia" w:hAnsiTheme="minorHAnsi" w:cstheme="minorBidi"/>
          <w:b w:val="0"/>
          <w:bCs w:val="0"/>
          <w:sz w:val="22"/>
          <w:szCs w:val="22"/>
        </w:rPr>
      </w:pPr>
      <w:hyperlink w:anchor="_Toc349640473" w:history="1">
        <w:r w:rsidR="00706ACF" w:rsidRPr="00C94AA4">
          <w:rPr>
            <w:rStyle w:val="Hyperlink"/>
          </w:rPr>
          <w:t>5.  Exemplar - Criminal</w:t>
        </w:r>
        <w:r w:rsidR="00706ACF">
          <w:rPr>
            <w:webHidden/>
          </w:rPr>
          <w:tab/>
        </w:r>
        <w:r>
          <w:rPr>
            <w:webHidden/>
          </w:rPr>
          <w:fldChar w:fldCharType="begin"/>
        </w:r>
        <w:r w:rsidR="00706ACF">
          <w:rPr>
            <w:webHidden/>
          </w:rPr>
          <w:instrText xml:space="preserve"> PAGEREF _Toc349640473 \h </w:instrText>
        </w:r>
        <w:r>
          <w:rPr>
            <w:webHidden/>
          </w:rPr>
        </w:r>
        <w:r>
          <w:rPr>
            <w:webHidden/>
          </w:rPr>
          <w:fldChar w:fldCharType="separate"/>
        </w:r>
        <w:r w:rsidR="00706ACF">
          <w:rPr>
            <w:webHidden/>
          </w:rPr>
          <w:t>36</w:t>
        </w:r>
        <w:r>
          <w:rPr>
            <w:webHidden/>
          </w:rPr>
          <w:fldChar w:fldCharType="end"/>
        </w:r>
      </w:hyperlink>
    </w:p>
    <w:p w:rsidR="00706ACF" w:rsidRDefault="00DD5825">
      <w:pPr>
        <w:pStyle w:val="TOC4"/>
        <w:tabs>
          <w:tab w:val="right" w:pos="9350"/>
        </w:tabs>
        <w:rPr>
          <w:rFonts w:asciiTheme="minorHAnsi" w:eastAsiaTheme="minorEastAsia" w:hAnsiTheme="minorHAnsi" w:cstheme="minorBidi"/>
          <w:b w:val="0"/>
          <w:bCs w:val="0"/>
          <w:sz w:val="22"/>
          <w:szCs w:val="22"/>
        </w:rPr>
      </w:pPr>
      <w:hyperlink w:anchor="_Toc349640474" w:history="1">
        <w:r w:rsidR="00706ACF" w:rsidRPr="00C94AA4">
          <w:rPr>
            <w:rStyle w:val="Hyperlink"/>
          </w:rPr>
          <w:t>6.  Exemplars – Civil</w:t>
        </w:r>
        <w:r w:rsidR="00706ACF">
          <w:rPr>
            <w:webHidden/>
          </w:rPr>
          <w:tab/>
        </w:r>
        <w:r>
          <w:rPr>
            <w:webHidden/>
          </w:rPr>
          <w:fldChar w:fldCharType="begin"/>
        </w:r>
        <w:r w:rsidR="00706ACF">
          <w:rPr>
            <w:webHidden/>
          </w:rPr>
          <w:instrText xml:space="preserve"> PAGEREF _Toc349640474 \h </w:instrText>
        </w:r>
        <w:r>
          <w:rPr>
            <w:webHidden/>
          </w:rPr>
        </w:r>
        <w:r>
          <w:rPr>
            <w:webHidden/>
          </w:rPr>
          <w:fldChar w:fldCharType="separate"/>
        </w:r>
        <w:r w:rsidR="00706ACF">
          <w:rPr>
            <w:webHidden/>
          </w:rPr>
          <w:t>41</w:t>
        </w:r>
        <w:r>
          <w:rPr>
            <w:webHidden/>
          </w:rPr>
          <w:fldChar w:fldCharType="end"/>
        </w:r>
      </w:hyperlink>
    </w:p>
    <w:p w:rsidR="00706ACF" w:rsidRDefault="00DD5825">
      <w:pPr>
        <w:pStyle w:val="TOC1"/>
        <w:rPr>
          <w:rFonts w:asciiTheme="minorHAnsi" w:eastAsiaTheme="minorEastAsia" w:hAnsiTheme="minorHAnsi" w:cstheme="minorBidi"/>
          <w:b w:val="0"/>
          <w:bCs w:val="0"/>
          <w:sz w:val="22"/>
          <w:szCs w:val="22"/>
        </w:rPr>
      </w:pPr>
      <w:hyperlink w:anchor="_Toc349640475" w:history="1">
        <w:r w:rsidR="00706ACF" w:rsidRPr="00C94AA4">
          <w:rPr>
            <w:rStyle w:val="Hyperlink"/>
          </w:rPr>
          <w:t>V.  Program Offsets by Item</w:t>
        </w:r>
        <w:r w:rsidR="00706ACF">
          <w:rPr>
            <w:webHidden/>
          </w:rPr>
          <w:tab/>
        </w:r>
        <w:r>
          <w:rPr>
            <w:webHidden/>
          </w:rPr>
          <w:fldChar w:fldCharType="begin"/>
        </w:r>
        <w:r w:rsidR="00706ACF">
          <w:rPr>
            <w:webHidden/>
          </w:rPr>
          <w:instrText xml:space="preserve"> PAGEREF _Toc349640475 \h </w:instrText>
        </w:r>
        <w:r>
          <w:rPr>
            <w:webHidden/>
          </w:rPr>
        </w:r>
        <w:r>
          <w:rPr>
            <w:webHidden/>
          </w:rPr>
          <w:fldChar w:fldCharType="separate"/>
        </w:r>
        <w:r w:rsidR="00706ACF">
          <w:rPr>
            <w:webHidden/>
          </w:rPr>
          <w:t>45</w:t>
        </w:r>
        <w:r>
          <w:rPr>
            <w:webHidden/>
          </w:rPr>
          <w:fldChar w:fldCharType="end"/>
        </w:r>
      </w:hyperlink>
    </w:p>
    <w:p w:rsidR="00706ACF" w:rsidRDefault="00DD5825">
      <w:pPr>
        <w:pStyle w:val="TOC1"/>
        <w:rPr>
          <w:rFonts w:asciiTheme="minorHAnsi" w:eastAsiaTheme="minorEastAsia" w:hAnsiTheme="minorHAnsi" w:cstheme="minorBidi"/>
          <w:b w:val="0"/>
          <w:bCs w:val="0"/>
          <w:sz w:val="22"/>
          <w:szCs w:val="22"/>
        </w:rPr>
      </w:pPr>
      <w:hyperlink w:anchor="_Toc349640476" w:history="1">
        <w:r w:rsidR="00706ACF" w:rsidRPr="00C94AA4">
          <w:rPr>
            <w:rStyle w:val="Hyperlink"/>
          </w:rPr>
          <w:t>VI.  Exhibits</w:t>
        </w:r>
        <w:r w:rsidR="00706ACF">
          <w:rPr>
            <w:webHidden/>
          </w:rPr>
          <w:tab/>
        </w:r>
        <w:r>
          <w:rPr>
            <w:webHidden/>
          </w:rPr>
          <w:fldChar w:fldCharType="begin"/>
        </w:r>
        <w:r w:rsidR="00706ACF">
          <w:rPr>
            <w:webHidden/>
          </w:rPr>
          <w:instrText xml:space="preserve"> PAGEREF _Toc349640476 \h </w:instrText>
        </w:r>
        <w:r>
          <w:rPr>
            <w:webHidden/>
          </w:rPr>
        </w:r>
        <w:r>
          <w:rPr>
            <w:webHidden/>
          </w:rPr>
          <w:fldChar w:fldCharType="separate"/>
        </w:r>
        <w:r w:rsidR="00706ACF">
          <w:rPr>
            <w:webHidden/>
          </w:rPr>
          <w:t>46</w:t>
        </w:r>
        <w:r>
          <w:rPr>
            <w:webHidden/>
          </w:rPr>
          <w:fldChar w:fldCharType="end"/>
        </w:r>
      </w:hyperlink>
    </w:p>
    <w:p w:rsidR="003B05E5" w:rsidRPr="007669BC" w:rsidRDefault="00DD5825" w:rsidP="00FF7755">
      <w:pPr>
        <w:tabs>
          <w:tab w:val="left" w:pos="540"/>
        </w:tabs>
        <w:ind w:firstLine="360"/>
        <w:rPr>
          <w:b/>
          <w:bCs/>
          <w:sz w:val="22"/>
          <w:szCs w:val="22"/>
        </w:rPr>
      </w:pPr>
      <w:r w:rsidRPr="00886DAA">
        <w:rPr>
          <w:caps/>
        </w:rPr>
        <w:fldChar w:fldCharType="end"/>
      </w:r>
      <w:r w:rsidR="004152EB" w:rsidRPr="007669BC">
        <w:rPr>
          <w:caps/>
        </w:rPr>
        <w:t xml:space="preserve">   </w:t>
      </w:r>
      <w:r w:rsidR="004152EB" w:rsidRPr="007669BC">
        <w:rPr>
          <w:b/>
          <w:bCs/>
          <w:sz w:val="22"/>
          <w:szCs w:val="22"/>
        </w:rPr>
        <w:t>A.  Antitrust Division Organization Chart</w:t>
      </w:r>
    </w:p>
    <w:p w:rsidR="003B05E5" w:rsidRPr="007669BC" w:rsidRDefault="004152EB" w:rsidP="00FF7755">
      <w:pPr>
        <w:tabs>
          <w:tab w:val="left" w:pos="540"/>
        </w:tabs>
        <w:ind w:firstLine="360"/>
        <w:rPr>
          <w:b/>
          <w:bCs/>
          <w:sz w:val="22"/>
          <w:szCs w:val="22"/>
        </w:rPr>
      </w:pPr>
      <w:r w:rsidRPr="007669BC">
        <w:rPr>
          <w:b/>
          <w:bCs/>
          <w:sz w:val="22"/>
          <w:szCs w:val="22"/>
        </w:rPr>
        <w:t xml:space="preserve">    B.  Summary of Requirements</w:t>
      </w:r>
    </w:p>
    <w:p w:rsidR="003B05E5" w:rsidRPr="00C1673B" w:rsidRDefault="004152EB" w:rsidP="00FF7755">
      <w:pPr>
        <w:tabs>
          <w:tab w:val="left" w:pos="540"/>
        </w:tabs>
        <w:ind w:firstLine="360"/>
        <w:rPr>
          <w:b/>
          <w:bCs/>
          <w:sz w:val="22"/>
          <w:szCs w:val="22"/>
        </w:rPr>
      </w:pPr>
      <w:r w:rsidRPr="007669BC">
        <w:rPr>
          <w:b/>
          <w:bCs/>
          <w:sz w:val="22"/>
          <w:szCs w:val="22"/>
        </w:rPr>
        <w:t xml:space="preserve">    C.  </w:t>
      </w:r>
      <w:r w:rsidR="001D0A84">
        <w:rPr>
          <w:b/>
          <w:bCs/>
          <w:sz w:val="22"/>
          <w:szCs w:val="22"/>
        </w:rPr>
        <w:t xml:space="preserve">FY 2014 </w:t>
      </w:r>
      <w:r w:rsidRPr="007669BC">
        <w:rPr>
          <w:b/>
          <w:bCs/>
          <w:sz w:val="22"/>
          <w:szCs w:val="22"/>
        </w:rPr>
        <w:t>Program Increases</w:t>
      </w:r>
      <w:r w:rsidR="007669BC" w:rsidRPr="007669BC">
        <w:rPr>
          <w:b/>
          <w:bCs/>
          <w:sz w:val="22"/>
          <w:szCs w:val="22"/>
        </w:rPr>
        <w:t>/Offsets</w:t>
      </w:r>
      <w:r w:rsidRPr="007669BC">
        <w:rPr>
          <w:b/>
          <w:bCs/>
          <w:sz w:val="22"/>
          <w:szCs w:val="22"/>
        </w:rPr>
        <w:t xml:space="preserve"> by Decision Unit</w:t>
      </w:r>
      <w:r w:rsidR="009B2B17">
        <w:rPr>
          <w:b/>
          <w:bCs/>
          <w:i/>
          <w:sz w:val="22"/>
          <w:szCs w:val="22"/>
        </w:rPr>
        <w:t xml:space="preserve"> </w:t>
      </w:r>
      <w:r w:rsidRPr="00C1673B">
        <w:rPr>
          <w:b/>
          <w:bCs/>
          <w:sz w:val="22"/>
          <w:szCs w:val="22"/>
        </w:rPr>
        <w:tab/>
      </w:r>
      <w:r w:rsidRPr="00C1673B">
        <w:rPr>
          <w:b/>
          <w:bCs/>
          <w:sz w:val="22"/>
          <w:szCs w:val="22"/>
        </w:rPr>
        <w:tab/>
        <w:t xml:space="preserve">          </w:t>
      </w:r>
    </w:p>
    <w:p w:rsidR="003B05E5" w:rsidRPr="007669BC" w:rsidRDefault="004152EB" w:rsidP="00FF7755">
      <w:pPr>
        <w:tabs>
          <w:tab w:val="left" w:pos="540"/>
        </w:tabs>
        <w:ind w:firstLine="360"/>
        <w:rPr>
          <w:b/>
          <w:bCs/>
          <w:sz w:val="22"/>
          <w:szCs w:val="22"/>
        </w:rPr>
      </w:pPr>
      <w:r w:rsidRPr="007669BC">
        <w:rPr>
          <w:b/>
          <w:bCs/>
          <w:sz w:val="22"/>
          <w:szCs w:val="22"/>
        </w:rPr>
        <w:t xml:space="preserve">    D.  Resources by DOJ Strategic Goal</w:t>
      </w:r>
      <w:r w:rsidR="001D0A84">
        <w:rPr>
          <w:b/>
          <w:bCs/>
          <w:sz w:val="22"/>
          <w:szCs w:val="22"/>
        </w:rPr>
        <w:t xml:space="preserve"> and Strategic </w:t>
      </w:r>
      <w:r w:rsidRPr="007669BC">
        <w:rPr>
          <w:b/>
          <w:bCs/>
          <w:sz w:val="22"/>
          <w:szCs w:val="22"/>
        </w:rPr>
        <w:t>Objective</w:t>
      </w:r>
      <w:r w:rsidR="0005013D">
        <w:rPr>
          <w:b/>
          <w:bCs/>
          <w:sz w:val="22"/>
          <w:szCs w:val="22"/>
        </w:rPr>
        <w:t xml:space="preserve"> </w:t>
      </w:r>
      <w:r w:rsidRPr="007669BC">
        <w:rPr>
          <w:b/>
          <w:bCs/>
          <w:sz w:val="22"/>
          <w:szCs w:val="22"/>
        </w:rPr>
        <w:t xml:space="preserve">    </w:t>
      </w:r>
    </w:p>
    <w:p w:rsidR="003B05E5" w:rsidRPr="007669BC" w:rsidRDefault="004152EB" w:rsidP="00FF7755">
      <w:pPr>
        <w:tabs>
          <w:tab w:val="left" w:pos="540"/>
        </w:tabs>
        <w:ind w:firstLine="360"/>
        <w:rPr>
          <w:b/>
          <w:bCs/>
          <w:sz w:val="22"/>
          <w:szCs w:val="22"/>
        </w:rPr>
      </w:pPr>
      <w:r w:rsidRPr="007669BC">
        <w:rPr>
          <w:b/>
          <w:bCs/>
          <w:sz w:val="22"/>
          <w:szCs w:val="22"/>
        </w:rPr>
        <w:t xml:space="preserve">    E.  Justification for Base Adjustments</w:t>
      </w:r>
    </w:p>
    <w:p w:rsidR="003B05E5" w:rsidRPr="007669BC" w:rsidRDefault="004152EB" w:rsidP="00FF7755">
      <w:pPr>
        <w:tabs>
          <w:tab w:val="left" w:pos="540"/>
        </w:tabs>
        <w:ind w:firstLine="360"/>
        <w:rPr>
          <w:b/>
          <w:bCs/>
          <w:sz w:val="22"/>
          <w:szCs w:val="22"/>
        </w:rPr>
      </w:pPr>
      <w:r w:rsidRPr="007669BC">
        <w:rPr>
          <w:b/>
          <w:bCs/>
          <w:sz w:val="22"/>
          <w:szCs w:val="22"/>
        </w:rPr>
        <w:t xml:space="preserve">    F.  Crosswalk of 201</w:t>
      </w:r>
      <w:r w:rsidR="0005013D">
        <w:rPr>
          <w:b/>
          <w:bCs/>
          <w:sz w:val="22"/>
          <w:szCs w:val="22"/>
        </w:rPr>
        <w:t>2</w:t>
      </w:r>
      <w:r w:rsidRPr="007669BC">
        <w:rPr>
          <w:b/>
          <w:bCs/>
          <w:sz w:val="22"/>
          <w:szCs w:val="22"/>
        </w:rPr>
        <w:t xml:space="preserve"> Availability</w:t>
      </w:r>
    </w:p>
    <w:p w:rsidR="003B05E5" w:rsidRPr="007669BC" w:rsidRDefault="004152EB" w:rsidP="00FF7755">
      <w:pPr>
        <w:tabs>
          <w:tab w:val="left" w:pos="540"/>
        </w:tabs>
        <w:ind w:firstLine="360"/>
        <w:rPr>
          <w:b/>
          <w:bCs/>
          <w:i/>
          <w:sz w:val="22"/>
          <w:szCs w:val="22"/>
        </w:rPr>
      </w:pPr>
      <w:r w:rsidRPr="007669BC">
        <w:rPr>
          <w:b/>
          <w:bCs/>
          <w:sz w:val="22"/>
          <w:szCs w:val="22"/>
        </w:rPr>
        <w:t xml:space="preserve">    G.  Crosswalk of 201</w:t>
      </w:r>
      <w:r w:rsidR="0005013D">
        <w:rPr>
          <w:b/>
          <w:bCs/>
          <w:sz w:val="22"/>
          <w:szCs w:val="22"/>
        </w:rPr>
        <w:t>3</w:t>
      </w:r>
      <w:r w:rsidRPr="007669BC">
        <w:rPr>
          <w:b/>
          <w:bCs/>
          <w:sz w:val="22"/>
          <w:szCs w:val="22"/>
        </w:rPr>
        <w:t xml:space="preserve"> Availability</w:t>
      </w:r>
      <w:r w:rsidR="0005013D">
        <w:rPr>
          <w:b/>
          <w:bCs/>
          <w:sz w:val="22"/>
          <w:szCs w:val="22"/>
        </w:rPr>
        <w:t xml:space="preserve"> </w:t>
      </w:r>
    </w:p>
    <w:p w:rsidR="003B05E5" w:rsidRPr="006F71BB" w:rsidRDefault="004152EB" w:rsidP="00FF7755">
      <w:pPr>
        <w:tabs>
          <w:tab w:val="left" w:pos="540"/>
        </w:tabs>
        <w:ind w:firstLine="360"/>
        <w:rPr>
          <w:b/>
          <w:bCs/>
          <w:sz w:val="22"/>
          <w:szCs w:val="22"/>
        </w:rPr>
      </w:pPr>
      <w:r w:rsidRPr="006F71BB">
        <w:rPr>
          <w:b/>
          <w:bCs/>
          <w:sz w:val="22"/>
          <w:szCs w:val="22"/>
        </w:rPr>
        <w:t xml:space="preserve">    H.   Summary of Reimbursable Resources</w:t>
      </w:r>
    </w:p>
    <w:p w:rsidR="003B05E5" w:rsidRPr="006F71BB" w:rsidRDefault="004152EB" w:rsidP="00FF7755">
      <w:pPr>
        <w:tabs>
          <w:tab w:val="left" w:pos="540"/>
        </w:tabs>
        <w:ind w:firstLine="360"/>
        <w:rPr>
          <w:b/>
          <w:bCs/>
          <w:sz w:val="22"/>
          <w:szCs w:val="22"/>
        </w:rPr>
      </w:pPr>
      <w:r w:rsidRPr="006F71BB">
        <w:rPr>
          <w:b/>
          <w:bCs/>
          <w:sz w:val="22"/>
          <w:szCs w:val="22"/>
        </w:rPr>
        <w:t xml:space="preserve">     I.   Detail of Permanent Positions by Category </w:t>
      </w:r>
    </w:p>
    <w:p w:rsidR="003B05E5" w:rsidRPr="006F71BB" w:rsidRDefault="004152EB" w:rsidP="00FF7755">
      <w:pPr>
        <w:tabs>
          <w:tab w:val="left" w:pos="540"/>
        </w:tabs>
        <w:ind w:firstLine="360"/>
        <w:rPr>
          <w:b/>
          <w:bCs/>
          <w:sz w:val="22"/>
          <w:szCs w:val="22"/>
        </w:rPr>
      </w:pPr>
      <w:r w:rsidRPr="006F71BB">
        <w:rPr>
          <w:b/>
          <w:bCs/>
          <w:sz w:val="22"/>
          <w:szCs w:val="22"/>
        </w:rPr>
        <w:t xml:space="preserve">     J.  Financial Analysis of Program </w:t>
      </w:r>
      <w:r w:rsidR="008634AF">
        <w:rPr>
          <w:b/>
          <w:bCs/>
          <w:sz w:val="22"/>
          <w:szCs w:val="22"/>
        </w:rPr>
        <w:t>Changes</w:t>
      </w:r>
      <w:r w:rsidRPr="006F71BB">
        <w:rPr>
          <w:b/>
          <w:bCs/>
          <w:sz w:val="22"/>
          <w:szCs w:val="22"/>
        </w:rPr>
        <w:tab/>
      </w:r>
      <w:r w:rsidRPr="006F71BB">
        <w:rPr>
          <w:b/>
          <w:bCs/>
          <w:sz w:val="22"/>
          <w:szCs w:val="22"/>
        </w:rPr>
        <w:tab/>
      </w:r>
      <w:r w:rsidRPr="006F71BB">
        <w:rPr>
          <w:b/>
          <w:bCs/>
          <w:sz w:val="22"/>
          <w:szCs w:val="22"/>
        </w:rPr>
        <w:tab/>
        <w:t xml:space="preserve"> </w:t>
      </w:r>
    </w:p>
    <w:p w:rsidR="003B05E5" w:rsidRPr="006F71BB" w:rsidRDefault="004152EB" w:rsidP="00FF7755">
      <w:pPr>
        <w:tabs>
          <w:tab w:val="left" w:pos="540"/>
        </w:tabs>
        <w:ind w:firstLine="360"/>
        <w:rPr>
          <w:b/>
          <w:bCs/>
          <w:sz w:val="22"/>
          <w:szCs w:val="22"/>
        </w:rPr>
      </w:pPr>
      <w:r w:rsidRPr="006F71BB">
        <w:rPr>
          <w:b/>
          <w:bCs/>
          <w:sz w:val="22"/>
          <w:szCs w:val="22"/>
        </w:rPr>
        <w:t xml:space="preserve">    K.  Summary of Requirements by Grade</w:t>
      </w:r>
    </w:p>
    <w:p w:rsidR="003B05E5" w:rsidRPr="006F71BB" w:rsidRDefault="004152EB" w:rsidP="00FF7755">
      <w:pPr>
        <w:tabs>
          <w:tab w:val="left" w:pos="540"/>
        </w:tabs>
        <w:ind w:firstLine="360"/>
        <w:rPr>
          <w:b/>
          <w:bCs/>
          <w:sz w:val="22"/>
          <w:szCs w:val="22"/>
        </w:rPr>
      </w:pPr>
      <w:r w:rsidRPr="006F71BB">
        <w:rPr>
          <w:b/>
          <w:bCs/>
          <w:sz w:val="22"/>
          <w:szCs w:val="22"/>
        </w:rPr>
        <w:t xml:space="preserve">    L.  Summary of Requirements by Object</w:t>
      </w:r>
      <w:r w:rsidR="006F71BB">
        <w:rPr>
          <w:b/>
          <w:bCs/>
          <w:sz w:val="22"/>
          <w:szCs w:val="22"/>
        </w:rPr>
        <w:t xml:space="preserve"> </w:t>
      </w:r>
      <w:r w:rsidRPr="006F71BB">
        <w:rPr>
          <w:b/>
          <w:bCs/>
          <w:sz w:val="22"/>
          <w:szCs w:val="22"/>
        </w:rPr>
        <w:t>Class</w:t>
      </w:r>
    </w:p>
    <w:p w:rsidR="0005013D" w:rsidRPr="000A51EF" w:rsidRDefault="004152EB" w:rsidP="00575F2D">
      <w:pPr>
        <w:tabs>
          <w:tab w:val="left" w:pos="540"/>
        </w:tabs>
        <w:ind w:firstLine="360"/>
        <w:rPr>
          <w:b/>
          <w:bCs/>
          <w:i/>
          <w:sz w:val="22"/>
          <w:szCs w:val="22"/>
        </w:rPr>
      </w:pPr>
      <w:r w:rsidRPr="006F71BB">
        <w:rPr>
          <w:b/>
          <w:bCs/>
          <w:sz w:val="22"/>
          <w:szCs w:val="22"/>
        </w:rPr>
        <w:t xml:space="preserve">    </w:t>
      </w:r>
    </w:p>
    <w:p w:rsidR="0005013D" w:rsidRPr="004F0B0E" w:rsidRDefault="0005013D" w:rsidP="008634AF">
      <w:pPr>
        <w:tabs>
          <w:tab w:val="left" w:pos="540"/>
        </w:tabs>
        <w:ind w:firstLine="360"/>
        <w:rPr>
          <w:b/>
          <w:bCs/>
          <w:i/>
          <w:sz w:val="22"/>
          <w:szCs w:val="22"/>
        </w:rPr>
      </w:pPr>
      <w:r>
        <w:rPr>
          <w:b/>
          <w:bCs/>
          <w:sz w:val="22"/>
          <w:szCs w:val="22"/>
        </w:rPr>
        <w:t xml:space="preserve"> </w:t>
      </w:r>
    </w:p>
    <w:p w:rsidR="002225B3" w:rsidRPr="0057434A" w:rsidRDefault="002225B3" w:rsidP="00401005">
      <w:pPr>
        <w:tabs>
          <w:tab w:val="left" w:pos="540"/>
        </w:tabs>
        <w:ind w:firstLine="360"/>
        <w:rPr>
          <w:b/>
          <w:bCs/>
          <w:i/>
          <w:sz w:val="22"/>
          <w:szCs w:val="22"/>
        </w:rPr>
      </w:pPr>
      <w:r w:rsidRPr="0057434A">
        <w:rPr>
          <w:b/>
          <w:bCs/>
          <w:sz w:val="22"/>
          <w:szCs w:val="22"/>
        </w:rPr>
        <w:t xml:space="preserve">  </w:t>
      </w:r>
      <w:r w:rsidR="00CD5E1C">
        <w:rPr>
          <w:b/>
          <w:bCs/>
          <w:sz w:val="22"/>
          <w:szCs w:val="22"/>
        </w:rPr>
        <w:t xml:space="preserve">  </w:t>
      </w:r>
      <w:r w:rsidR="00B22CF3" w:rsidRPr="0057434A">
        <w:rPr>
          <w:b/>
          <w:bCs/>
          <w:sz w:val="22"/>
          <w:szCs w:val="22"/>
        </w:rPr>
        <w:t xml:space="preserve"> </w:t>
      </w:r>
    </w:p>
    <w:p w:rsidR="003B05E5" w:rsidRPr="0057434A" w:rsidRDefault="00476528" w:rsidP="00FF7755">
      <w:pPr>
        <w:tabs>
          <w:tab w:val="left" w:pos="540"/>
        </w:tabs>
        <w:rPr>
          <w:sz w:val="22"/>
          <w:szCs w:val="22"/>
        </w:rPr>
        <w:sectPr w:rsidR="003B05E5" w:rsidRPr="0057434A" w:rsidSect="0054642A">
          <w:endnotePr>
            <w:numFmt w:val="decimal"/>
          </w:endnotePr>
          <w:pgSz w:w="12240" w:h="15840" w:code="1"/>
          <w:pgMar w:top="245" w:right="1440" w:bottom="245" w:left="1440" w:header="0" w:footer="0" w:gutter="0"/>
          <w:pgNumType w:start="1"/>
          <w:cols w:space="720"/>
          <w:noEndnote/>
        </w:sectPr>
      </w:pPr>
      <w:r w:rsidRPr="0057434A">
        <w:rPr>
          <w:b/>
          <w:bCs/>
          <w:sz w:val="22"/>
          <w:szCs w:val="22"/>
        </w:rPr>
        <w:t xml:space="preserve">  </w:t>
      </w:r>
      <w:bookmarkStart w:id="87" w:name="_Toc174933869"/>
      <w:bookmarkStart w:id="88" w:name="_Toc174933905"/>
      <w:bookmarkStart w:id="89" w:name="_Toc174934089"/>
      <w:bookmarkStart w:id="90" w:name="_Toc174934131"/>
      <w:bookmarkStart w:id="91" w:name="_Toc174934175"/>
      <w:bookmarkStart w:id="92" w:name="_Toc174934196"/>
      <w:bookmarkStart w:id="93" w:name="_Toc174934221"/>
      <w:bookmarkStart w:id="94" w:name="_Toc174934251"/>
      <w:bookmarkStart w:id="95" w:name="_Toc174934500"/>
      <w:bookmarkStart w:id="96" w:name="_Toc174937694"/>
      <w:bookmarkStart w:id="97" w:name="_Toc174941770"/>
      <w:bookmarkStart w:id="98" w:name="_Toc174941942"/>
      <w:bookmarkStart w:id="99" w:name="_Toc175028339"/>
      <w:bookmarkStart w:id="100" w:name="_Toc175034752"/>
      <w:bookmarkStart w:id="101" w:name="_Toc175034948"/>
      <w:bookmarkStart w:id="102" w:name="_Toc187548552"/>
      <w:bookmarkStart w:id="103" w:name="_Toc187548949"/>
      <w:bookmarkStart w:id="104" w:name="_Toc187637990"/>
      <w:bookmarkStart w:id="105" w:name="_Toc187650225"/>
      <w:bookmarkStart w:id="106" w:name="_Toc187652521"/>
      <w:bookmarkStart w:id="107" w:name="_Toc187653540"/>
    </w:p>
    <w:p w:rsidR="003B05E5" w:rsidRDefault="00DD5825" w:rsidP="00F948FA">
      <w:pPr>
        <w:pStyle w:val="TOC1"/>
      </w:pPr>
      <w:bookmarkStart w:id="108" w:name="_Toc188781686"/>
      <w:bookmarkStart w:id="109" w:name="_Toc188782048"/>
      <w:bookmarkStart w:id="110" w:name="_Toc223940894"/>
      <w:bookmarkStart w:id="111" w:name="_Toc223949219"/>
      <w:bookmarkStart w:id="112" w:name="_Toc223949337"/>
      <w:bookmarkStart w:id="113" w:name="_Toc223949448"/>
      <w:bookmarkStart w:id="114" w:name="_Toc224004959"/>
      <w:bookmarkStart w:id="115" w:name="_Toc224013708"/>
      <w:bookmarkStart w:id="116" w:name="_Toc224029487"/>
      <w:bookmarkStart w:id="117" w:name="_Toc224091606"/>
      <w:bookmarkStart w:id="118" w:name="_Toc224091625"/>
      <w:bookmarkStart w:id="119" w:name="_Toc224091757"/>
      <w:bookmarkStart w:id="120" w:name="_Toc224350829"/>
      <w:bookmarkStart w:id="121" w:name="_Toc226515291"/>
      <w:bookmarkStart w:id="122" w:name="_Toc228081175"/>
      <w:bookmarkStart w:id="123" w:name="_Toc228245725"/>
      <w:bookmarkStart w:id="124" w:name="_Toc228589037"/>
      <w:bookmarkStart w:id="125" w:name="_Toc228590564"/>
      <w:bookmarkStart w:id="126" w:name="_Toc229382307"/>
      <w:bookmarkStart w:id="127" w:name="_Toc229383597"/>
      <w:bookmarkStart w:id="128" w:name="_Toc230411313"/>
      <w:bookmarkStart w:id="129" w:name="_Toc230426033"/>
      <w:bookmarkStart w:id="130" w:name="_Toc230428266"/>
      <w:bookmarkStart w:id="131" w:name="_Toc230428346"/>
      <w:bookmarkStart w:id="132" w:name="_Toc230489407"/>
      <w:bookmarkStart w:id="133" w:name="_Toc230495268"/>
      <w:bookmarkStart w:id="134" w:name="_Toc230569775"/>
      <w:bookmarkStart w:id="135" w:name="_Toc230569974"/>
      <w:bookmarkStart w:id="136" w:name="_Toc230570307"/>
      <w:bookmarkStart w:id="137" w:name="_Toc230577117"/>
      <w:bookmarkStart w:id="138" w:name="_Toc238872642"/>
      <w:bookmarkStart w:id="139" w:name="_Toc239041126"/>
      <w:bookmarkStart w:id="140" w:name="_Toc240177097"/>
      <w:bookmarkStart w:id="141" w:name="_Toc250362655"/>
      <w:bookmarkStart w:id="142" w:name="_Toc250447747"/>
      <w:bookmarkStart w:id="143" w:name="_Toc250614233"/>
      <w:bookmarkStart w:id="144" w:name="_Toc250626522"/>
      <w:bookmarkStart w:id="145" w:name="_Toc250713794"/>
      <w:bookmarkStart w:id="146" w:name="_Toc251056476"/>
      <w:r>
        <w:pict>
          <v:shape id="_x0000_s1035" type="#_x0000_t202" style="position:absolute;margin-left:-16.95pt;margin-top:711.2pt;width:498pt;height:42pt;z-index:251638272;mso-position-vertical-relative:page" o:allowoverlap="f" filled="f" stroked="f">
            <v:textbox style="mso-next-textbox:#_x0000_s1035">
              <w:txbxContent>
                <w:p w:rsidR="00145476" w:rsidRDefault="00145476"/>
              </w:txbxContent>
            </v:textbox>
            <w10:wrap anchory="page"/>
          </v:shape>
        </w:pict>
      </w:r>
      <w:bookmarkStart w:id="147" w:name="_Toc34964046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3B05E5">
        <w:t>I.  Overview</w:t>
      </w:r>
      <w:bookmarkStart w:id="148" w:name="_Toc39306567"/>
      <w:bookmarkEnd w:id="147"/>
    </w:p>
    <w:p w:rsidR="003B05E5" w:rsidRDefault="003B05E5">
      <w:pPr>
        <w:ind w:left="540"/>
      </w:pPr>
    </w:p>
    <w:p w:rsidR="003B05E5" w:rsidRDefault="003B05E5" w:rsidP="0054505E">
      <w:pPr>
        <w:pStyle w:val="TOC3"/>
      </w:pPr>
      <w:bookmarkStart w:id="149" w:name="_Toc349640461"/>
      <w:r>
        <w:t>A.  Introduction</w:t>
      </w:r>
      <w:bookmarkEnd w:id="149"/>
    </w:p>
    <w:p w:rsidR="003B05E5" w:rsidRDefault="003B05E5">
      <w:pPr>
        <w:pStyle w:val="BodyTextIndent"/>
        <w:tabs>
          <w:tab w:val="left" w:pos="720"/>
        </w:tabs>
        <w:ind w:left="720"/>
      </w:pPr>
    </w:p>
    <w:p w:rsidR="00A1438E" w:rsidRDefault="003B05E5">
      <w:pPr>
        <w:pStyle w:val="BodyTextIndent"/>
        <w:tabs>
          <w:tab w:val="left" w:pos="270"/>
        </w:tabs>
        <w:ind w:left="720"/>
      </w:pPr>
      <w:r>
        <w:t>The Antitru</w:t>
      </w:r>
      <w:r w:rsidR="000A1CFD">
        <w:t>st Division is committed to</w:t>
      </w:r>
      <w:r>
        <w:t xml:space="preserve"> its mission to promote </w:t>
      </w:r>
      <w:r w:rsidR="005913FE">
        <w:t xml:space="preserve">economic </w:t>
      </w:r>
      <w:r>
        <w:t>competition through enforc</w:t>
      </w:r>
      <w:r w:rsidR="005913FE">
        <w:t>ing and providing guidance on</w:t>
      </w:r>
      <w:r>
        <w:t xml:space="preserve"> antitrust laws and principles.  Its vision is an environment in which </w:t>
      </w:r>
      <w:smartTag w:uri="urn:schemas-microsoft-com:office:smarttags" w:element="country-region">
        <w:smartTag w:uri="urn:schemas-microsoft-com:office:smarttags" w:element="place">
          <w:r>
            <w:t>U.S.</w:t>
          </w:r>
        </w:smartTag>
      </w:smartTag>
      <w:r>
        <w:t xml:space="preserve"> consumers receive goods and services of the highest quality at the lowest price and sound economics-based antitrust enforcement principles are applied.  </w:t>
      </w:r>
    </w:p>
    <w:p w:rsidR="00A1438E" w:rsidRPr="008C5C4C" w:rsidRDefault="00A1438E">
      <w:pPr>
        <w:pStyle w:val="BodyTextIndent"/>
        <w:tabs>
          <w:tab w:val="left" w:pos="270"/>
        </w:tabs>
        <w:ind w:left="720"/>
      </w:pPr>
    </w:p>
    <w:p w:rsidR="003B05E5" w:rsidRDefault="00F526A5">
      <w:pPr>
        <w:widowControl/>
        <w:tabs>
          <w:tab w:val="left" w:pos="720"/>
        </w:tabs>
        <w:ind w:left="720"/>
      </w:pPr>
      <w:r w:rsidRPr="00025C48">
        <w:t>The Division supports the D</w:t>
      </w:r>
      <w:r w:rsidR="009E6DE6">
        <w:t xml:space="preserve">epartment’s </w:t>
      </w:r>
      <w:r w:rsidR="004152EB" w:rsidRPr="00C54CB4">
        <w:t>Strategic Goal II, Objective 2.</w:t>
      </w:r>
      <w:r w:rsidR="00B041D5" w:rsidRPr="00C54CB4">
        <w:t>6</w:t>
      </w:r>
      <w:r w:rsidR="004152EB" w:rsidRPr="00C54CB4">
        <w:t>, “</w:t>
      </w:r>
      <w:r w:rsidR="00B041D5" w:rsidRPr="00C54CB4">
        <w:t xml:space="preserve">Protect the federal </w:t>
      </w:r>
      <w:proofErr w:type="spellStart"/>
      <w:r w:rsidR="00B041D5" w:rsidRPr="00C54CB4">
        <w:t>fisc</w:t>
      </w:r>
      <w:proofErr w:type="spellEnd"/>
      <w:r w:rsidR="00B041D5" w:rsidRPr="00C54CB4">
        <w:t xml:space="preserve"> and defend the interest</w:t>
      </w:r>
      <w:r w:rsidR="00C54CB4" w:rsidRPr="00C54CB4">
        <w:t>s</w:t>
      </w:r>
      <w:r w:rsidR="00B041D5" w:rsidRPr="00C54CB4">
        <w:t xml:space="preserve"> of the United States</w:t>
      </w:r>
      <w:r w:rsidR="004152EB" w:rsidRPr="00C54CB4">
        <w:t>.”</w:t>
      </w:r>
      <w:r w:rsidR="003B05E5">
        <w:t xml:space="preserve">  </w:t>
      </w:r>
      <w:bookmarkStart w:id="150" w:name="OLE_LINK7"/>
      <w:bookmarkStart w:id="151" w:name="OLE_LINK12"/>
      <w:r w:rsidR="003B05E5">
        <w:t xml:space="preserve">In recent years, the Division has aggressively pursued far-reaching criminal cartel activity and important civil matters while reviewing a large number of premerger filings, many involving complex issues and global conglomerates.  Merger volume steadily increased from 2003 through the first half of 2008, falling off at the end of 2008 </w:t>
      </w:r>
      <w:r w:rsidR="00E8503E">
        <w:t>based upon global</w:t>
      </w:r>
      <w:r w:rsidR="003B05E5">
        <w:t xml:space="preserve"> economic conditions.  </w:t>
      </w:r>
      <w:r w:rsidR="00744365">
        <w:t>Beginning in late 2009</w:t>
      </w:r>
      <w:r w:rsidR="00744365" w:rsidRPr="00E63A3A">
        <w:t>,</w:t>
      </w:r>
      <w:r w:rsidR="009D5ABE" w:rsidRPr="00E63A3A">
        <w:t xml:space="preserve"> as credit markets</w:t>
      </w:r>
      <w:r w:rsidR="00764F05" w:rsidRPr="00E63A3A">
        <w:t xml:space="preserve"> </w:t>
      </w:r>
      <w:r w:rsidR="009D5ABE" w:rsidRPr="00E63A3A">
        <w:t>recover</w:t>
      </w:r>
      <w:r w:rsidR="00764F05" w:rsidRPr="00E63A3A">
        <w:t>ed</w:t>
      </w:r>
      <w:r w:rsidR="009D5ABE" w:rsidRPr="00E63A3A">
        <w:t xml:space="preserve"> and cash-rich companies regained business </w:t>
      </w:r>
      <w:proofErr w:type="gramStart"/>
      <w:r w:rsidR="00B90D31">
        <w:t>confidence,</w:t>
      </w:r>
      <w:proofErr w:type="gramEnd"/>
      <w:r w:rsidR="00744365" w:rsidRPr="00E63A3A">
        <w:t xml:space="preserve"> merger volume </w:t>
      </w:r>
      <w:r w:rsidR="00764F05" w:rsidRPr="00E63A3A">
        <w:t xml:space="preserve">momentum </w:t>
      </w:r>
      <w:r w:rsidR="00631371" w:rsidRPr="00E63A3A">
        <w:t xml:space="preserve">gained speed </w:t>
      </w:r>
      <w:r w:rsidR="00764F05" w:rsidRPr="00544CD5">
        <w:t xml:space="preserve">and </w:t>
      </w:r>
      <w:r w:rsidR="00AB237C" w:rsidRPr="00544CD5">
        <w:t>continues to increase in fiscal year 201</w:t>
      </w:r>
      <w:r w:rsidR="00544CD5" w:rsidRPr="00544CD5">
        <w:t>3</w:t>
      </w:r>
      <w:r w:rsidR="00AB237C" w:rsidRPr="00544CD5">
        <w:t xml:space="preserve">. </w:t>
      </w:r>
      <w:r w:rsidR="00544CD5">
        <w:t xml:space="preserve"> </w:t>
      </w:r>
      <w:r w:rsidR="003B05E5" w:rsidRPr="007A0B12">
        <w:t>To administer its caseload, the Pr</w:t>
      </w:r>
      <w:r w:rsidR="003B05E5">
        <w:t xml:space="preserve">esident’s Budget </w:t>
      </w:r>
      <w:proofErr w:type="gramStart"/>
      <w:r w:rsidR="003B05E5">
        <w:t>incl</w:t>
      </w:r>
      <w:r w:rsidR="003B05E5" w:rsidRPr="00F14088">
        <w:t>ud</w:t>
      </w:r>
      <w:r w:rsidR="00964C24" w:rsidRPr="00F14088">
        <w:t xml:space="preserve">es </w:t>
      </w:r>
      <w:r w:rsidR="00801089">
        <w:t xml:space="preserve"> </w:t>
      </w:r>
      <w:r w:rsidR="00186968" w:rsidRPr="00C53EF9">
        <w:t>$</w:t>
      </w:r>
      <w:proofErr w:type="gramEnd"/>
      <w:r w:rsidR="00186968" w:rsidRPr="00C53EF9">
        <w:t>1</w:t>
      </w:r>
      <w:r w:rsidR="006A1033">
        <w:t>60</w:t>
      </w:r>
      <w:r w:rsidR="006A1033" w:rsidRPr="00C53EF9">
        <w:t>,</w:t>
      </w:r>
      <w:r w:rsidR="006A1033">
        <w:t>410</w:t>
      </w:r>
      <w:r w:rsidR="00186968" w:rsidRPr="00C53EF9">
        <w:t>,000</w:t>
      </w:r>
      <w:r w:rsidR="00964C24" w:rsidRPr="00F14088">
        <w:t xml:space="preserve"> in FY 201</w:t>
      </w:r>
      <w:r w:rsidR="00F14088" w:rsidRPr="00F14088">
        <w:t>4</w:t>
      </w:r>
      <w:r w:rsidR="003B05E5" w:rsidRPr="00F14088">
        <w:t>,</w:t>
      </w:r>
      <w:r w:rsidR="003B05E5">
        <w:t xml:space="preserve"> reflecting an</w:t>
      </w:r>
      <w:r w:rsidR="00C64A74">
        <w:t>nual cost adjustments</w:t>
      </w:r>
      <w:r w:rsidR="003B05E5">
        <w:t xml:space="preserve"> </w:t>
      </w:r>
      <w:r w:rsidR="00C64A74">
        <w:t xml:space="preserve">of </w:t>
      </w:r>
      <w:r w:rsidR="00186968" w:rsidRPr="00E30594">
        <w:t>$</w:t>
      </w:r>
      <w:r w:rsidR="006A1033">
        <w:t>823</w:t>
      </w:r>
      <w:r w:rsidR="00186968" w:rsidRPr="00E30594">
        <w:t>,000</w:t>
      </w:r>
      <w:r w:rsidR="00964C24" w:rsidRPr="00147ED2">
        <w:t xml:space="preserve"> over </w:t>
      </w:r>
      <w:r w:rsidR="003D6C65" w:rsidRPr="004027AD">
        <w:t xml:space="preserve">the </w:t>
      </w:r>
      <w:r w:rsidR="009406E9">
        <w:t xml:space="preserve">      </w:t>
      </w:r>
      <w:r w:rsidR="003D6C65" w:rsidRPr="004027AD">
        <w:t xml:space="preserve">FY </w:t>
      </w:r>
      <w:r w:rsidR="00186968" w:rsidRPr="0025062B">
        <w:t>201</w:t>
      </w:r>
      <w:r w:rsidR="00033D03">
        <w:t>2</w:t>
      </w:r>
      <w:r w:rsidR="00186968" w:rsidRPr="0025062B">
        <w:t xml:space="preserve"> </w:t>
      </w:r>
      <w:r w:rsidR="00033D03">
        <w:t>enacted level</w:t>
      </w:r>
      <w:r w:rsidR="003B05E5" w:rsidRPr="004027AD">
        <w:t>.</w:t>
      </w:r>
      <w:r w:rsidR="003B05E5">
        <w:t xml:space="preserve">  </w:t>
      </w:r>
    </w:p>
    <w:p w:rsidR="003B05E5" w:rsidRPr="008C5C4C" w:rsidRDefault="003B05E5">
      <w:pPr>
        <w:widowControl/>
        <w:tabs>
          <w:tab w:val="left" w:pos="720"/>
        </w:tabs>
        <w:ind w:left="720"/>
      </w:pPr>
    </w:p>
    <w:p w:rsidR="003B05E5" w:rsidRDefault="00DD5825" w:rsidP="004744CB">
      <w:pPr>
        <w:widowControl/>
        <w:ind w:left="720"/>
        <w:sectPr w:rsidR="003B05E5" w:rsidSect="00A77579">
          <w:footerReference w:type="default" r:id="rId15"/>
          <w:endnotePr>
            <w:numFmt w:val="decimal"/>
          </w:endnotePr>
          <w:pgSz w:w="12240" w:h="15840" w:code="1"/>
          <w:pgMar w:top="288" w:right="1440" w:bottom="288" w:left="1440" w:header="0" w:footer="0" w:gutter="0"/>
          <w:cols w:space="720"/>
          <w:noEndnote/>
        </w:sectPr>
      </w:pPr>
      <w:r>
        <w:rPr>
          <w:noProof/>
        </w:rPr>
        <w:pict>
          <v:shape id="_x0000_s1079" type="#_x0000_t202" style="position:absolute;left:0;text-align:left;margin-left:-9.25pt;margin-top:531.75pt;width:478.9pt;height:199.5pt;z-index:251663872;mso-position-vertical-relative:page" o:allowoverlap="f" fillcolor="#fc9" strokeweight="3pt">
            <v:fill opacity=".5"/>
            <v:textbox style="mso-next-textbox:#_x0000_s1079">
              <w:txbxContent>
                <w:p w:rsidR="00145476" w:rsidRPr="00911C07" w:rsidRDefault="00145476" w:rsidP="005A4529">
                  <w:pPr>
                    <w:numPr>
                      <w:ilvl w:val="0"/>
                      <w:numId w:val="15"/>
                    </w:numPr>
                    <w:tabs>
                      <w:tab w:val="clear" w:pos="1152"/>
                      <w:tab w:val="num" w:pos="540"/>
                    </w:tabs>
                    <w:ind w:left="540" w:hanging="540"/>
                    <w:rPr>
                      <w:sz w:val="18"/>
                      <w:szCs w:val="18"/>
                    </w:rPr>
                  </w:pPr>
                  <w:bookmarkStart w:id="152" w:name="OLE_LINK23"/>
                  <w:r w:rsidRPr="00911C07">
                    <w:t>From FY 2009 through the end o</w:t>
                  </w:r>
                  <w:r w:rsidRPr="00D21BD2">
                    <w:t xml:space="preserve">f FY 2012, as a result of the Division’s efforts, over </w:t>
                  </w:r>
                  <w:r>
                    <w:t xml:space="preserve">  </w:t>
                  </w:r>
                  <w:r w:rsidRPr="00D21BD2">
                    <w:rPr>
                      <w:b/>
                    </w:rPr>
                    <w:t>$</w:t>
                  </w:r>
                  <w:r>
                    <w:rPr>
                      <w:b/>
                    </w:rPr>
                    <w:t>3.2</w:t>
                  </w:r>
                  <w:r w:rsidRPr="00D21BD2">
                    <w:rPr>
                      <w:b/>
                    </w:rPr>
                    <w:t xml:space="preserve"> billion in criminal fine</w:t>
                  </w:r>
                  <w:r w:rsidRPr="00911C07">
                    <w:rPr>
                      <w:b/>
                    </w:rPr>
                    <w:t>s</w:t>
                  </w:r>
                  <w:r w:rsidRPr="00911C07">
                    <w:t xml:space="preserve"> were obtained </w:t>
                  </w:r>
                  <w:r>
                    <w:t>from</w:t>
                  </w:r>
                  <w:r w:rsidRPr="00911C07">
                    <w:t xml:space="preserve"> antitrust violators.</w:t>
                  </w:r>
                  <w:bookmarkStart w:id="153" w:name="OLE_LINK3"/>
                  <w:r w:rsidRPr="00911C07">
                    <w:t xml:space="preserve">  </w:t>
                  </w:r>
                  <w:bookmarkEnd w:id="152"/>
                  <w:bookmarkEnd w:id="153"/>
                </w:p>
                <w:p w:rsidR="00145476" w:rsidRPr="00565E6C" w:rsidRDefault="00145476" w:rsidP="00D90810">
                  <w:pPr>
                    <w:pStyle w:val="ListParagraph"/>
                    <w:ind w:left="0"/>
                    <w:rPr>
                      <w:sz w:val="16"/>
                      <w:szCs w:val="16"/>
                    </w:rPr>
                  </w:pPr>
                </w:p>
                <w:p w:rsidR="00145476" w:rsidRDefault="00145476" w:rsidP="00A43300">
                  <w:pPr>
                    <w:numPr>
                      <w:ilvl w:val="0"/>
                      <w:numId w:val="15"/>
                    </w:numPr>
                    <w:tabs>
                      <w:tab w:val="clear" w:pos="1152"/>
                      <w:tab w:val="num" w:pos="540"/>
                    </w:tabs>
                    <w:ind w:left="540" w:hanging="540"/>
                  </w:pPr>
                  <w:r>
                    <w:t xml:space="preserve">The Division is a key participant on the </w:t>
                  </w:r>
                  <w:r w:rsidRPr="00AC4DAD">
                    <w:rPr>
                      <w:b/>
                    </w:rPr>
                    <w:t>President’s Financial Fraud Enforcement Task Force</w:t>
                  </w:r>
                  <w:r>
                    <w:rPr>
                      <w:b/>
                    </w:rPr>
                    <w:t>,</w:t>
                  </w:r>
                  <w:r>
                    <w:t xml:space="preserve"> detecting and prosecuting mortgage fraud, securities and commodities fraud, and illegal schemes preying on funds designated to assist in America’s ongoing </w:t>
                  </w:r>
                  <w:r w:rsidRPr="00AC4DAD">
                    <w:rPr>
                      <w:b/>
                    </w:rPr>
                    <w:t>economic recovery</w:t>
                  </w:r>
                  <w:r>
                    <w:t xml:space="preserve"> as part of the </w:t>
                  </w:r>
                  <w:r w:rsidRPr="00AC4DAD">
                    <w:rPr>
                      <w:b/>
                    </w:rPr>
                    <w:t>American Recovery and Reinvestment</w:t>
                  </w:r>
                  <w:r>
                    <w:t xml:space="preserve"> </w:t>
                  </w:r>
                  <w:r w:rsidRPr="00AC4DAD">
                    <w:rPr>
                      <w:b/>
                    </w:rPr>
                    <w:t>Act</w:t>
                  </w:r>
                  <w:r w:rsidRPr="00706ACF">
                    <w:t xml:space="preserve">. </w:t>
                  </w:r>
                  <w:r w:rsidRPr="00706ACF">
                    <w:rPr>
                      <w:sz w:val="18"/>
                      <w:szCs w:val="18"/>
                    </w:rPr>
                    <w:t>(see pg. 36)</w:t>
                  </w:r>
                </w:p>
                <w:p w:rsidR="00145476" w:rsidRPr="00565E6C" w:rsidRDefault="00145476" w:rsidP="00D90810">
                  <w:pPr>
                    <w:pStyle w:val="ListParagraph"/>
                    <w:rPr>
                      <w:sz w:val="16"/>
                      <w:szCs w:val="16"/>
                    </w:rPr>
                  </w:pPr>
                </w:p>
                <w:p w:rsidR="00145476" w:rsidRDefault="00145476" w:rsidP="00D90810">
                  <w:pPr>
                    <w:numPr>
                      <w:ilvl w:val="0"/>
                      <w:numId w:val="15"/>
                    </w:numPr>
                    <w:tabs>
                      <w:tab w:val="clear" w:pos="1152"/>
                      <w:tab w:val="num" w:pos="540"/>
                    </w:tabs>
                    <w:ind w:left="540" w:hanging="540"/>
                  </w:pPr>
                  <w:r w:rsidRPr="00AC4DAD">
                    <w:rPr>
                      <w:b/>
                    </w:rPr>
                    <w:t>Intellectual property</w:t>
                  </w:r>
                  <w:r>
                    <w:t xml:space="preserve"> i</w:t>
                  </w:r>
                  <w:r w:rsidRPr="00F6735D">
                    <w:t xml:space="preserve">ssues involving patents, copyrights, trademarks, or trade secrets </w:t>
                  </w:r>
                  <w:r>
                    <w:t xml:space="preserve">are instrumental in </w:t>
                  </w:r>
                  <w:r w:rsidRPr="00F6735D">
                    <w:t xml:space="preserve">the Division’s </w:t>
                  </w:r>
                  <w:r>
                    <w:t>work</w:t>
                  </w:r>
                  <w:r w:rsidRPr="00F6735D">
                    <w:t>.</w:t>
                  </w:r>
                  <w:r>
                    <w:t xml:space="preserve">  </w:t>
                  </w:r>
                  <w:r w:rsidRPr="00F6735D">
                    <w:t>Invention and innovation are critical in promoting economic growth, creating jobs, and maintaining our competitiveness in the global economy.  Antitrust laws ensure new proprietary technologies, products, and services are bought, sold, traded and license</w:t>
                  </w:r>
                  <w:r>
                    <w:t>d in a competitive environment.</w:t>
                  </w:r>
                  <w:r w:rsidRPr="00F6735D">
                    <w:t xml:space="preserve">  </w:t>
                  </w:r>
                </w:p>
              </w:txbxContent>
            </v:textbox>
            <w10:wrap type="topAndBottom" side="left" anchory="page"/>
          </v:shape>
        </w:pict>
      </w:r>
      <w:r w:rsidR="003B05E5">
        <w:t>It is critical that the Division have adequate resources to keep abreast of a workload, which more and more involves large, multi-national corporations and anticompetitive behaviors that are pervasive and difficult to detect.  By protecting competition across industries and geographic borders, the Division’s work serves as a catalyst for economic efficiency and growth with benefits accruing to both American consumers and American businesses.</w:t>
      </w:r>
      <w:r w:rsidR="004744CB">
        <w:t xml:space="preserve">  Electronic copies of the Department of Justice’s Congressional Budget Justifications and Capital Asset Plan and Business Case exhibits can be viewed or downloaded from the Internet using the Internet address:  </w:t>
      </w:r>
      <w:hyperlink r:id="rId16" w:history="1">
        <w:r w:rsidR="004744CB" w:rsidRPr="00B25624">
          <w:rPr>
            <w:rStyle w:val="Hyperlink"/>
          </w:rPr>
          <w:t>http://www.justice.gov/02organizations/bpp.htm</w:t>
        </w:r>
      </w:hyperlink>
      <w:r w:rsidR="004744CB">
        <w:t xml:space="preserve">. </w:t>
      </w:r>
    </w:p>
    <w:p w:rsidR="003B05E5" w:rsidRDefault="003B05E5" w:rsidP="0054505E">
      <w:pPr>
        <w:pStyle w:val="TOC3"/>
      </w:pPr>
      <w:bookmarkStart w:id="154" w:name="_Toc349640462"/>
      <w:bookmarkEnd w:id="150"/>
      <w:bookmarkEnd w:id="151"/>
      <w:r>
        <w:t>B.  Issues, Outcomes, and Strategies</w:t>
      </w:r>
      <w:bookmarkEnd w:id="154"/>
    </w:p>
    <w:p w:rsidR="003B05E5" w:rsidRDefault="003B05E5">
      <w:pPr>
        <w:tabs>
          <w:tab w:val="num" w:pos="720"/>
        </w:tabs>
        <w:ind w:left="1440" w:hanging="720"/>
        <w:rPr>
          <w:sz w:val="20"/>
          <w:szCs w:val="20"/>
        </w:rPr>
      </w:pPr>
    </w:p>
    <w:p w:rsidR="003B05E5" w:rsidRDefault="003B05E5">
      <w:pPr>
        <w:ind w:left="720" w:hanging="720"/>
      </w:pPr>
      <w:bookmarkStart w:id="155" w:name="_Toc38000336"/>
      <w:r>
        <w:rPr>
          <w:sz w:val="28"/>
        </w:rPr>
        <w:tab/>
      </w:r>
      <w:bookmarkEnd w:id="155"/>
      <w:r>
        <w:t>Fundamental changes continue in the business marketplace, including the expanding globalization of markets, increasing economic concentration across industries, rapid technological change, significantly expanding numbers of business bankruptcies and failing firms, and substantial government investment in business enterprise.  These factors, added to the existing number and intricacy of our investigations, significantly impact the Division’s overall workload. Many current and recent matters demonstrate the increasingly complex, large, and international nature of the matters encountered by the Division, as the following table and exemplars indicate.</w:t>
      </w:r>
    </w:p>
    <w:p w:rsidR="006F10C6" w:rsidRDefault="006F10C6">
      <w:pPr>
        <w:ind w:left="720" w:hanging="720"/>
      </w:pPr>
    </w:p>
    <w:p w:rsidR="003B05E5" w:rsidRDefault="003B05E5">
      <w:pPr>
        <w:ind w:left="720" w:hanging="720"/>
      </w:pPr>
    </w:p>
    <w:tbl>
      <w:tblPr>
        <w:tblW w:w="8166" w:type="dxa"/>
        <w:tblInd w:w="840" w:type="dxa"/>
        <w:tblBorders>
          <w:top w:val="double" w:sz="7" w:space="0" w:color="FFFFFF"/>
          <w:left w:val="double" w:sz="7" w:space="0" w:color="FFFFFF"/>
          <w:bottom w:val="double" w:sz="7" w:space="0" w:color="808080"/>
          <w:right w:val="double" w:sz="7" w:space="0" w:color="808080"/>
          <w:insideH w:val="single" w:sz="7" w:space="0" w:color="000000"/>
          <w:insideV w:val="single" w:sz="7" w:space="0" w:color="000000"/>
        </w:tblBorders>
        <w:tblLayout w:type="fixed"/>
        <w:tblCellMar>
          <w:left w:w="120" w:type="dxa"/>
          <w:right w:w="120" w:type="dxa"/>
        </w:tblCellMar>
        <w:tblLook w:val="0000"/>
      </w:tblPr>
      <w:tblGrid>
        <w:gridCol w:w="2430"/>
        <w:gridCol w:w="5736"/>
      </w:tblGrid>
      <w:tr w:rsidR="003B05E5" w:rsidTr="00860BFD">
        <w:trPr>
          <w:trHeight w:val="612"/>
        </w:trPr>
        <w:tc>
          <w:tcPr>
            <w:tcW w:w="2430" w:type="dxa"/>
            <w:tcBorders>
              <w:top w:val="double" w:sz="12" w:space="0" w:color="808080"/>
              <w:left w:val="double" w:sz="12" w:space="0" w:color="808080"/>
              <w:bottom w:val="double" w:sz="12" w:space="0" w:color="000000"/>
              <w:right w:val="single" w:sz="8" w:space="0" w:color="000000"/>
            </w:tcBorders>
            <w:shd w:val="clear" w:color="auto" w:fill="CCFFCC"/>
            <w:vAlign w:val="bottom"/>
          </w:tcPr>
          <w:p w:rsidR="003B05E5" w:rsidRDefault="003B05E5" w:rsidP="00052C78">
            <w:pPr>
              <w:widowControl/>
              <w:tabs>
                <w:tab w:val="num" w:pos="720"/>
              </w:tabs>
              <w:jc w:val="center"/>
            </w:pPr>
            <w:r>
              <w:rPr>
                <w:b/>
                <w:bCs/>
                <w:sz w:val="28"/>
              </w:rPr>
              <w:t>Enforcement Program</w:t>
            </w:r>
          </w:p>
        </w:tc>
        <w:tc>
          <w:tcPr>
            <w:tcW w:w="5736" w:type="dxa"/>
            <w:tcBorders>
              <w:top w:val="double" w:sz="12" w:space="0" w:color="808080"/>
              <w:left w:val="single" w:sz="8" w:space="0" w:color="000000"/>
              <w:bottom w:val="double" w:sz="12" w:space="0" w:color="000000"/>
              <w:right w:val="double" w:sz="12" w:space="0" w:color="808080"/>
            </w:tcBorders>
            <w:shd w:val="clear" w:color="auto" w:fill="CCFFCC"/>
          </w:tcPr>
          <w:p w:rsidR="003B05E5" w:rsidRDefault="003B05E5">
            <w:pPr>
              <w:tabs>
                <w:tab w:val="num" w:pos="720"/>
              </w:tabs>
              <w:spacing w:line="120" w:lineRule="exact"/>
            </w:pPr>
          </w:p>
          <w:p w:rsidR="003B05E5" w:rsidRDefault="0061037E">
            <w:pPr>
              <w:widowControl/>
              <w:tabs>
                <w:tab w:val="num" w:pos="720"/>
              </w:tabs>
              <w:spacing w:after="58"/>
              <w:jc w:val="center"/>
              <w:rPr>
                <w:sz w:val="28"/>
              </w:rPr>
            </w:pPr>
            <w:r w:rsidRPr="00BD7FDA">
              <w:rPr>
                <w:b/>
                <w:bCs/>
                <w:sz w:val="28"/>
              </w:rPr>
              <w:t>Major Matter Exemplars</w:t>
            </w:r>
          </w:p>
        </w:tc>
      </w:tr>
      <w:tr w:rsidR="003B05E5" w:rsidTr="00052C78">
        <w:trPr>
          <w:trHeight w:val="1224"/>
        </w:trPr>
        <w:tc>
          <w:tcPr>
            <w:tcW w:w="2430" w:type="dxa"/>
            <w:tcBorders>
              <w:top w:val="double" w:sz="12" w:space="0" w:color="000000"/>
              <w:left w:val="double" w:sz="12" w:space="0" w:color="808080"/>
              <w:bottom w:val="single" w:sz="7" w:space="0" w:color="000000"/>
              <w:right w:val="single" w:sz="8" w:space="0" w:color="000000"/>
            </w:tcBorders>
          </w:tcPr>
          <w:p w:rsidR="003B05E5" w:rsidRDefault="003B05E5">
            <w:pPr>
              <w:tabs>
                <w:tab w:val="num" w:pos="720"/>
              </w:tabs>
              <w:spacing w:line="120" w:lineRule="exact"/>
            </w:pPr>
          </w:p>
          <w:p w:rsidR="003B05E5" w:rsidRPr="00692A0A" w:rsidRDefault="003B05E5">
            <w:pPr>
              <w:widowControl/>
              <w:tabs>
                <w:tab w:val="num" w:pos="720"/>
              </w:tabs>
              <w:spacing w:after="58"/>
              <w:jc w:val="center"/>
              <w:rPr>
                <w:b/>
              </w:rPr>
            </w:pPr>
            <w:r w:rsidRPr="00692A0A">
              <w:rPr>
                <w:b/>
              </w:rPr>
              <w:t>Criminal</w:t>
            </w:r>
          </w:p>
          <w:p w:rsidR="003B05E5" w:rsidRDefault="003B05E5">
            <w:pPr>
              <w:pStyle w:val="FootnoteText"/>
              <w:widowControl/>
              <w:tabs>
                <w:tab w:val="num" w:pos="720"/>
              </w:tabs>
              <w:spacing w:after="58"/>
              <w:jc w:val="center"/>
              <w:rPr>
                <w:sz w:val="24"/>
                <w:szCs w:val="24"/>
              </w:rPr>
            </w:pPr>
            <w:r>
              <w:rPr>
                <w:sz w:val="24"/>
                <w:szCs w:val="24"/>
              </w:rPr>
              <w:t>DOJ Strategic Goal II</w:t>
            </w:r>
          </w:p>
          <w:p w:rsidR="003B05E5" w:rsidRDefault="003B05E5">
            <w:pPr>
              <w:pStyle w:val="FootnoteText"/>
              <w:widowControl/>
              <w:tabs>
                <w:tab w:val="num" w:pos="720"/>
              </w:tabs>
              <w:spacing w:after="58"/>
              <w:jc w:val="center"/>
              <w:rPr>
                <w:sz w:val="22"/>
                <w:szCs w:val="24"/>
              </w:rPr>
            </w:pPr>
            <w:r>
              <w:rPr>
                <w:sz w:val="24"/>
                <w:szCs w:val="24"/>
              </w:rPr>
              <w:t>Objective 2.</w:t>
            </w:r>
            <w:r w:rsidR="00052C78">
              <w:rPr>
                <w:sz w:val="24"/>
                <w:szCs w:val="24"/>
              </w:rPr>
              <w:t>6</w:t>
            </w:r>
          </w:p>
        </w:tc>
        <w:tc>
          <w:tcPr>
            <w:tcW w:w="5736" w:type="dxa"/>
            <w:tcBorders>
              <w:top w:val="double" w:sz="12" w:space="0" w:color="000000"/>
              <w:left w:val="single" w:sz="8" w:space="0" w:color="000000"/>
              <w:bottom w:val="single" w:sz="7" w:space="0" w:color="000000"/>
              <w:right w:val="double" w:sz="12" w:space="0" w:color="808080"/>
            </w:tcBorders>
            <w:vAlign w:val="center"/>
          </w:tcPr>
          <w:p w:rsidR="003B05E5" w:rsidRPr="00C66D99" w:rsidRDefault="003B05E5" w:rsidP="00052C78">
            <w:pPr>
              <w:tabs>
                <w:tab w:val="num" w:pos="720"/>
              </w:tabs>
              <w:spacing w:line="120" w:lineRule="exact"/>
            </w:pPr>
          </w:p>
          <w:p w:rsidR="00442804" w:rsidRDefault="00052C78" w:rsidP="00052C78">
            <w:pPr>
              <w:widowControl/>
              <w:tabs>
                <w:tab w:val="num" w:pos="720"/>
              </w:tabs>
              <w:rPr>
                <w:sz w:val="22"/>
                <w:szCs w:val="22"/>
              </w:rPr>
            </w:pPr>
            <w:r>
              <w:t xml:space="preserve">Financial Fraud </w:t>
            </w:r>
            <w:r w:rsidR="00ED2546">
              <w:t>Enforcement</w:t>
            </w:r>
            <w:r w:rsidR="00ED2546" w:rsidRPr="00C66D99">
              <w:rPr>
                <w:sz w:val="22"/>
                <w:szCs w:val="22"/>
              </w:rPr>
              <w:t xml:space="preserve"> </w:t>
            </w:r>
            <w:r w:rsidR="00ED2546" w:rsidRPr="008203E1">
              <w:rPr>
                <w:sz w:val="22"/>
                <w:szCs w:val="22"/>
              </w:rPr>
              <w:t>(</w:t>
            </w:r>
            <w:r w:rsidR="005B72F2" w:rsidRPr="008203E1">
              <w:rPr>
                <w:sz w:val="22"/>
                <w:szCs w:val="22"/>
              </w:rPr>
              <w:t>see Exemplar -</w:t>
            </w:r>
            <w:r w:rsidR="007E37AD" w:rsidRPr="00706ACF">
              <w:rPr>
                <w:sz w:val="22"/>
                <w:szCs w:val="22"/>
              </w:rPr>
              <w:t xml:space="preserve"> pg.3</w:t>
            </w:r>
            <w:r w:rsidR="00614967">
              <w:rPr>
                <w:sz w:val="22"/>
                <w:szCs w:val="22"/>
              </w:rPr>
              <w:t>6</w:t>
            </w:r>
            <w:r w:rsidR="007E37AD" w:rsidRPr="00706ACF">
              <w:rPr>
                <w:sz w:val="22"/>
                <w:szCs w:val="22"/>
              </w:rPr>
              <w:t>)</w:t>
            </w:r>
          </w:p>
          <w:p w:rsidR="003B05E5" w:rsidRDefault="00442804" w:rsidP="00052C78">
            <w:pPr>
              <w:widowControl/>
              <w:tabs>
                <w:tab w:val="num" w:pos="720"/>
              </w:tabs>
              <w:rPr>
                <w:sz w:val="22"/>
                <w:szCs w:val="22"/>
              </w:rPr>
            </w:pPr>
            <w:r>
              <w:rPr>
                <w:sz w:val="22"/>
                <w:szCs w:val="22"/>
              </w:rPr>
              <w:t>(Real Estate, Municipal Bonds and Economic Recovery)</w:t>
            </w:r>
          </w:p>
          <w:p w:rsidR="00096B78" w:rsidRDefault="00096B78" w:rsidP="00052C78">
            <w:pPr>
              <w:widowControl/>
              <w:tabs>
                <w:tab w:val="num" w:pos="720"/>
              </w:tabs>
              <w:rPr>
                <w:sz w:val="22"/>
                <w:szCs w:val="22"/>
              </w:rPr>
            </w:pPr>
          </w:p>
          <w:p w:rsidR="00096B78" w:rsidRPr="00096B78" w:rsidRDefault="00096B78" w:rsidP="00052C78">
            <w:pPr>
              <w:widowControl/>
              <w:tabs>
                <w:tab w:val="num" w:pos="720"/>
              </w:tabs>
            </w:pPr>
            <w:r w:rsidRPr="00096B78">
              <w:t xml:space="preserve">Automobile Parts </w:t>
            </w:r>
            <w:r w:rsidRPr="008203E1">
              <w:rPr>
                <w:sz w:val="22"/>
                <w:szCs w:val="22"/>
              </w:rPr>
              <w:t>(see Exemplar –</w:t>
            </w:r>
            <w:r w:rsidR="007E37AD" w:rsidRPr="00706ACF">
              <w:rPr>
                <w:sz w:val="22"/>
                <w:szCs w:val="22"/>
              </w:rPr>
              <w:t xml:space="preserve"> pg 3</w:t>
            </w:r>
            <w:r w:rsidR="00614967">
              <w:rPr>
                <w:sz w:val="22"/>
                <w:szCs w:val="22"/>
              </w:rPr>
              <w:t>9</w:t>
            </w:r>
            <w:r w:rsidRPr="00706ACF">
              <w:rPr>
                <w:sz w:val="22"/>
                <w:szCs w:val="22"/>
              </w:rPr>
              <w:t>)</w:t>
            </w:r>
          </w:p>
        </w:tc>
      </w:tr>
      <w:tr w:rsidR="003B05E5" w:rsidTr="00371F84">
        <w:trPr>
          <w:cantSplit/>
          <w:trHeight w:val="1459"/>
        </w:trPr>
        <w:tc>
          <w:tcPr>
            <w:tcW w:w="2430" w:type="dxa"/>
            <w:tcBorders>
              <w:top w:val="single" w:sz="7" w:space="0" w:color="000000"/>
              <w:left w:val="double" w:sz="12" w:space="0" w:color="808080"/>
              <w:bottom w:val="double" w:sz="12" w:space="0" w:color="808080"/>
              <w:right w:val="single" w:sz="8" w:space="0" w:color="000000"/>
            </w:tcBorders>
            <w:vAlign w:val="center"/>
          </w:tcPr>
          <w:p w:rsidR="003B05E5" w:rsidRPr="00692A0A" w:rsidRDefault="003B05E5" w:rsidP="00371F84">
            <w:pPr>
              <w:widowControl/>
              <w:tabs>
                <w:tab w:val="num" w:pos="720"/>
              </w:tabs>
              <w:spacing w:after="58"/>
              <w:jc w:val="center"/>
              <w:rPr>
                <w:b/>
              </w:rPr>
            </w:pPr>
            <w:r w:rsidRPr="00692A0A">
              <w:rPr>
                <w:b/>
              </w:rPr>
              <w:t>Civil</w:t>
            </w:r>
          </w:p>
          <w:p w:rsidR="003B05E5" w:rsidRPr="00692A0A" w:rsidRDefault="003B05E5" w:rsidP="00371F84">
            <w:pPr>
              <w:widowControl/>
              <w:tabs>
                <w:tab w:val="num" w:pos="720"/>
              </w:tabs>
              <w:spacing w:after="58"/>
              <w:jc w:val="center"/>
              <w:rPr>
                <w:b/>
              </w:rPr>
            </w:pPr>
            <w:r w:rsidRPr="00692A0A">
              <w:rPr>
                <w:b/>
              </w:rPr>
              <w:t>Merger/Non-Merger</w:t>
            </w:r>
          </w:p>
          <w:p w:rsidR="003B05E5" w:rsidRDefault="003B05E5" w:rsidP="00371F84">
            <w:pPr>
              <w:widowControl/>
              <w:tabs>
                <w:tab w:val="num" w:pos="720"/>
              </w:tabs>
              <w:spacing w:after="58"/>
              <w:jc w:val="center"/>
            </w:pPr>
            <w:r>
              <w:t>DOJ Strategic Goal II</w:t>
            </w:r>
          </w:p>
          <w:p w:rsidR="003B05E5" w:rsidRDefault="003B05E5" w:rsidP="00371F84">
            <w:pPr>
              <w:widowControl/>
              <w:tabs>
                <w:tab w:val="num" w:pos="720"/>
              </w:tabs>
              <w:spacing w:after="58"/>
              <w:jc w:val="center"/>
              <w:rPr>
                <w:sz w:val="22"/>
              </w:rPr>
            </w:pPr>
            <w:r>
              <w:t>Objective 2.</w:t>
            </w:r>
            <w:r w:rsidR="00052C78">
              <w:t>6</w:t>
            </w:r>
          </w:p>
        </w:tc>
        <w:tc>
          <w:tcPr>
            <w:tcW w:w="5736" w:type="dxa"/>
            <w:tcBorders>
              <w:top w:val="single" w:sz="7" w:space="0" w:color="000000"/>
              <w:left w:val="single" w:sz="8" w:space="0" w:color="000000"/>
              <w:bottom w:val="double" w:sz="12" w:space="0" w:color="808080"/>
              <w:right w:val="double" w:sz="12" w:space="0" w:color="808080"/>
            </w:tcBorders>
            <w:vAlign w:val="center"/>
          </w:tcPr>
          <w:p w:rsidR="00302DC4" w:rsidRDefault="00302DC4" w:rsidP="00371F84">
            <w:pPr>
              <w:widowControl/>
              <w:tabs>
                <w:tab w:val="num" w:pos="720"/>
              </w:tabs>
              <w:rPr>
                <w:sz w:val="22"/>
                <w:szCs w:val="22"/>
              </w:rPr>
            </w:pPr>
          </w:p>
          <w:p w:rsidR="00302DC4" w:rsidRDefault="00886DAA" w:rsidP="00371F84">
            <w:pPr>
              <w:widowControl/>
              <w:tabs>
                <w:tab w:val="num" w:pos="720"/>
              </w:tabs>
              <w:rPr>
                <w:sz w:val="22"/>
                <w:szCs w:val="22"/>
              </w:rPr>
            </w:pPr>
            <w:r w:rsidRPr="00CD49F6">
              <w:t>AT&amp;T</w:t>
            </w:r>
            <w:r w:rsidR="00CD49F6" w:rsidRPr="00CD49F6">
              <w:t>, Inc.</w:t>
            </w:r>
            <w:r w:rsidRPr="00CD49F6">
              <w:t>/T-Mobile</w:t>
            </w:r>
            <w:r w:rsidR="00CD49F6" w:rsidRPr="00CD49F6">
              <w:t xml:space="preserve"> USA, Inc.</w:t>
            </w:r>
            <w:r w:rsidRPr="00CD49F6">
              <w:t xml:space="preserve"> </w:t>
            </w:r>
            <w:r w:rsidRPr="008203E1">
              <w:rPr>
                <w:sz w:val="22"/>
                <w:szCs w:val="22"/>
              </w:rPr>
              <w:t xml:space="preserve">(see Exemplar – </w:t>
            </w:r>
            <w:r w:rsidR="00E41BB0" w:rsidRPr="008203E1">
              <w:rPr>
                <w:sz w:val="22"/>
                <w:szCs w:val="22"/>
              </w:rPr>
              <w:t>pg</w:t>
            </w:r>
            <w:r w:rsidR="007E37AD" w:rsidRPr="00706ACF">
              <w:rPr>
                <w:sz w:val="22"/>
                <w:szCs w:val="22"/>
              </w:rPr>
              <w:t xml:space="preserve"> 4</w:t>
            </w:r>
            <w:r w:rsidR="00614967">
              <w:rPr>
                <w:sz w:val="22"/>
                <w:szCs w:val="22"/>
              </w:rPr>
              <w:t>1</w:t>
            </w:r>
            <w:r w:rsidR="007E37AD" w:rsidRPr="00706ACF">
              <w:rPr>
                <w:sz w:val="22"/>
                <w:szCs w:val="22"/>
              </w:rPr>
              <w:t>)</w:t>
            </w:r>
          </w:p>
          <w:p w:rsidR="00371F84" w:rsidRPr="00302DC4" w:rsidRDefault="00371F84" w:rsidP="00371F84">
            <w:pPr>
              <w:widowControl/>
              <w:tabs>
                <w:tab w:val="num" w:pos="720"/>
              </w:tabs>
            </w:pPr>
          </w:p>
          <w:p w:rsidR="00371F84" w:rsidRDefault="00371F84" w:rsidP="00371F84">
            <w:pPr>
              <w:widowControl/>
              <w:tabs>
                <w:tab w:val="num" w:pos="720"/>
              </w:tabs>
              <w:rPr>
                <w:sz w:val="22"/>
                <w:szCs w:val="22"/>
              </w:rPr>
            </w:pPr>
            <w:r w:rsidRPr="00444DFD">
              <w:t>H&amp;R Block,</w:t>
            </w:r>
            <w:r>
              <w:t xml:space="preserve"> Inc./2SS Holdings, Inc. (</w:t>
            </w:r>
            <w:proofErr w:type="spellStart"/>
            <w:r>
              <w:t>TaxACT</w:t>
            </w:r>
            <w:proofErr w:type="spellEnd"/>
            <w:r>
              <w:t>),</w:t>
            </w:r>
            <w:r w:rsidRPr="00C66D99">
              <w:rPr>
                <w:b/>
                <w:sz w:val="22"/>
                <w:szCs w:val="22"/>
              </w:rPr>
              <w:t xml:space="preserve"> </w:t>
            </w:r>
            <w:r w:rsidRPr="00C66D99">
              <w:rPr>
                <w:sz w:val="22"/>
                <w:szCs w:val="22"/>
              </w:rPr>
              <w:t xml:space="preserve">(see Exemplar </w:t>
            </w:r>
            <w:r w:rsidRPr="00A16AD9">
              <w:rPr>
                <w:sz w:val="22"/>
                <w:szCs w:val="22"/>
              </w:rPr>
              <w:t xml:space="preserve">- </w:t>
            </w:r>
            <w:r w:rsidR="00E41BB0" w:rsidRPr="00706ACF">
              <w:rPr>
                <w:sz w:val="22"/>
                <w:szCs w:val="22"/>
              </w:rPr>
              <w:t>pg</w:t>
            </w:r>
            <w:r w:rsidR="007E37AD" w:rsidRPr="00706ACF">
              <w:rPr>
                <w:sz w:val="22"/>
                <w:szCs w:val="22"/>
              </w:rPr>
              <w:t>. 4</w:t>
            </w:r>
            <w:r w:rsidR="00614967">
              <w:rPr>
                <w:sz w:val="22"/>
                <w:szCs w:val="22"/>
              </w:rPr>
              <w:t>2</w:t>
            </w:r>
            <w:r w:rsidR="00E41BB0" w:rsidRPr="00706ACF">
              <w:rPr>
                <w:sz w:val="22"/>
                <w:szCs w:val="22"/>
              </w:rPr>
              <w:t>)</w:t>
            </w:r>
          </w:p>
          <w:p w:rsidR="003B05E5" w:rsidRPr="003A5CDB" w:rsidRDefault="003B05E5" w:rsidP="00371F84">
            <w:pPr>
              <w:widowControl/>
              <w:tabs>
                <w:tab w:val="num" w:pos="720"/>
              </w:tabs>
              <w:rPr>
                <w:sz w:val="22"/>
                <w:szCs w:val="22"/>
              </w:rPr>
            </w:pPr>
          </w:p>
          <w:p w:rsidR="003B05E5" w:rsidRPr="00C66D99" w:rsidRDefault="00EC31BA" w:rsidP="00371F84">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vertAlign w:val="superscript"/>
              </w:rPr>
            </w:pPr>
            <w:r w:rsidRPr="00EC31BA">
              <w:rPr>
                <w:b w:val="0"/>
                <w:bCs/>
                <w:szCs w:val="24"/>
              </w:rPr>
              <w:t>American Express, MasterCard and Visa</w:t>
            </w:r>
            <w:r w:rsidR="00E60E74">
              <w:rPr>
                <w:b w:val="0"/>
                <w:bCs/>
                <w:szCs w:val="24"/>
              </w:rPr>
              <w:t xml:space="preserve"> </w:t>
            </w:r>
            <w:r>
              <w:rPr>
                <w:b w:val="0"/>
                <w:bCs/>
                <w:szCs w:val="24"/>
              </w:rPr>
              <w:t xml:space="preserve">– Credit Card Merchant Restraints </w:t>
            </w:r>
            <w:r w:rsidR="00E60E74">
              <w:rPr>
                <w:b w:val="0"/>
                <w:bCs/>
                <w:sz w:val="22"/>
                <w:szCs w:val="22"/>
              </w:rPr>
              <w:t xml:space="preserve">(see Exemplar </w:t>
            </w:r>
            <w:r w:rsidR="00E41BB0" w:rsidRPr="00096B78">
              <w:rPr>
                <w:b w:val="0"/>
                <w:bCs/>
                <w:sz w:val="22"/>
                <w:szCs w:val="22"/>
              </w:rPr>
              <w:t xml:space="preserve">- pg. </w:t>
            </w:r>
            <w:r w:rsidR="007E37AD" w:rsidRPr="00706ACF">
              <w:rPr>
                <w:b w:val="0"/>
                <w:bCs/>
                <w:sz w:val="22"/>
                <w:szCs w:val="22"/>
              </w:rPr>
              <w:t>4</w:t>
            </w:r>
            <w:r w:rsidR="00614967">
              <w:rPr>
                <w:b w:val="0"/>
                <w:bCs/>
                <w:sz w:val="22"/>
                <w:szCs w:val="22"/>
              </w:rPr>
              <w:t>4</w:t>
            </w:r>
            <w:r w:rsidR="00E41BB0" w:rsidRPr="00706ACF">
              <w:rPr>
                <w:b w:val="0"/>
                <w:bCs/>
                <w:sz w:val="22"/>
                <w:szCs w:val="22"/>
              </w:rPr>
              <w:t>)</w:t>
            </w:r>
          </w:p>
        </w:tc>
      </w:tr>
    </w:tbl>
    <w:p w:rsidR="003B05E5" w:rsidRDefault="003B05E5">
      <w:pPr>
        <w:tabs>
          <w:tab w:val="num" w:pos="720"/>
        </w:tabs>
        <w:rPr>
          <w:b/>
          <w:bCs/>
          <w:sz w:val="20"/>
          <w:szCs w:val="20"/>
        </w:rPr>
      </w:pPr>
      <w:bookmarkStart w:id="156" w:name="_Toc38000337"/>
    </w:p>
    <w:p w:rsidR="006F10C6" w:rsidRDefault="006F10C6">
      <w:pPr>
        <w:tabs>
          <w:tab w:val="num" w:pos="720"/>
        </w:tabs>
        <w:rPr>
          <w:b/>
          <w:bCs/>
          <w:sz w:val="20"/>
          <w:szCs w:val="20"/>
        </w:rPr>
      </w:pPr>
    </w:p>
    <w:p w:rsidR="006F10C6" w:rsidRDefault="006F10C6">
      <w:pPr>
        <w:tabs>
          <w:tab w:val="num" w:pos="720"/>
        </w:tabs>
        <w:rPr>
          <w:b/>
          <w:bCs/>
          <w:sz w:val="20"/>
          <w:szCs w:val="20"/>
        </w:rPr>
      </w:pPr>
    </w:p>
    <w:p w:rsidR="003B05E5" w:rsidRDefault="003B05E5">
      <w:pPr>
        <w:tabs>
          <w:tab w:val="num" w:pos="720"/>
        </w:tabs>
        <w:ind w:left="720"/>
        <w:rPr>
          <w:b/>
          <w:bCs/>
        </w:rPr>
      </w:pPr>
      <w:r>
        <w:rPr>
          <w:b/>
          <w:bCs/>
        </w:rPr>
        <w:t>Globalization</w:t>
      </w:r>
      <w:bookmarkEnd w:id="156"/>
    </w:p>
    <w:p w:rsidR="003B05E5" w:rsidRDefault="00EA64C2">
      <w:pPr>
        <w:tabs>
          <w:tab w:val="num" w:pos="720"/>
        </w:tabs>
        <w:ind w:left="720"/>
        <w:rPr>
          <w:sz w:val="20"/>
          <w:szCs w:val="20"/>
        </w:rPr>
      </w:pPr>
      <w:r>
        <w:rPr>
          <w:noProof/>
          <w:sz w:val="20"/>
          <w:szCs w:val="20"/>
        </w:rPr>
        <w:drawing>
          <wp:anchor distT="0" distB="0" distL="114300" distR="114300" simplePos="0" relativeHeight="251697664" behindDoc="1" locked="0" layoutInCell="1" allowOverlap="1">
            <wp:simplePos x="0" y="0"/>
            <wp:positionH relativeFrom="column">
              <wp:posOffset>480060</wp:posOffset>
            </wp:positionH>
            <wp:positionV relativeFrom="page">
              <wp:posOffset>5922010</wp:posOffset>
            </wp:positionV>
            <wp:extent cx="1247140" cy="1149350"/>
            <wp:effectExtent l="19050" t="0" r="0" b="0"/>
            <wp:wrapTight wrapText="bothSides">
              <wp:wrapPolygon edited="0">
                <wp:start x="-330" y="0"/>
                <wp:lineTo x="-330" y="21123"/>
                <wp:lineTo x="21446" y="21123"/>
                <wp:lineTo x="21446" y="0"/>
                <wp:lineTo x="-330" y="0"/>
              </wp:wrapPolygon>
            </wp:wrapTight>
            <wp:docPr id="6" name="Picture 6" descr="Multiple globes on an orange and blue background with the word Globalization across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r-lsb-nas05\ISG-SectDrive\ISG02-DATA1\MIS\WCLS\ThinkStockImages\des_photos\Globalization illustration_100916049.jpg"/>
                    <pic:cNvPicPr>
                      <a:picLocks noChangeAspect="1" noChangeArrowheads="1"/>
                    </pic:cNvPicPr>
                  </pic:nvPicPr>
                  <pic:blipFill>
                    <a:blip r:embed="rId17" cstate="print"/>
                    <a:srcRect/>
                    <a:stretch>
                      <a:fillRect/>
                    </a:stretch>
                  </pic:blipFill>
                  <pic:spPr bwMode="auto">
                    <a:xfrm>
                      <a:off x="0" y="0"/>
                      <a:ext cx="1247140" cy="1149350"/>
                    </a:xfrm>
                    <a:prstGeom prst="rect">
                      <a:avLst/>
                    </a:prstGeom>
                    <a:noFill/>
                    <a:ln w="9525">
                      <a:noFill/>
                      <a:miter lim="800000"/>
                      <a:headEnd/>
                      <a:tailEnd/>
                    </a:ln>
                  </pic:spPr>
                </pic:pic>
              </a:graphicData>
            </a:graphic>
          </wp:anchor>
        </w:drawing>
      </w:r>
    </w:p>
    <w:p w:rsidR="003B05E5" w:rsidRDefault="003B05E5">
      <w:pPr>
        <w:widowControl/>
        <w:tabs>
          <w:tab w:val="num" w:pos="720"/>
        </w:tabs>
        <w:ind w:left="720"/>
      </w:pPr>
      <w:r>
        <w:t xml:space="preserve">Corporate leaders </w:t>
      </w:r>
      <w:r w:rsidR="00384626">
        <w:t xml:space="preserve">continue to seek </w:t>
      </w:r>
      <w:r>
        <w:t xml:space="preserve">a global presence </w:t>
      </w:r>
      <w:r w:rsidR="00384626">
        <w:t>as an element of</w:t>
      </w:r>
      <w:r>
        <w:t xml:space="preserve"> long-term economic success</w:t>
      </w:r>
      <w:r w:rsidR="00384626">
        <w:t>, and</w:t>
      </w:r>
      <w:r>
        <w:t xml:space="preserve"> more companies</w:t>
      </w:r>
      <w:r w:rsidR="00384626">
        <w:t xml:space="preserve"> </w:t>
      </w:r>
      <w:r>
        <w:t>are transacting a significant portion of their business in</w:t>
      </w:r>
      <w:r w:rsidR="00384626">
        <w:t xml:space="preserve"> </w:t>
      </w:r>
      <w:r>
        <w:t>countries</w:t>
      </w:r>
      <w:r w:rsidR="00384626">
        <w:t xml:space="preserve"> outside of where they are located.  For example,</w:t>
      </w:r>
      <w:r>
        <w:t xml:space="preserve"> in the United States international trade (defined as exports and imports of goods and services) wa</w:t>
      </w:r>
      <w:r w:rsidRPr="00787FDF">
        <w:t xml:space="preserve">s </w:t>
      </w:r>
      <w:r w:rsidR="00186968" w:rsidRPr="00E41A7A">
        <w:t>$4.</w:t>
      </w:r>
      <w:r w:rsidR="00E41A7A" w:rsidRPr="00E41A7A">
        <w:t>9</w:t>
      </w:r>
      <w:r w:rsidR="00186968" w:rsidRPr="00E41A7A">
        <w:t xml:space="preserve"> </w:t>
      </w:r>
      <w:r w:rsidR="00AB237C" w:rsidRPr="00267447">
        <w:t xml:space="preserve">trillion in FY </w:t>
      </w:r>
      <w:r w:rsidR="00267447" w:rsidRPr="00267447">
        <w:t>2012</w:t>
      </w:r>
      <w:r w:rsidR="00AB237C" w:rsidRPr="00267447">
        <w:t>.</w:t>
      </w:r>
      <w:r w:rsidR="00AB237C" w:rsidRPr="00267447">
        <w:rPr>
          <w:rStyle w:val="FootnoteReference"/>
        </w:rPr>
        <w:footnoteReference w:id="1"/>
      </w:r>
    </w:p>
    <w:p w:rsidR="003B05E5" w:rsidRDefault="003B05E5" w:rsidP="00BE78D8">
      <w:pPr>
        <w:widowControl/>
        <w:ind w:left="720" w:firstLine="4500"/>
      </w:pPr>
    </w:p>
    <w:p w:rsidR="003B05E5" w:rsidRDefault="003B05E5">
      <w:pPr>
        <w:widowControl/>
        <w:tabs>
          <w:tab w:val="num" w:pos="720"/>
        </w:tabs>
        <w:ind w:left="720"/>
        <w:sectPr w:rsidR="003B05E5" w:rsidSect="00921A6B">
          <w:endnotePr>
            <w:numFmt w:val="decimal"/>
          </w:endnotePr>
          <w:pgSz w:w="12240" w:h="15840" w:code="1"/>
          <w:pgMar w:top="576" w:right="1440" w:bottom="576" w:left="1440" w:header="0" w:footer="1296" w:gutter="0"/>
          <w:cols w:space="720"/>
          <w:vAlign w:val="center"/>
          <w:noEndnote/>
        </w:sectPr>
      </w:pPr>
      <w:r>
        <w:t xml:space="preserve">The internationalization of the business marketplace has had a direct and significant impact on antitrust enforcement in general, and specifically, on the </w:t>
      </w:r>
      <w:r w:rsidR="008F6E4F">
        <w:t xml:space="preserve">Antitrust </w:t>
      </w:r>
      <w:r>
        <w:t xml:space="preserve">Division’s workload.  A significant number of the premerger filings received by the Division involve foreign acquirers, acquirees, major customers and competitors, and/or divestitures.  </w:t>
      </w:r>
    </w:p>
    <w:p w:rsidR="003B05E5" w:rsidRDefault="00F04474">
      <w:pPr>
        <w:widowControl/>
        <w:tabs>
          <w:tab w:val="num" w:pos="720"/>
        </w:tabs>
        <w:ind w:left="720"/>
        <w:rPr>
          <w:sz w:val="22"/>
        </w:rPr>
      </w:pPr>
      <w:r>
        <w:t>This also impacts our</w:t>
      </w:r>
      <w:r w:rsidR="003B05E5">
        <w:t xml:space="preserve"> criminal enforcement program</w:t>
      </w:r>
      <w:r>
        <w:t xml:space="preserve">. </w:t>
      </w:r>
      <w:r w:rsidR="003B05E5">
        <w:t xml:space="preserve"> </w:t>
      </w:r>
      <w:r>
        <w:t>T</w:t>
      </w:r>
      <w:r w:rsidR="003B05E5">
        <w:t>he Division has witnessed a tremendous upsurge in international cartel activity in recent years.</w:t>
      </w:r>
      <w:r w:rsidR="003B05E5">
        <w:rPr>
          <w:b/>
          <w:bCs/>
        </w:rPr>
        <w:t xml:space="preserve">  </w:t>
      </w:r>
      <w:r w:rsidR="003B05E5">
        <w:t xml:space="preserve">The Division places a particular emphasis on combating international cartels that target </w:t>
      </w:r>
      <w:smartTag w:uri="urn:schemas-microsoft-com:office:smarttags" w:element="country-region">
        <w:smartTag w:uri="urn:schemas-microsoft-com:office:smarttags" w:element="place">
          <w:r w:rsidR="003B05E5">
            <w:t>U.S.</w:t>
          </w:r>
        </w:smartTag>
      </w:smartTag>
      <w:r w:rsidR="003B05E5">
        <w:t xml:space="preserve"> markets because of the breadth and magnitude of the harm that they inflict on American businesses and consumers.  </w:t>
      </w:r>
      <w:bookmarkStart w:id="157" w:name="OLE_LINK2"/>
      <w:bookmarkStart w:id="158" w:name="OLE_LINK13"/>
      <w:r w:rsidR="003B05E5" w:rsidRPr="003204CD">
        <w:t xml:space="preserve">Of the grand juries opened </w:t>
      </w:r>
      <w:r w:rsidR="00FD38FF">
        <w:t xml:space="preserve">through the </w:t>
      </w:r>
      <w:r w:rsidR="00576F59" w:rsidRPr="00576F59">
        <w:t xml:space="preserve">end </w:t>
      </w:r>
      <w:r w:rsidR="007249F2" w:rsidRPr="00576F59">
        <w:t>of FY 2012,</w:t>
      </w:r>
      <w:r w:rsidR="00C66655" w:rsidRPr="00FD38FF">
        <w:t xml:space="preserve"> </w:t>
      </w:r>
      <w:r w:rsidR="00FD38FF">
        <w:t>approxim</w:t>
      </w:r>
      <w:r w:rsidR="00FD38FF" w:rsidRPr="00576F59">
        <w:t xml:space="preserve">ately </w:t>
      </w:r>
      <w:r w:rsidR="00D13F65">
        <w:t xml:space="preserve">      </w:t>
      </w:r>
      <w:r w:rsidR="007249F2" w:rsidRPr="00576F59">
        <w:rPr>
          <w:b/>
          <w:bCs/>
        </w:rPr>
        <w:t>6</w:t>
      </w:r>
      <w:r w:rsidR="00576F59" w:rsidRPr="00576F59">
        <w:rPr>
          <w:b/>
          <w:bCs/>
        </w:rPr>
        <w:t>7</w:t>
      </w:r>
      <w:r w:rsidR="00C66655" w:rsidRPr="00FD38FF">
        <w:rPr>
          <w:b/>
          <w:bCs/>
        </w:rPr>
        <w:t xml:space="preserve"> percent</w:t>
      </w:r>
      <w:r w:rsidR="009D5ABE" w:rsidRPr="00FD38FF">
        <w:rPr>
          <w:b/>
          <w:bCs/>
        </w:rPr>
        <w:t xml:space="preserve"> </w:t>
      </w:r>
      <w:r w:rsidR="009D5ABE" w:rsidRPr="00FD38FF">
        <w:t>were associated with subjects or targets located in foreign countries</w:t>
      </w:r>
      <w:bookmarkEnd w:id="157"/>
      <w:r w:rsidR="009D5ABE" w:rsidRPr="00FD38FF">
        <w:t>.  Of the approximat</w:t>
      </w:r>
      <w:r w:rsidR="00C66655" w:rsidRPr="00576F59">
        <w:t xml:space="preserve">e </w:t>
      </w:r>
      <w:r w:rsidR="007249F2" w:rsidRPr="00576F59">
        <w:rPr>
          <w:b/>
          <w:bCs/>
        </w:rPr>
        <w:t>$7.</w:t>
      </w:r>
      <w:r w:rsidR="00576F59" w:rsidRPr="00576F59">
        <w:rPr>
          <w:b/>
          <w:bCs/>
        </w:rPr>
        <w:t>8</w:t>
      </w:r>
      <w:r w:rsidR="007249F2" w:rsidRPr="00576F59">
        <w:rPr>
          <w:b/>
          <w:bCs/>
        </w:rPr>
        <w:t xml:space="preserve"> billion</w:t>
      </w:r>
      <w:r w:rsidR="009D5ABE" w:rsidRPr="00FD38FF">
        <w:rPr>
          <w:b/>
          <w:bCs/>
        </w:rPr>
        <w:t xml:space="preserve"> </w:t>
      </w:r>
      <w:r w:rsidR="009D5ABE" w:rsidRPr="00FD38FF">
        <w:t xml:space="preserve">in criminal antitrust fines imposed by the Division between </w:t>
      </w:r>
      <w:r w:rsidR="000A6AA9">
        <w:t xml:space="preserve">   </w:t>
      </w:r>
      <w:r w:rsidR="009D5ABE" w:rsidRPr="00FD38FF">
        <w:t xml:space="preserve">FY 1997 and the end of </w:t>
      </w:r>
      <w:r w:rsidR="007249F2" w:rsidRPr="00576F59">
        <w:t>FY 2012</w:t>
      </w:r>
      <w:r w:rsidR="00C66655" w:rsidRPr="00FD38FF">
        <w:t>, approxim</w:t>
      </w:r>
      <w:r w:rsidR="00C66655" w:rsidRPr="00576F59">
        <w:t xml:space="preserve">ately </w:t>
      </w:r>
      <w:r w:rsidR="007249F2" w:rsidRPr="00576F59">
        <w:rPr>
          <w:b/>
          <w:bCs/>
        </w:rPr>
        <w:t>97</w:t>
      </w:r>
      <w:r w:rsidR="00C66655" w:rsidRPr="00FD38FF">
        <w:rPr>
          <w:b/>
          <w:bCs/>
        </w:rPr>
        <w:t xml:space="preserve"> percent</w:t>
      </w:r>
      <w:r w:rsidR="009D5ABE" w:rsidRPr="00FD38FF">
        <w:rPr>
          <w:b/>
          <w:bCs/>
        </w:rPr>
        <w:t xml:space="preserve"> </w:t>
      </w:r>
      <w:r w:rsidR="009D5ABE" w:rsidRPr="00FD38FF">
        <w:t xml:space="preserve">were imposed in connection with the prosecution of international cartel activity.  In addition, approximately </w:t>
      </w:r>
      <w:r w:rsidR="00D13F65">
        <w:t xml:space="preserve">             </w:t>
      </w:r>
      <w:r w:rsidR="00576F59" w:rsidRPr="00576F59">
        <w:rPr>
          <w:b/>
          <w:bCs/>
        </w:rPr>
        <w:t>65</w:t>
      </w:r>
      <w:r w:rsidR="007249F2" w:rsidRPr="00576F59">
        <w:rPr>
          <w:b/>
          <w:bCs/>
        </w:rPr>
        <w:t xml:space="preserve"> foreign defendants</w:t>
      </w:r>
      <w:r w:rsidR="007249F2" w:rsidRPr="00576F59">
        <w:t xml:space="preserve"> f</w:t>
      </w:r>
      <w:r w:rsidR="005C48EB" w:rsidRPr="00576F59">
        <w:t>r</w:t>
      </w:r>
      <w:r w:rsidR="005C48EB" w:rsidRPr="00FD38FF">
        <w:t>om France, Germany, Japan, South Korea, Taiwan, the Netherlands, Norway, Sweden, Switzerland and the United Kingdom have served, or have be</w:t>
      </w:r>
      <w:r w:rsidR="005C48EB" w:rsidRPr="005C48EB">
        <w:t>en sentenced to serve, prison sentences in the United States as a result of the Division’s cartel investigations.</w:t>
      </w:r>
    </w:p>
    <w:bookmarkEnd w:id="158"/>
    <w:p w:rsidR="003B05E5" w:rsidRDefault="003B05E5">
      <w:pPr>
        <w:widowControl/>
        <w:tabs>
          <w:tab w:val="num" w:pos="720"/>
        </w:tabs>
        <w:ind w:left="720"/>
      </w:pPr>
    </w:p>
    <w:p w:rsidR="003B05E5" w:rsidRDefault="0014298E">
      <w:pPr>
        <w:widowControl/>
        <w:tabs>
          <w:tab w:val="num" w:pos="720"/>
        </w:tabs>
        <w:ind w:left="720"/>
      </w:pPr>
      <w:r>
        <w:t xml:space="preserve">The Division’s criminal enforcement program overall, including enforcement against international cartels, has resulted in an increase in criminal fines.  </w:t>
      </w:r>
      <w:r w:rsidR="00427204">
        <w:t>Up until 1994</w:t>
      </w:r>
      <w:r w:rsidR="000A6AA9">
        <w:t>,</w:t>
      </w:r>
      <w:r w:rsidR="00427204">
        <w:t xml:space="preserve"> </w:t>
      </w:r>
      <w:r w:rsidR="003B05E5">
        <w:t>the largest corporate fine</w:t>
      </w:r>
      <w:r w:rsidR="00427204">
        <w:t xml:space="preserve"> </w:t>
      </w:r>
      <w:r w:rsidR="003B05E5">
        <w:t xml:space="preserve">imposed for a single Sherman Act count was $6 million.  </w:t>
      </w:r>
      <w:r w:rsidR="006F24C7">
        <w:t>Today</w:t>
      </w:r>
      <w:r w:rsidR="005F54FB">
        <w:t xml:space="preserve">, </w:t>
      </w:r>
      <w:r w:rsidR="003B05E5">
        <w:t xml:space="preserve">fines of $10 million or more </w:t>
      </w:r>
      <w:r w:rsidR="006F24C7">
        <w:t>are</w:t>
      </w:r>
      <w:r w:rsidR="003B05E5">
        <w:t xml:space="preserve"> commonplace, </w:t>
      </w:r>
      <w:r w:rsidR="006F24C7">
        <w:t>including many</w:t>
      </w:r>
      <w:r w:rsidR="003B05E5">
        <w:t xml:space="preserve"> fines </w:t>
      </w:r>
      <w:r w:rsidR="006F24C7">
        <w:t xml:space="preserve">in excess </w:t>
      </w:r>
      <w:r w:rsidR="005B3EA3">
        <w:t>of      $</w:t>
      </w:r>
      <w:r w:rsidR="003B05E5">
        <w:t>100 million</w:t>
      </w:r>
      <w:r w:rsidR="003B05E5" w:rsidRPr="00D7248B">
        <w:t xml:space="preserve">.  </w:t>
      </w:r>
      <w:r w:rsidR="002822F4">
        <w:t>In FY 2012</w:t>
      </w:r>
      <w:r w:rsidR="00A923CD">
        <w:t>,</w:t>
      </w:r>
      <w:r w:rsidR="002822F4">
        <w:t xml:space="preserve"> t</w:t>
      </w:r>
      <w:r w:rsidR="00911A6D">
        <w:t xml:space="preserve">otal criminal antitrust fines obtained reached a record </w:t>
      </w:r>
      <w:r w:rsidR="005B3EA3">
        <w:t xml:space="preserve">      </w:t>
      </w:r>
      <w:r w:rsidR="007E37AD" w:rsidRPr="007E37AD">
        <w:rPr>
          <w:b/>
        </w:rPr>
        <w:t>$1.1</w:t>
      </w:r>
      <w:r w:rsidR="00911A6D">
        <w:t xml:space="preserve"> </w:t>
      </w:r>
      <w:r w:rsidR="00911A6D">
        <w:rPr>
          <w:b/>
        </w:rPr>
        <w:t>billion</w:t>
      </w:r>
      <w:r w:rsidR="002822F4">
        <w:rPr>
          <w:b/>
        </w:rPr>
        <w:t xml:space="preserve">.  </w:t>
      </w:r>
      <w:r w:rsidR="002822F4">
        <w:t>Contributing to that total was a S</w:t>
      </w:r>
      <w:r w:rsidR="007A1CBE" w:rsidRPr="007A1CBE">
        <w:t>eptember</w:t>
      </w:r>
      <w:r w:rsidR="007249F2" w:rsidRPr="007A1CBE">
        <w:t xml:space="preserve"> 2012</w:t>
      </w:r>
      <w:r w:rsidR="002822F4">
        <w:t xml:space="preserve"> sentence against AU Optronics Corporatio</w:t>
      </w:r>
      <w:r w:rsidR="00A923CD">
        <w:t>n</w:t>
      </w:r>
      <w:r w:rsidR="002822F4">
        <w:t>.  A</w:t>
      </w:r>
      <w:r w:rsidR="007249F2" w:rsidRPr="007A1CBE">
        <w:t xml:space="preserve">s a result of Division enforcement efforts, </w:t>
      </w:r>
      <w:r w:rsidR="007A1CBE" w:rsidRPr="007A1CBE">
        <w:t>AU Optronics</w:t>
      </w:r>
      <w:r w:rsidR="007249F2" w:rsidRPr="007A1CBE">
        <w:t xml:space="preserve"> Corporation – a </w:t>
      </w:r>
      <w:r w:rsidR="007A1CBE" w:rsidRPr="007A1CBE">
        <w:t>Taiwan-based liquid crystal display (LCD) producer</w:t>
      </w:r>
      <w:r w:rsidR="007249F2" w:rsidRPr="007A1CBE">
        <w:t xml:space="preserve"> – </w:t>
      </w:r>
      <w:r w:rsidR="00CD4A06" w:rsidRPr="00CD4A06">
        <w:t>was sentenced</w:t>
      </w:r>
      <w:r w:rsidR="007249F2" w:rsidRPr="00CD4A06">
        <w:t xml:space="preserve"> to pay a </w:t>
      </w:r>
      <w:r w:rsidR="007249F2" w:rsidRPr="00CD4A06">
        <w:rPr>
          <w:b/>
        </w:rPr>
        <w:t>$</w:t>
      </w:r>
      <w:r w:rsidR="00CD4A06" w:rsidRPr="00CD4A06">
        <w:rPr>
          <w:b/>
        </w:rPr>
        <w:t>500</w:t>
      </w:r>
      <w:r w:rsidR="007249F2" w:rsidRPr="00CD4A06">
        <w:rPr>
          <w:b/>
        </w:rPr>
        <w:t xml:space="preserve"> million </w:t>
      </w:r>
      <w:r w:rsidR="007249F2" w:rsidRPr="00CD4A06">
        <w:t xml:space="preserve">fine </w:t>
      </w:r>
      <w:r w:rsidR="007249F2" w:rsidRPr="00255037">
        <w:t xml:space="preserve">for </w:t>
      </w:r>
      <w:r w:rsidR="00255037" w:rsidRPr="00255037">
        <w:t>its participation</w:t>
      </w:r>
      <w:r w:rsidR="007249F2" w:rsidRPr="00255037">
        <w:t xml:space="preserve"> in </w:t>
      </w:r>
      <w:r w:rsidR="00255037" w:rsidRPr="00255037">
        <w:t>a five-year conspiracy to fix the prices of thin-film transistor LCD panels sold worldwide.</w:t>
      </w:r>
      <w:r w:rsidR="007249F2" w:rsidRPr="00255037">
        <w:t xml:space="preserve"> </w:t>
      </w:r>
      <w:r w:rsidR="007249F2" w:rsidRPr="00F40A4E">
        <w:t xml:space="preserve"> </w:t>
      </w:r>
      <w:r w:rsidR="00F40A4E" w:rsidRPr="00F40A4E">
        <w:t xml:space="preserve">The </w:t>
      </w:r>
      <w:r w:rsidR="007E37AD" w:rsidRPr="007E37AD">
        <w:rPr>
          <w:b/>
        </w:rPr>
        <w:t>$500</w:t>
      </w:r>
      <w:r w:rsidR="00F40A4E" w:rsidRPr="00F40A4E">
        <w:t xml:space="preserve"> </w:t>
      </w:r>
      <w:r w:rsidR="00F40A4E" w:rsidRPr="00F40A4E">
        <w:rPr>
          <w:b/>
        </w:rPr>
        <w:t>million</w:t>
      </w:r>
      <w:r w:rsidR="00F40A4E" w:rsidRPr="00F40A4E">
        <w:t xml:space="preserve"> fine matches the largest fine</w:t>
      </w:r>
      <w:r w:rsidR="002E3873">
        <w:t xml:space="preserve"> ever </w:t>
      </w:r>
      <w:r w:rsidR="00F40A4E" w:rsidRPr="00F40A4E">
        <w:t xml:space="preserve">imposed against a company for violating the U.S. antitrust laws.  </w:t>
      </w:r>
      <w:r w:rsidR="005B3EA3">
        <w:t xml:space="preserve">In addition, Yazaki Corp. agreed to plead guilty and pay a </w:t>
      </w:r>
      <w:r w:rsidR="005B3EA3" w:rsidRPr="005B3EA3">
        <w:rPr>
          <w:b/>
        </w:rPr>
        <w:t>$470 million</w:t>
      </w:r>
      <w:r w:rsidR="005B3EA3">
        <w:t xml:space="preserve"> criminal fine in January 2012 for auto parts price fixing, representing the second largest criminal fine for an antitrust violation.  </w:t>
      </w:r>
      <w:r w:rsidR="003B05E5" w:rsidRPr="00427204">
        <w:t>The impact of these heightened penalties has been an increase in the participation of large</w:t>
      </w:r>
      <w:r w:rsidR="003B05E5">
        <w:t xml:space="preserve"> firms in the Division’s Corporate Leniency Program, bringing more and larger conspiracies to the Division’s attention before they can inflict additional harm on U.S. businesses and consumers.   </w:t>
      </w:r>
    </w:p>
    <w:p w:rsidR="003B05E5" w:rsidRDefault="003B05E5">
      <w:pPr>
        <w:widowControl/>
        <w:tabs>
          <w:tab w:val="num" w:pos="720"/>
        </w:tabs>
        <w:ind w:left="720"/>
      </w:pPr>
    </w:p>
    <w:p w:rsidR="003B05E5" w:rsidRDefault="00BA2123">
      <w:pPr>
        <w:widowControl/>
        <w:tabs>
          <w:tab w:val="num" w:pos="720"/>
        </w:tabs>
        <w:ind w:left="720"/>
        <w:sectPr w:rsidR="003B05E5" w:rsidSect="0054642A">
          <w:endnotePr>
            <w:numFmt w:val="decimal"/>
          </w:endnotePr>
          <w:pgSz w:w="12240" w:h="15840" w:code="1"/>
          <w:pgMar w:top="1008" w:right="1440" w:bottom="432" w:left="1440" w:header="0" w:footer="432" w:gutter="0"/>
          <w:cols w:space="720"/>
          <w:noEndnote/>
        </w:sectPr>
      </w:pPr>
      <w:r>
        <w:t>As discussed above, o</w:t>
      </w:r>
      <w:r w:rsidR="003B05E5">
        <w:t xml:space="preserve">ur work no longer takes place solely within the geographic borders of the U.S.  In our enforcement efforts we find parties, potential evidence, and impacts abroad, all of which add complexity, and ultimately cost, to the pursuit of matters.  Whether that complexity and cost results from having to collect evidence overseas or from having to undertake extensive inter-governmental negotiations in order to depose a foreign national, it makes for a very different, and generally more difficult investigatory process than would be the case if our efforts were restricted to conduct and individuals in the </w:t>
      </w:r>
      <w:smartTag w:uri="urn:schemas-microsoft-com:office:smarttags" w:element="country-region">
        <w:smartTag w:uri="urn:schemas-microsoft-com:office:smarttags" w:element="place">
          <w:r w:rsidR="003B05E5">
            <w:t>U.S.</w:t>
          </w:r>
        </w:smartTag>
      </w:smartTag>
      <w:r w:rsidR="003B05E5">
        <w:t xml:space="preserve"> The markets and competitors affecting </w:t>
      </w:r>
      <w:smartTag w:uri="urn:schemas-microsoft-com:office:smarttags" w:element="country-region">
        <w:smartTag w:uri="urn:schemas-microsoft-com:office:smarttags" w:element="place">
          <w:r w:rsidR="003B05E5">
            <w:t>U.S.</w:t>
          </w:r>
        </w:smartTag>
      </w:smartTag>
      <w:r w:rsidR="003B05E5">
        <w:t xml:space="preserve"> businesses and consumers are more international in scope, and the variety of languages and business cultures that the Division encounters has increased. Consequently, the Division must spend more for translators</w:t>
      </w:r>
      <w:r>
        <w:t xml:space="preserve"> and translation software</w:t>
      </w:r>
      <w:r w:rsidR="003B05E5">
        <w:t>, interpreters, and communications, and Division staff must travel greater distances to reach the people and information required to conduct an investigation effectively and expend more resources to coordinate our international enforcement efforts with other countries and international organizations.</w:t>
      </w:r>
    </w:p>
    <w:p w:rsidR="003B05E5" w:rsidRDefault="003B05E5">
      <w:pPr>
        <w:widowControl/>
        <w:tabs>
          <w:tab w:val="num" w:pos="720"/>
        </w:tabs>
      </w:pPr>
    </w:p>
    <w:p w:rsidR="00326164" w:rsidRDefault="00326164" w:rsidP="007A6B93">
      <w:pPr>
        <w:ind w:left="720"/>
        <w:rPr>
          <w:u w:val="single"/>
        </w:rPr>
      </w:pPr>
      <w:bookmarkStart w:id="159" w:name="OLE_LINK10"/>
      <w:bookmarkStart w:id="160" w:name="OLE_LINK14"/>
    </w:p>
    <w:p w:rsidR="00326164" w:rsidRDefault="00326164" w:rsidP="007A6B93">
      <w:pPr>
        <w:ind w:left="720"/>
        <w:rPr>
          <w:u w:val="single"/>
        </w:rPr>
      </w:pPr>
    </w:p>
    <w:p w:rsidR="007A6B93" w:rsidRPr="007A6B93" w:rsidRDefault="003B05E5" w:rsidP="007A6B93">
      <w:pPr>
        <w:ind w:left="720"/>
      </w:pPr>
      <w:r w:rsidRPr="007A6B93">
        <w:rPr>
          <w:u w:val="single"/>
        </w:rPr>
        <w:t>International Competition Advocacy</w:t>
      </w:r>
      <w:r w:rsidRPr="007A6B93">
        <w:t xml:space="preserve"> - The Antitrust Division is actively working with international organizations to encourage the adoption, regulation, and enforcement of competition laws as worldwide consensus continues to grow that international cartel activity is pervasive and is victimizing consumers everywhere.  </w:t>
      </w:r>
      <w:r w:rsidR="007249F2" w:rsidRPr="00706ACF">
        <w:t xml:space="preserve">Total cartel sales of </w:t>
      </w:r>
      <w:r w:rsidR="000A6AA9">
        <w:t xml:space="preserve">   </w:t>
      </w:r>
      <w:r w:rsidR="007249F2" w:rsidRPr="00706ACF">
        <w:t>$1.2 trillion in 2005 contained illegal overcharges of $300 billion, a 25 percent premium paid for by consumers and businesses worldwide.</w:t>
      </w:r>
      <w:r w:rsidR="007E37AD" w:rsidRPr="00706ACF">
        <w:rPr>
          <w:rStyle w:val="FootnoteReference"/>
        </w:rPr>
        <w:footnoteReference w:customMarkFollows="1" w:id="2"/>
        <w:t>2</w:t>
      </w:r>
      <w:r w:rsidR="007E37AD" w:rsidRPr="00706ACF">
        <w:rPr>
          <w:vertAlign w:val="superscript"/>
        </w:rPr>
        <w:t xml:space="preserve">   </w:t>
      </w:r>
      <w:r w:rsidR="007249F2" w:rsidRPr="00706ACF">
        <w:t>The Antitrust Division’s commitment t</w:t>
      </w:r>
      <w:r w:rsidRPr="00706ACF">
        <w:t>o</w:t>
      </w:r>
      <w:r w:rsidRPr="007A6B93">
        <w:t xml:space="preserve"> detect and prosecute international cartel activity is shared with foreign governments throughout the world, resulting in the establishment of antitrust </w:t>
      </w:r>
      <w:bookmarkStart w:id="161" w:name="OLE_LINK4"/>
      <w:bookmarkStart w:id="162" w:name="OLE_LINK15"/>
      <w:r w:rsidRPr="007A6B93">
        <w:t>cooperative agreement</w:t>
      </w:r>
      <w:bookmarkEnd w:id="161"/>
      <w:bookmarkEnd w:id="162"/>
      <w:r w:rsidRPr="007A6B93">
        <w:t xml:space="preserve">s among competition law enforcement authorities across the globe.  </w:t>
      </w:r>
      <w:r w:rsidR="007249F2" w:rsidRPr="007249F2">
        <w:t>To date, the Division has entered into antitrust cooperation agreements with twelve foreign governments – Australia, Brazil, Canada, Chile, China, the European Union, Germany, India, Israel, Japan, Mexico and Russia.</w:t>
      </w:r>
      <w:r w:rsidR="007A6B93" w:rsidRPr="007A6B93">
        <w:t xml:space="preserve">  </w:t>
      </w:r>
    </w:p>
    <w:p w:rsidR="007A6B93" w:rsidRPr="007A6B93" w:rsidRDefault="007A6B93" w:rsidP="007A6B93">
      <w:pPr>
        <w:ind w:left="720"/>
        <w:rPr>
          <w:sz w:val="20"/>
          <w:szCs w:val="20"/>
        </w:rPr>
      </w:pPr>
    </w:p>
    <w:p w:rsidR="007A6B93" w:rsidRDefault="00EA64C2" w:rsidP="007A6B93">
      <w:pPr>
        <w:ind w:left="720"/>
      </w:pPr>
      <w:r>
        <w:rPr>
          <w:noProof/>
        </w:rPr>
        <w:drawing>
          <wp:anchor distT="0" distB="0" distL="114300" distR="114300" simplePos="0" relativeHeight="251698688" behindDoc="0" locked="0" layoutInCell="1" allowOverlap="1">
            <wp:simplePos x="0" y="0"/>
            <wp:positionH relativeFrom="column">
              <wp:posOffset>3089275</wp:posOffset>
            </wp:positionH>
            <wp:positionV relativeFrom="page">
              <wp:posOffset>4084955</wp:posOffset>
            </wp:positionV>
            <wp:extent cx="2665095" cy="2558415"/>
            <wp:effectExtent l="19050" t="0" r="1905" b="0"/>
            <wp:wrapSquare wrapText="bothSides"/>
            <wp:docPr id="11" name="Picture 8" descr="World flags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r-lsb-nas05\ISG-SectDrive\ISG02-DATA1\MIS\WCLS\ThinkStockImages\des_photos\World flags sphere_124015625.jpg"/>
                    <pic:cNvPicPr>
                      <a:picLocks noChangeAspect="1" noChangeArrowheads="1"/>
                    </pic:cNvPicPr>
                  </pic:nvPicPr>
                  <pic:blipFill>
                    <a:blip r:embed="rId18" cstate="print"/>
                    <a:srcRect r="9177" b="13508"/>
                    <a:stretch>
                      <a:fillRect/>
                    </a:stretch>
                  </pic:blipFill>
                  <pic:spPr bwMode="auto">
                    <a:xfrm>
                      <a:off x="0" y="0"/>
                      <a:ext cx="2665095" cy="2558415"/>
                    </a:xfrm>
                    <a:prstGeom prst="rect">
                      <a:avLst/>
                    </a:prstGeom>
                    <a:noFill/>
                    <a:ln w="9525">
                      <a:noFill/>
                      <a:miter lim="800000"/>
                      <a:headEnd/>
                      <a:tailEnd/>
                    </a:ln>
                  </pic:spPr>
                </pic:pic>
              </a:graphicData>
            </a:graphic>
          </wp:anchor>
        </w:drawing>
      </w:r>
      <w:r w:rsidR="007A6B93" w:rsidRPr="007A6B93">
        <w:t xml:space="preserve">In addition, antitrust authorities </w:t>
      </w:r>
      <w:r w:rsidR="008C22D5">
        <w:t>globally</w:t>
      </w:r>
      <w:r w:rsidR="007A6B93" w:rsidRPr="007A6B93">
        <w:t xml:space="preserve"> are becoming increasingly a</w:t>
      </w:r>
      <w:r w:rsidR="003C7799">
        <w:t>ctive</w:t>
      </w:r>
      <w:r w:rsidR="007A6B93" w:rsidRPr="007A6B93">
        <w:t xml:space="preserve"> in investigating and punishing cartels that adversely affect consumers.  The Division is a strong advocate for effective anti-cartel enforcement around the world.  As effective global cartel enforcement programs are implemented and criminal cartel penalties adopted, the overall detection of large</w:t>
      </w:r>
      <w:r w:rsidR="003C7799">
        <w:t>, international cartels i</w:t>
      </w:r>
      <w:r w:rsidR="007A6B93" w:rsidRPr="007A6B93">
        <w:t xml:space="preserve">ncreases along with the Division’s ability to collect evidence critical to its enforcement efforts on behalf of American consumers.  </w:t>
      </w:r>
      <w:r w:rsidR="00E33518" w:rsidRPr="001F79DB">
        <w:t>In the past decade, dozens of jurisdictions have increased penalties for cartel conduct, improved their i</w:t>
      </w:r>
      <w:r w:rsidR="00A85A38">
        <w:t xml:space="preserve">nvestigative powers and introduced or revised amnesty programs. </w:t>
      </w:r>
      <w:r w:rsidR="007249F2" w:rsidRPr="00827C60">
        <w:t xml:space="preserve">For example, </w:t>
      </w:r>
      <w:r w:rsidR="00827C60" w:rsidRPr="00827C60">
        <w:t xml:space="preserve">Canada and Mexico </w:t>
      </w:r>
      <w:r w:rsidR="007249F2" w:rsidRPr="00827C60">
        <w:t xml:space="preserve">have recently adopted or strengthened criminal sanctions for hard core cartel conduct.  In addition, jurisdictions such as </w:t>
      </w:r>
      <w:r w:rsidR="00827C60" w:rsidRPr="00827C60">
        <w:t xml:space="preserve">Australia, Canada and New Zealand </w:t>
      </w:r>
      <w:r w:rsidR="007249F2" w:rsidRPr="00827C60">
        <w:t>have made revisions to their cartel amnesty policies making them more consistent with the United States.</w:t>
      </w:r>
    </w:p>
    <w:p w:rsidR="007A6B93" w:rsidRDefault="007A6B93" w:rsidP="007A6B93">
      <w:pPr>
        <w:ind w:left="720"/>
      </w:pPr>
    </w:p>
    <w:p w:rsidR="007A6B93" w:rsidRDefault="007A6B93" w:rsidP="007A6B93">
      <w:pPr>
        <w:ind w:left="720"/>
      </w:pPr>
    </w:p>
    <w:p w:rsidR="007A6B93" w:rsidRDefault="007A6B93" w:rsidP="001B2A8A"/>
    <w:p w:rsidR="007A6B93" w:rsidRDefault="007A6B93" w:rsidP="007A6B93">
      <w:pPr>
        <w:ind w:left="720"/>
      </w:pPr>
    </w:p>
    <w:p w:rsidR="007A6B93" w:rsidRPr="007A6B93" w:rsidRDefault="007A6B93" w:rsidP="007A6B93">
      <w:pPr>
        <w:ind w:left="720"/>
        <w:rPr>
          <w:sz w:val="22"/>
          <w:szCs w:val="22"/>
        </w:rPr>
      </w:pPr>
    </w:p>
    <w:bookmarkEnd w:id="159"/>
    <w:bookmarkEnd w:id="160"/>
    <w:p w:rsidR="003B05E5" w:rsidRPr="00191AE0" w:rsidRDefault="003B05E5">
      <w:pPr>
        <w:widowControl/>
        <w:tabs>
          <w:tab w:val="num" w:pos="720"/>
        </w:tabs>
        <w:ind w:left="720"/>
        <w:rPr>
          <w:sz w:val="20"/>
          <w:szCs w:val="20"/>
        </w:rPr>
      </w:pPr>
    </w:p>
    <w:p w:rsidR="003B05E5" w:rsidRPr="00191AE0" w:rsidRDefault="003B05E5">
      <w:pPr>
        <w:widowControl/>
        <w:tabs>
          <w:tab w:val="num" w:pos="720"/>
        </w:tabs>
        <w:ind w:left="720"/>
      </w:pPr>
    </w:p>
    <w:p w:rsidR="00A969E7" w:rsidRDefault="00A969E7">
      <w:pPr>
        <w:tabs>
          <w:tab w:val="num" w:pos="720"/>
        </w:tabs>
        <w:ind w:left="720"/>
        <w:sectPr w:rsidR="00A969E7" w:rsidSect="00ED2546">
          <w:endnotePr>
            <w:numFmt w:val="decimal"/>
          </w:endnotePr>
          <w:type w:val="continuous"/>
          <w:pgSz w:w="12240" w:h="15840" w:code="1"/>
          <w:pgMar w:top="1008" w:right="1440" w:bottom="576" w:left="1440" w:header="0" w:footer="0" w:gutter="0"/>
          <w:cols w:space="720"/>
          <w:noEndnote/>
        </w:sectPr>
      </w:pPr>
    </w:p>
    <w:p w:rsidR="00A969E7" w:rsidRDefault="00A969E7">
      <w:pPr>
        <w:tabs>
          <w:tab w:val="num" w:pos="720"/>
        </w:tabs>
        <w:ind w:left="720"/>
        <w:sectPr w:rsidR="00A969E7" w:rsidSect="00A969E7">
          <w:endnotePr>
            <w:numFmt w:val="decimal"/>
          </w:endnotePr>
          <w:pgSz w:w="12240" w:h="15840" w:code="1"/>
          <w:pgMar w:top="1728" w:right="1440" w:bottom="720" w:left="1440" w:header="0" w:footer="432" w:gutter="0"/>
          <w:cols w:space="720"/>
          <w:noEndnote/>
        </w:sectPr>
      </w:pPr>
    </w:p>
    <w:p w:rsidR="003B05E5" w:rsidRDefault="003B05E5">
      <w:pPr>
        <w:tabs>
          <w:tab w:val="num" w:pos="720"/>
        </w:tabs>
        <w:ind w:left="720"/>
      </w:pPr>
      <w:r>
        <w:t xml:space="preserve">Efforts such as these help enhance global antitrust enforcement and reduce the burden on law abiding companies </w:t>
      </w:r>
      <w:r w:rsidR="003E09EB">
        <w:t>that</w:t>
      </w:r>
      <w:r>
        <w:t xml:space="preserve"> operate in international markets.  In addition, they promote international uniformity and help bring cartel prosecution in line with international best practices.</w:t>
      </w:r>
    </w:p>
    <w:p w:rsidR="001978A8" w:rsidRDefault="001978A8">
      <w:pPr>
        <w:tabs>
          <w:tab w:val="num" w:pos="720"/>
        </w:tabs>
        <w:ind w:left="720"/>
      </w:pPr>
    </w:p>
    <w:p w:rsidR="00887BAE" w:rsidRDefault="003B05E5">
      <w:pPr>
        <w:tabs>
          <w:tab w:val="num" w:pos="720"/>
        </w:tabs>
        <w:ind w:left="720"/>
      </w:pPr>
      <w:r>
        <w:t xml:space="preserve">The Division continues to </w:t>
      </w:r>
      <w:r w:rsidR="00A138E6">
        <w:t>prioritize</w:t>
      </w:r>
      <w:r>
        <w:t xml:space="preserve"> international cooperation</w:t>
      </w:r>
      <w:r w:rsidR="00A138E6">
        <w:t>, procedural fairness</w:t>
      </w:r>
      <w:r>
        <w:t xml:space="preserve"> and</w:t>
      </w:r>
      <w:r w:rsidR="00A138E6">
        <w:t>, where appropriate,</w:t>
      </w:r>
      <w:r>
        <w:t xml:space="preserve"> antitrust policy convergence and pursues these goals by working closely with multilateral organizations, strengthening its bilateral ties with antitrust agencies worldwide, and working with countries that are in the process of adopting antitrust laws.  </w:t>
      </w:r>
    </w:p>
    <w:p w:rsidR="00887BAE" w:rsidRDefault="00887BAE">
      <w:pPr>
        <w:tabs>
          <w:tab w:val="num" w:pos="720"/>
        </w:tabs>
        <w:ind w:left="720"/>
      </w:pPr>
    </w:p>
    <w:p w:rsidR="003B05E5" w:rsidRDefault="00887BAE" w:rsidP="00ED2546">
      <w:pPr>
        <w:tabs>
          <w:tab w:val="num" w:pos="720"/>
        </w:tabs>
        <w:ind w:left="720" w:right="756"/>
      </w:pPr>
      <w:r>
        <w:t>In October 2001, w</w:t>
      </w:r>
      <w:r w:rsidR="003B05E5">
        <w:t>ith leadership from the Antitrust Division, the International Competition Network</w:t>
      </w:r>
      <w:r w:rsidR="007C72A7">
        <w:t xml:space="preserve"> (ICN)</w:t>
      </w:r>
      <w:r w:rsidR="006E05D1">
        <w:t>, comprise</w:t>
      </w:r>
      <w:r w:rsidR="00912C87">
        <w:t xml:space="preserve">d of competition authorities from </w:t>
      </w:r>
      <w:r w:rsidR="00D13F65">
        <w:t xml:space="preserve">            </w:t>
      </w:r>
      <w:r w:rsidR="00912C87">
        <w:t>1</w:t>
      </w:r>
      <w:r w:rsidR="00B667DB">
        <w:t>3</w:t>
      </w:r>
      <w:r w:rsidR="00912C87">
        <w:t xml:space="preserve"> jurisdictions,</w:t>
      </w:r>
      <w:r w:rsidR="003B05E5">
        <w:t xml:space="preserve"> was </w:t>
      </w:r>
      <w:r w:rsidR="006E05D1">
        <w:t>launched</w:t>
      </w:r>
      <w:r w:rsidR="009D49CC">
        <w:t>.</w:t>
      </w:r>
      <w:r w:rsidR="003B05E5">
        <w:t xml:space="preserve"> </w:t>
      </w:r>
      <w:r>
        <w:t xml:space="preserve">  The Division</w:t>
      </w:r>
      <w:r w:rsidR="00A138E6">
        <w:t xml:space="preserve"> continues to play an important role in achieving consensus, where appropriate, </w:t>
      </w:r>
      <w:r w:rsidR="003B05E5">
        <w:t xml:space="preserve">among antitrust authorities on sound competition principles and </w:t>
      </w:r>
      <w:r w:rsidR="00A138E6">
        <w:t>also</w:t>
      </w:r>
      <w:r w:rsidR="003B05E5">
        <w:t xml:space="preserve"> provide</w:t>
      </w:r>
      <w:r w:rsidR="00A138E6">
        <w:t>s</w:t>
      </w:r>
      <w:r w:rsidR="003B05E5">
        <w:t xml:space="preserve"> support for new antitrust agencies in enforcing their laws and building strong competition cultures</w:t>
      </w:r>
      <w:r w:rsidR="003B05E5" w:rsidRPr="00BA6032">
        <w:t xml:space="preserve">.  </w:t>
      </w:r>
      <w:r w:rsidR="006E05D1" w:rsidRPr="0092738D">
        <w:t>As of 201</w:t>
      </w:r>
      <w:r w:rsidR="00A16D38">
        <w:t>2</w:t>
      </w:r>
      <w:r w:rsidR="006E05D1" w:rsidRPr="0092738D">
        <w:t>, the ICN</w:t>
      </w:r>
      <w:r w:rsidR="007C72A7">
        <w:t xml:space="preserve"> has grown to include</w:t>
      </w:r>
      <w:r w:rsidR="009D5ABE" w:rsidRPr="006E05D1">
        <w:t xml:space="preserve"> 1</w:t>
      </w:r>
      <w:r w:rsidR="00A16D38">
        <w:t>23</w:t>
      </w:r>
      <w:r w:rsidR="009D5ABE" w:rsidRPr="006E05D1">
        <w:t xml:space="preserve"> agencies from </w:t>
      </w:r>
      <w:r w:rsidR="00200EDD">
        <w:t>10</w:t>
      </w:r>
      <w:r w:rsidR="00A16D38">
        <w:t>8</w:t>
      </w:r>
      <w:r w:rsidR="009D5ABE" w:rsidRPr="006E05D1">
        <w:t xml:space="preserve"> jurisdictions.  The </w:t>
      </w:r>
      <w:r w:rsidR="00284E48">
        <w:t>eleventh</w:t>
      </w:r>
      <w:r w:rsidR="009D5ABE" w:rsidRPr="006E05D1">
        <w:t xml:space="preserve"> annual conference of the ICN</w:t>
      </w:r>
      <w:r w:rsidR="007C72A7">
        <w:t xml:space="preserve"> </w:t>
      </w:r>
      <w:r w:rsidR="009D5ABE" w:rsidRPr="006E05D1">
        <w:t xml:space="preserve">was held in </w:t>
      </w:r>
      <w:r w:rsidR="00284E48">
        <w:t xml:space="preserve">Rio de Janeiro, Brazil </w:t>
      </w:r>
      <w:r w:rsidR="009D5ABE" w:rsidRPr="006E05D1">
        <w:t xml:space="preserve">in </w:t>
      </w:r>
      <w:r w:rsidR="00284E48">
        <w:t>April</w:t>
      </w:r>
      <w:r w:rsidR="009D5ABE" w:rsidRPr="006E05D1">
        <w:t xml:space="preserve"> 201</w:t>
      </w:r>
      <w:r w:rsidR="00284E48">
        <w:t>2</w:t>
      </w:r>
      <w:r w:rsidR="009D5ABE" w:rsidRPr="006E05D1">
        <w:t xml:space="preserve"> </w:t>
      </w:r>
      <w:r w:rsidR="009D5ABE" w:rsidRPr="0092738D">
        <w:t xml:space="preserve">where ICN members </w:t>
      </w:r>
      <w:r w:rsidR="0092738D" w:rsidRPr="0092738D">
        <w:t>adopted new materials on how to assess market dominance, resolve cartel cases and manage competition projects effectively.</w:t>
      </w:r>
      <w:r w:rsidR="003B05E5">
        <w:t xml:space="preserve"> </w:t>
      </w:r>
    </w:p>
    <w:p w:rsidR="00293760" w:rsidRDefault="00293760">
      <w:pPr>
        <w:widowControl/>
        <w:tabs>
          <w:tab w:val="num" w:pos="720"/>
        </w:tabs>
        <w:rPr>
          <w:b/>
          <w:bCs/>
        </w:rPr>
      </w:pPr>
      <w:bookmarkStart w:id="163" w:name="_Toc38000338"/>
    </w:p>
    <w:p w:rsidR="00293760" w:rsidRDefault="00293760">
      <w:pPr>
        <w:widowControl/>
        <w:tabs>
          <w:tab w:val="num" w:pos="720"/>
        </w:tabs>
        <w:rPr>
          <w:b/>
          <w:bCs/>
        </w:rPr>
      </w:pPr>
    </w:p>
    <w:p w:rsidR="00A969E7" w:rsidRDefault="00B41A4D" w:rsidP="00293760">
      <w:pPr>
        <w:widowControl/>
        <w:tabs>
          <w:tab w:val="num" w:pos="720"/>
        </w:tabs>
        <w:ind w:firstLine="630"/>
        <w:rPr>
          <w:b/>
          <w:bCs/>
        </w:rPr>
        <w:sectPr w:rsidR="00A969E7" w:rsidSect="00ED2546">
          <w:endnotePr>
            <w:numFmt w:val="decimal"/>
          </w:endnotePr>
          <w:type w:val="continuous"/>
          <w:pgSz w:w="12240" w:h="15840" w:code="1"/>
          <w:pgMar w:top="1008" w:right="1440" w:bottom="576" w:left="1440" w:header="0" w:footer="0" w:gutter="0"/>
          <w:cols w:space="720"/>
          <w:noEndnote/>
        </w:sectPr>
      </w:pPr>
      <w:r w:rsidRPr="00DD5825">
        <w:rPr>
          <w:b/>
          <w:bCs/>
        </w:rPr>
        <w:pict>
          <v:shape id="_x0000_i1026" type="#_x0000_t75" alt="Image - Background is a blue glowing map of the world.  In the foreground are silouettes of business people conversing and shaking hands." style="width:440.15pt;height:189.5pt">
            <v:imagedata r:id="rId19" o:title="j0433139"/>
          </v:shape>
        </w:pict>
      </w:r>
    </w:p>
    <w:p w:rsidR="00A969E7" w:rsidRDefault="00A969E7" w:rsidP="00A969E7">
      <w:pPr>
        <w:tabs>
          <w:tab w:val="num" w:pos="720"/>
        </w:tabs>
        <w:ind w:left="720"/>
        <w:rPr>
          <w:b/>
        </w:rPr>
      </w:pPr>
      <w:r w:rsidRPr="00F6735D">
        <w:rPr>
          <w:b/>
        </w:rPr>
        <w:t>Intellectual Property</w:t>
      </w:r>
    </w:p>
    <w:p w:rsidR="00A969E7" w:rsidRDefault="00A969E7" w:rsidP="00A969E7">
      <w:pPr>
        <w:tabs>
          <w:tab w:val="num" w:pos="720"/>
        </w:tabs>
        <w:ind w:left="720"/>
        <w:rPr>
          <w:b/>
        </w:rPr>
      </w:pPr>
    </w:p>
    <w:p w:rsidR="00A969E7" w:rsidRDefault="00A969E7" w:rsidP="00A969E7">
      <w:pPr>
        <w:ind w:left="720"/>
      </w:pPr>
      <w:r w:rsidRPr="00F6735D">
        <w:t>Invention and innovation are critical in promoting economic growth, creating jobs, and maintaining our competitiveness in the global economy.  Intellectual property laws create exclusive rights that provide incentives for innovation.  Antitrust laws ensure that new proprietary technologies, products, and services are bought, sold, traded and license</w:t>
      </w:r>
      <w:r>
        <w:t>d in a competitive environment.</w:t>
      </w:r>
      <w:r w:rsidRPr="00F6735D">
        <w:t xml:space="preserve">  Together, antitrust enforcement and the protection of intellectual property rights create an environment that promotes the innovation necessary for economic success.  Issues involving patents, copyrights, trademarks, or trade secrets, arise in the Division’s antitrust enforcement investigations, international competition advocacy, in</w:t>
      </w:r>
      <w:r>
        <w:t>ter</w:t>
      </w:r>
      <w:r w:rsidRPr="00F6735D">
        <w:t xml:space="preserve">agency initiatives, </w:t>
      </w:r>
      <w:r>
        <w:t xml:space="preserve">business review letters, </w:t>
      </w:r>
      <w:r w:rsidRPr="00F6735D">
        <w:t>and amicus filings in court cases.</w:t>
      </w:r>
      <w:r>
        <w:t xml:space="preserve">  Three of these areas are highlighted below.</w:t>
      </w:r>
    </w:p>
    <w:p w:rsidR="00A969E7" w:rsidRDefault="00A969E7" w:rsidP="00A969E7">
      <w:pPr>
        <w:ind w:left="720"/>
      </w:pPr>
    </w:p>
    <w:p w:rsidR="00974B0D" w:rsidRPr="00974B0D" w:rsidRDefault="005550BE" w:rsidP="00974B0D">
      <w:pPr>
        <w:ind w:left="720"/>
      </w:pPr>
      <w:r>
        <w:rPr>
          <w:noProof/>
          <w:u w:val="single"/>
        </w:rPr>
        <w:drawing>
          <wp:anchor distT="91440" distB="91440" distL="114300" distR="114300" simplePos="0" relativeHeight="251714048" behindDoc="0" locked="0" layoutInCell="1" allowOverlap="1">
            <wp:simplePos x="0" y="0"/>
            <wp:positionH relativeFrom="margin">
              <wp:posOffset>2563495</wp:posOffset>
            </wp:positionH>
            <wp:positionV relativeFrom="margin">
              <wp:posOffset>3313430</wp:posOffset>
            </wp:positionV>
            <wp:extent cx="3319145" cy="2181860"/>
            <wp:effectExtent l="19050" t="0" r="0" b="0"/>
            <wp:wrapSquare wrapText="bothSides"/>
            <wp:docPr id="7" name="Picture 6" descr="Various words depicting Intellectual Property in different size fonts; some shown vertically and some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r-lsb-nas05\ISG-SectDrive\ISG02-DATA1\MIS\WCLS\ThinkStockImages\des_photos\Intellectual Property_100706581.jpg"/>
                    <pic:cNvPicPr>
                      <a:picLocks noChangeAspect="1" noChangeArrowheads="1"/>
                    </pic:cNvPicPr>
                  </pic:nvPicPr>
                  <pic:blipFill>
                    <a:blip r:embed="rId20" cstate="print"/>
                    <a:srcRect/>
                    <a:stretch>
                      <a:fillRect/>
                    </a:stretch>
                  </pic:blipFill>
                  <pic:spPr bwMode="auto">
                    <a:xfrm>
                      <a:off x="0" y="0"/>
                      <a:ext cx="3319145" cy="2181860"/>
                    </a:xfrm>
                    <a:prstGeom prst="rect">
                      <a:avLst/>
                    </a:prstGeom>
                    <a:noFill/>
                    <a:ln w="9525">
                      <a:noFill/>
                      <a:miter lim="800000"/>
                      <a:headEnd/>
                      <a:tailEnd/>
                    </a:ln>
                  </pic:spPr>
                </pic:pic>
              </a:graphicData>
            </a:graphic>
          </wp:anchor>
        </w:drawing>
      </w:r>
      <w:r w:rsidR="00974B0D" w:rsidRPr="00974B0D">
        <w:rPr>
          <w:u w:val="single"/>
        </w:rPr>
        <w:t>Patent Assets in Antitrust Cases</w:t>
      </w:r>
      <w:r w:rsidR="00974B0D" w:rsidRPr="00974B0D">
        <w:t xml:space="preserve"> - Recently there have been a number of proposed acquisitions that involve significant patent assets.  The Division analyzes these issues closely to ensure competition is protected and invention and innovation are advanced.  For example, in February 2012, the Antitrust Division closed its investigations of Google’s acquisition of Motorola Mobility and another investigation that also involved the acquisition of a very significant patent portfolio after concluding neither acquisition was likely to violate Section 7 of the Clayton Act.  </w:t>
      </w:r>
    </w:p>
    <w:p w:rsidR="00974B0D" w:rsidRPr="00974B0D" w:rsidRDefault="00974B0D" w:rsidP="00974B0D">
      <w:pPr>
        <w:ind w:left="720"/>
      </w:pPr>
    </w:p>
    <w:p w:rsidR="00974B0D" w:rsidRPr="00974B0D" w:rsidRDefault="00974B0D" w:rsidP="00974B0D">
      <w:pPr>
        <w:ind w:left="720"/>
      </w:pPr>
      <w:r w:rsidRPr="00974B0D">
        <w:t xml:space="preserve">These portfolios included patents that had been declared essential to a standard in the wireless industry, and for which the prior owner had made certain licensing commitments.  The Division thoroughly examined the acquiring firms’ incentives and ability to exploit ambiguities in those commitments to raise rivals’ costs or foreclose competition.  During the course of the Division’s investigations, several of the principal competitors involved in the transactions—Google, Apple and Microsoft—made commitments concerning their licensing policies for patents that have been declared essential to a standard, and which were encumbered by licensing commitments.  The commitments made by Apple and Microsoft substantially lessened the Antitrust Division’s concerns about potential anticompetitive use of the patents.  The Antitrust Division observed that Google’s commitments did not provide the same direct confirmation of its intended licensing policies.  </w:t>
      </w:r>
    </w:p>
    <w:p w:rsidR="00974B0D" w:rsidRPr="00974B0D" w:rsidRDefault="005550BE" w:rsidP="00974B0D">
      <w:pPr>
        <w:ind w:left="720"/>
      </w:pPr>
      <w:r>
        <w:br w:type="page"/>
      </w:r>
    </w:p>
    <w:p w:rsidR="00974B0D" w:rsidRPr="00974B0D" w:rsidRDefault="00974B0D" w:rsidP="00974B0D">
      <w:pPr>
        <w:ind w:left="720"/>
      </w:pPr>
      <w:r w:rsidRPr="00974B0D">
        <w:t>Although the Division concluded that the acquisitions of these patent portfolios were not likely to substantially lessen competition, the Division noted its concerns about the potential inappropriate use of the declared standards-essential patents to disrupt competition and specifically limited its conclusion to the transfer of ownership rights and not to the exercise of those transferred rights.  Since closing these investigations, the Division has continued to monitor closely the use of declared standards-essential patents for which the owner has made licensing commitments.</w:t>
      </w:r>
    </w:p>
    <w:p w:rsidR="008C22D5" w:rsidRDefault="008C22D5" w:rsidP="008C22D5">
      <w:pPr>
        <w:ind w:left="720"/>
      </w:pPr>
    </w:p>
    <w:p w:rsidR="00F916AB" w:rsidRDefault="00974B0D" w:rsidP="00974B0D">
      <w:pPr>
        <w:ind w:left="720"/>
      </w:pPr>
      <w:r w:rsidRPr="00A969E7">
        <w:rPr>
          <w:u w:val="single"/>
        </w:rPr>
        <w:t>International Advocacy</w:t>
      </w:r>
      <w:r>
        <w:rPr>
          <w:b/>
        </w:rPr>
        <w:t xml:space="preserve"> - </w:t>
      </w:r>
      <w:r>
        <w:t xml:space="preserve">The Division regularly engages in </w:t>
      </w:r>
      <w:r w:rsidRPr="000C701B">
        <w:t xml:space="preserve">international competition advocacy projects promoting the use of sound analysis of competition </w:t>
      </w:r>
      <w:r>
        <w:t xml:space="preserve">when issues </w:t>
      </w:r>
      <w:r w:rsidRPr="000C701B">
        <w:t xml:space="preserve">involving </w:t>
      </w:r>
      <w:r>
        <w:t>intellectual property</w:t>
      </w:r>
      <w:r w:rsidRPr="000C701B">
        <w:t xml:space="preserve"> rights </w:t>
      </w:r>
      <w:r>
        <w:t xml:space="preserve">arise </w:t>
      </w:r>
      <w:r w:rsidRPr="000C701B">
        <w:t xml:space="preserve">in multinational </w:t>
      </w:r>
      <w:proofErr w:type="spellStart"/>
      <w:r>
        <w:t>fora</w:t>
      </w:r>
      <w:proofErr w:type="spellEnd"/>
      <w:r>
        <w:t>, such as the</w:t>
      </w:r>
      <w:r w:rsidRPr="000C701B">
        <w:t xml:space="preserve"> World Intellectual Property Organization</w:t>
      </w:r>
      <w:r>
        <w:t xml:space="preserve">, the Organization for Economic Cooperation and Development, and the Asian Pacific Economic Cooperation, </w:t>
      </w:r>
      <w:r w:rsidRPr="000C701B">
        <w:t xml:space="preserve">and </w:t>
      </w:r>
      <w:r>
        <w:t xml:space="preserve">in </w:t>
      </w:r>
      <w:r w:rsidRPr="000C701B">
        <w:t>foreign jurisdictions</w:t>
      </w:r>
      <w:r>
        <w:t xml:space="preserve">, such as China.  To ensure that U.S. businesses may appropriately utilize their important intellectual property rights, it is crucial that other jurisdictions approach the intersection of antitrust and intellectual property in ways that promote both </w:t>
      </w:r>
      <w:r w:rsidRPr="00FC260A">
        <w:t xml:space="preserve">competitive markets and </w:t>
      </w:r>
      <w:r>
        <w:t xml:space="preserve">respect for </w:t>
      </w:r>
      <w:r w:rsidRPr="00FC260A">
        <w:t>intellectual property rights</w:t>
      </w:r>
      <w:r>
        <w:t xml:space="preserve">.  The Division devotes substantial time and effort to advocating that all jurisdictions enforce competition laws in ways that </w:t>
      </w:r>
      <w:r w:rsidRPr="00FC260A">
        <w:t>creat</w:t>
      </w:r>
      <w:r>
        <w:t>e</w:t>
      </w:r>
      <w:r w:rsidRPr="00FC260A">
        <w:t xml:space="preserve"> the right incentives for innovative activity to take place</w:t>
      </w:r>
      <w:r>
        <w:t>.</w:t>
      </w:r>
    </w:p>
    <w:p w:rsidR="008A2833" w:rsidRDefault="008A2833" w:rsidP="00974B0D">
      <w:pPr>
        <w:ind w:left="720"/>
        <w:rPr>
          <w:bCs/>
          <w:u w:val="single"/>
        </w:rPr>
      </w:pPr>
    </w:p>
    <w:p w:rsidR="00974B0D" w:rsidRPr="00974B0D" w:rsidRDefault="00974B0D" w:rsidP="00974B0D">
      <w:pPr>
        <w:ind w:left="720"/>
      </w:pPr>
      <w:r w:rsidRPr="00974B0D">
        <w:rPr>
          <w:bCs/>
          <w:u w:val="single"/>
        </w:rPr>
        <w:t>Interagency Initiatives</w:t>
      </w:r>
      <w:r w:rsidRPr="00974B0D">
        <w:rPr>
          <w:bCs/>
        </w:rPr>
        <w:t xml:space="preserve"> -</w:t>
      </w:r>
      <w:r w:rsidRPr="00974B0D">
        <w:t xml:space="preserve"> Standard-setting activities can play a critical role in promoting innovation and are often used in information and communications sectors to facilitate interoperability of complementary products.  The Division seeks to ensure that the standard-setting process, including the use of intellectual property in that process, is not used in a manner that harms consumers.  The Division regularly participates in interagency activities that promote competition advocacy where antitrust, intellectual </w:t>
      </w:r>
      <w:proofErr w:type="gramStart"/>
      <w:r w:rsidRPr="00974B0D">
        <w:t>property,</w:t>
      </w:r>
      <w:proofErr w:type="gramEnd"/>
      <w:r w:rsidRPr="00974B0D">
        <w:t xml:space="preserve"> and standards issues are implicated.   </w:t>
      </w:r>
    </w:p>
    <w:p w:rsidR="00974B0D" w:rsidRPr="00974B0D" w:rsidRDefault="00974B0D" w:rsidP="00974B0D">
      <w:pPr>
        <w:ind w:left="720"/>
      </w:pPr>
    </w:p>
    <w:p w:rsidR="00974B0D" w:rsidRPr="00974B0D" w:rsidRDefault="00974B0D" w:rsidP="00974B0D">
      <w:pPr>
        <w:ind w:left="720"/>
        <w:rPr>
          <w:color w:val="171E24"/>
        </w:rPr>
      </w:pPr>
      <w:r w:rsidRPr="00974B0D">
        <w:rPr>
          <w:u w:val="single"/>
        </w:rPr>
        <w:t>DOJ-FTC Workshop</w:t>
      </w:r>
      <w:r w:rsidRPr="00974B0D">
        <w:t xml:space="preserve"> - In December 2012, the Department of Justice and the Federal Trade Commission (FTC) held a joint public workshop </w:t>
      </w:r>
      <w:r w:rsidRPr="00974B0D">
        <w:rPr>
          <w:color w:val="171E24"/>
        </w:rPr>
        <w:t xml:space="preserve">on patent assertion entity (PAE) behavior, as distinct from  </w:t>
      </w:r>
      <w:r w:rsidRPr="00974B0D">
        <w:rPr>
          <w:color w:val="000000"/>
        </w:rPr>
        <w:t>“non-practicing entity” (NPE) activity, such as developing and transferring technology.  By contrast, PAE activities often include purchasing patents from existing owners and seeking to maximize revenues by licensing the intellectual property to (or litigating against) manufacturers who are already using the patented technology.</w:t>
      </w:r>
    </w:p>
    <w:p w:rsidR="00974B0D" w:rsidRPr="00974B0D" w:rsidRDefault="00974B0D" w:rsidP="00974B0D">
      <w:pPr>
        <w:ind w:left="720"/>
        <w:rPr>
          <w:color w:val="171E24"/>
        </w:rPr>
      </w:pPr>
    </w:p>
    <w:p w:rsidR="00974B0D" w:rsidRPr="00974B0D" w:rsidRDefault="00974B0D" w:rsidP="00974B0D">
      <w:pPr>
        <w:ind w:left="720"/>
        <w:rPr>
          <w:color w:val="171E24"/>
        </w:rPr>
      </w:pPr>
      <w:r w:rsidRPr="00974B0D">
        <w:rPr>
          <w:color w:val="171E24"/>
        </w:rPr>
        <w:t xml:space="preserve">The workshop provided a forum for industry participants, academics, economists, lawyers, and other interested parties to discuss the evolution of economic and legal analyses of PAE behavior, including patent acquisitions and licensing activity.  The workshop consisted of a series of panels examining, among other topics, PAE behavior, the economics of IP licensing, industry experiences with PAE behavior, economic and legal theories and empirical work concerning PAE activity, and the potential efficiencies and harms to innovation and competition that this activity may generate.  </w:t>
      </w:r>
    </w:p>
    <w:p w:rsidR="00974B0D" w:rsidRPr="00974B0D" w:rsidRDefault="008A2833" w:rsidP="00974B0D">
      <w:pPr>
        <w:ind w:left="720"/>
        <w:rPr>
          <w:color w:val="171E24"/>
        </w:rPr>
      </w:pPr>
      <w:r>
        <w:rPr>
          <w:color w:val="171E24"/>
        </w:rPr>
        <w:br w:type="page"/>
      </w:r>
    </w:p>
    <w:p w:rsidR="00974B0D" w:rsidRPr="00974B0D" w:rsidRDefault="008A2833" w:rsidP="00974B0D">
      <w:pPr>
        <w:ind w:left="720"/>
      </w:pPr>
      <w:r>
        <w:rPr>
          <w:noProof/>
          <w:u w:val="single"/>
        </w:rPr>
        <w:drawing>
          <wp:anchor distT="182880" distB="182880" distL="114300" distR="274320" simplePos="0" relativeHeight="251699712" behindDoc="0" locked="0" layoutInCell="1" allowOverlap="1">
            <wp:simplePos x="0" y="0"/>
            <wp:positionH relativeFrom="margin">
              <wp:posOffset>450215</wp:posOffset>
            </wp:positionH>
            <wp:positionV relativeFrom="margin">
              <wp:posOffset>1776730</wp:posOffset>
            </wp:positionV>
            <wp:extent cx="2640330" cy="2268220"/>
            <wp:effectExtent l="19050" t="0" r="7620" b="0"/>
            <wp:wrapSquare wrapText="bothSides"/>
            <wp:docPr id="17" name="Picture 11" descr="The Words Copyright, Intellectual, Property, Patent on Word Search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r-lsb-nas05\ISG-SectDrive\ISG02-DATA1\MIS\WCLS\ThinkStockImages\des_photos\he Words Copyright, Intellectual, Property, Patent on Word Search Puzzle_94392262.jpg"/>
                    <pic:cNvPicPr>
                      <a:picLocks noChangeAspect="1" noChangeArrowheads="1"/>
                    </pic:cNvPicPr>
                  </pic:nvPicPr>
                  <pic:blipFill>
                    <a:blip r:embed="rId21" cstate="print"/>
                    <a:srcRect/>
                    <a:stretch>
                      <a:fillRect/>
                    </a:stretch>
                  </pic:blipFill>
                  <pic:spPr bwMode="auto">
                    <a:xfrm>
                      <a:off x="0" y="0"/>
                      <a:ext cx="2640330" cy="2268220"/>
                    </a:xfrm>
                    <a:prstGeom prst="rect">
                      <a:avLst/>
                    </a:prstGeom>
                    <a:noFill/>
                    <a:ln w="9525">
                      <a:noFill/>
                      <a:miter lim="800000"/>
                      <a:headEnd/>
                      <a:tailEnd/>
                    </a:ln>
                  </pic:spPr>
                </pic:pic>
              </a:graphicData>
            </a:graphic>
          </wp:anchor>
        </w:drawing>
      </w:r>
      <w:r w:rsidR="00974B0D" w:rsidRPr="00974B0D">
        <w:rPr>
          <w:u w:val="single"/>
        </w:rPr>
        <w:t>DOJ-PTO Policy Statement</w:t>
      </w:r>
      <w:r w:rsidR="00974B0D" w:rsidRPr="00974B0D">
        <w:t xml:space="preserve"> - In January 2013, the Division and the U.S. Patent &amp; Trademark Office (PTO) issued a policy statement recommending that the U.S. International Trade Commission (ITC) undertake fact-based, case-specific decisions regarding the enforcement of a patent essential to a standard that is encumbered by a commitment to license that patent on reasonable and non-discriminatory (RAND) or fair, reasonable, and nondiscriminatory (FRAND) terms to those implementing the standard.  The ITC must consider the effect of its exclusion order remedies on competitive conditions in the U.S. economy and on U.S. consumers as part of its public-interest analysis.  </w:t>
      </w:r>
      <w:r w:rsidR="00974B0D" w:rsidRPr="00974B0D">
        <w:rPr>
          <w:rFonts w:eastAsiaTheme="minorHAnsi"/>
        </w:rPr>
        <w:t>An exclusion order based on such patents may be in the public interest in limited circumstances.  However, the public interest may be inconsistent with the issuance of an exclusion order in cases where the infringer is acting within the scope of the patent holder’s F/RAND commitment and is able, and has not refused, to license the patent on F/RAND terms.</w:t>
      </w:r>
      <w:r w:rsidR="00974B0D" w:rsidRPr="00974B0D">
        <w:t xml:space="preserve"> </w:t>
      </w:r>
    </w:p>
    <w:p w:rsidR="00974B0D" w:rsidRPr="00974B0D" w:rsidRDefault="00974B0D" w:rsidP="00974B0D"/>
    <w:p w:rsidR="00974B0D" w:rsidRPr="00974B0D" w:rsidRDefault="00974B0D" w:rsidP="00974B0D">
      <w:pPr>
        <w:ind w:left="720"/>
      </w:pPr>
      <w:r w:rsidRPr="00974B0D">
        <w:rPr>
          <w:u w:val="single"/>
        </w:rPr>
        <w:t xml:space="preserve">DOJ-FTC Comments </w:t>
      </w:r>
      <w:r w:rsidRPr="00974B0D">
        <w:t>– In early 2013, the Division participated in the PTO’s roundtable on its proposed regulations requiring periodic and timely recordation of a patent’s real-party-in-interest.  After that roundtable, the Division submitted joint comments with the FTC supporting the PTO’s efforts and proposed regulations. One serious question—but by no means the only one—that technology companies confront is who owns the patents that they may want to use.  The answer is often unclear because there is no requirement to use the PTO’s system of recording patent assignments and transfers and no requirement that the true, controlling entity be disclosed.  Faced with uncertainty, companies designing new products may find it difficult to weigh the relative merits, likelihood of licensing, and licensing costs of competing technologies.  Requiring the disclosure of the real-party-in-interest will help improve the efficiency of the IP licensing marketplace. Advocacy in support of more efficient IP licensing furthers the Division’s mission to promote competition across industries.</w:t>
      </w:r>
    </w:p>
    <w:p w:rsidR="00E1142E" w:rsidRDefault="00E1142E" w:rsidP="00E1142E"/>
    <w:p w:rsidR="00E1142E" w:rsidRDefault="00E1142E" w:rsidP="00E1142E">
      <w:pPr>
        <w:ind w:left="720"/>
      </w:pPr>
    </w:p>
    <w:p w:rsidR="009E1A54" w:rsidRDefault="009E1A54" w:rsidP="00E1142E">
      <w:pPr>
        <w:widowControl/>
        <w:autoSpaceDE/>
        <w:autoSpaceDN/>
        <w:adjustRightInd/>
        <w:ind w:left="720" w:firstLine="720"/>
        <w:sectPr w:rsidR="009E1A54" w:rsidSect="008A2833">
          <w:endnotePr>
            <w:numFmt w:val="decimal"/>
          </w:endnotePr>
          <w:pgSz w:w="12240" w:h="15840" w:code="1"/>
          <w:pgMar w:top="1440" w:right="1440" w:bottom="720" w:left="1440" w:header="0" w:footer="0" w:gutter="0"/>
          <w:cols w:space="720"/>
          <w:noEndnote/>
        </w:sectPr>
      </w:pPr>
    </w:p>
    <w:p w:rsidR="003B05E5" w:rsidRDefault="003B05E5">
      <w:pPr>
        <w:tabs>
          <w:tab w:val="num" w:pos="720"/>
        </w:tabs>
        <w:rPr>
          <w:b/>
          <w:bCs/>
        </w:rPr>
      </w:pPr>
      <w:r>
        <w:rPr>
          <w:b/>
          <w:bCs/>
        </w:rPr>
        <w:tab/>
      </w:r>
      <w:r w:rsidR="009D49CC">
        <w:rPr>
          <w:b/>
          <w:bCs/>
        </w:rPr>
        <w:t xml:space="preserve">Economic </w:t>
      </w:r>
      <w:r>
        <w:rPr>
          <w:b/>
          <w:bCs/>
        </w:rPr>
        <w:t>Concentration</w:t>
      </w:r>
      <w:bookmarkEnd w:id="163"/>
    </w:p>
    <w:p w:rsidR="003B05E5" w:rsidRDefault="003B05E5">
      <w:pPr>
        <w:tabs>
          <w:tab w:val="num" w:pos="720"/>
        </w:tabs>
        <w:ind w:left="720"/>
        <w:rPr>
          <w:b/>
          <w:bCs/>
          <w:u w:val="single"/>
        </w:rPr>
      </w:pPr>
    </w:p>
    <w:p w:rsidR="003B05E5" w:rsidRDefault="00F36383">
      <w:pPr>
        <w:tabs>
          <w:tab w:val="num" w:pos="720"/>
        </w:tabs>
        <w:ind w:left="720"/>
      </w:pPr>
      <w:r>
        <w:t xml:space="preserve">Ongoing </w:t>
      </w:r>
      <w:r w:rsidR="003B05E5">
        <w:t>economic concentration</w:t>
      </w:r>
      <w:r>
        <w:t xml:space="preserve"> </w:t>
      </w:r>
      <w:r w:rsidR="003B05E5">
        <w:t>across industries and geographic regions</w:t>
      </w:r>
      <w:r>
        <w:t xml:space="preserve"> also increases the Division’s workload</w:t>
      </w:r>
      <w:r w:rsidR="003B05E5">
        <w:t>.  Where there is a competitive relationship between or among the goods and/or services produced by the parties, the analysis necessary for thorough merger review becomes more complex.  Competitive issues and efficiency defenses are more likely to surface in such reviews, adding complexity and cost to the Division’s work.</w:t>
      </w:r>
    </w:p>
    <w:p w:rsidR="00202F60" w:rsidRDefault="00202F60">
      <w:pPr>
        <w:tabs>
          <w:tab w:val="num" w:pos="720"/>
        </w:tabs>
        <w:ind w:left="720"/>
      </w:pPr>
    </w:p>
    <w:p w:rsidR="003B05E5" w:rsidRDefault="0063193C">
      <w:pPr>
        <w:tabs>
          <w:tab w:val="num" w:pos="720"/>
        </w:tabs>
        <w:ind w:left="720"/>
      </w:pPr>
      <w:r>
        <w:rPr>
          <w:noProof/>
        </w:rPr>
        <w:drawing>
          <wp:inline distT="0" distB="0" distL="0" distR="0">
            <wp:extent cx="5885622" cy="4069605"/>
            <wp:effectExtent l="38100" t="19050" r="19878" b="2614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05E5" w:rsidRDefault="003B05E5">
      <w:pPr>
        <w:tabs>
          <w:tab w:val="num" w:pos="720"/>
        </w:tabs>
        <w:ind w:left="720"/>
      </w:pPr>
    </w:p>
    <w:p w:rsidR="00246943" w:rsidRDefault="00DD5825">
      <w:pPr>
        <w:tabs>
          <w:tab w:val="num" w:pos="720"/>
        </w:tabs>
      </w:pPr>
      <w:r>
        <w:rPr>
          <w:noProof/>
        </w:rPr>
        <w:pict>
          <v:shape id="_x0000_s1270" type="#_x0000_t202" style="position:absolute;margin-left:56.25pt;margin-top:2.9pt;width:377.25pt;height:17.8pt;z-index:251666944" wrapcoords="-57 0 -57 20160 21600 20160 21600 0 -57 0" stroked="f">
            <v:textbox style="mso-next-textbox:#_x0000_s1270" inset="0,0,0,0">
              <w:txbxContent>
                <w:p w:rsidR="00145476" w:rsidRPr="005E059C" w:rsidRDefault="00145476" w:rsidP="00226405">
                  <w:pPr>
                    <w:pStyle w:val="Caption"/>
                    <w:jc w:val="center"/>
                    <w:rPr>
                      <w:noProof/>
                      <w:sz w:val="24"/>
                      <w:szCs w:val="24"/>
                    </w:rPr>
                  </w:pPr>
                  <w:r>
                    <w:t xml:space="preserve">Figure </w:t>
                  </w:r>
                  <w:fldSimple w:instr=" SEQ Figure \* ARABIC ">
                    <w:r>
                      <w:rPr>
                        <w:noProof/>
                      </w:rPr>
                      <w:t>1</w:t>
                    </w:r>
                  </w:fldSimple>
                </w:p>
              </w:txbxContent>
            </v:textbox>
            <w10:wrap type="tight" side="left"/>
          </v:shape>
        </w:pict>
      </w:r>
    </w:p>
    <w:p w:rsidR="0050594F" w:rsidRDefault="0050594F">
      <w:pPr>
        <w:tabs>
          <w:tab w:val="num" w:pos="720"/>
        </w:tabs>
        <w:ind w:left="720"/>
      </w:pPr>
      <w:bookmarkStart w:id="164" w:name="OLE_LINK5"/>
    </w:p>
    <w:p w:rsidR="0050594F" w:rsidRDefault="0050594F">
      <w:pPr>
        <w:tabs>
          <w:tab w:val="num" w:pos="720"/>
        </w:tabs>
        <w:ind w:left="720"/>
      </w:pPr>
    </w:p>
    <w:p w:rsidR="003B05E5" w:rsidRDefault="003B05E5">
      <w:pPr>
        <w:tabs>
          <w:tab w:val="num" w:pos="720"/>
        </w:tabs>
        <w:ind w:left="720"/>
        <w:sectPr w:rsidR="003B05E5" w:rsidSect="006D3F23">
          <w:endnotePr>
            <w:numFmt w:val="decimal"/>
          </w:endnotePr>
          <w:pgSz w:w="12240" w:h="15840" w:code="1"/>
          <w:pgMar w:top="1008" w:right="1440" w:bottom="576" w:left="1440" w:header="0" w:footer="0" w:gutter="0"/>
          <w:cols w:space="720"/>
          <w:noEndnote/>
        </w:sectPr>
      </w:pPr>
      <w:r>
        <w:t xml:space="preserve">As shown in Figure 1, </w:t>
      </w:r>
      <w:r w:rsidR="00487B9B">
        <w:t>t</w:t>
      </w:r>
      <w:r>
        <w:t>he overall economic downturn that began in calendar year 2008 resulted in a drop in merger deals in 2009 and the year finished with</w:t>
      </w:r>
      <w:r w:rsidR="001776CA">
        <w:t xml:space="preserve"> </w:t>
      </w:r>
      <w:r w:rsidR="00C83F8E">
        <w:t>$767 b</w:t>
      </w:r>
      <w:r>
        <w:t xml:space="preserve">illion in U.S. </w:t>
      </w:r>
      <w:r w:rsidR="006D48C2">
        <w:t>m</w:t>
      </w:r>
      <w:r>
        <w:t xml:space="preserve">erger value.  </w:t>
      </w:r>
      <w:r w:rsidR="00031BA7" w:rsidRPr="007119BC">
        <w:t xml:space="preserve">However, merger and acquisition activity improved in calendar years 2010 </w:t>
      </w:r>
      <w:r w:rsidR="007119BC">
        <w:t>through</w:t>
      </w:r>
      <w:r w:rsidR="00031BA7" w:rsidRPr="007119BC">
        <w:t xml:space="preserve"> 2011</w:t>
      </w:r>
      <w:r w:rsidR="007119BC">
        <w:t xml:space="preserve"> and </w:t>
      </w:r>
      <w:r w:rsidR="00C426EE">
        <w:t>increased slightly</w:t>
      </w:r>
      <w:r w:rsidR="007119BC" w:rsidRPr="007119BC">
        <w:t xml:space="preserve"> in 2012</w:t>
      </w:r>
      <w:r w:rsidR="00031BA7" w:rsidRPr="007119BC">
        <w:t>.  Worldwide merger and acquisition volume in calendar year 201</w:t>
      </w:r>
      <w:r w:rsidR="0048167A" w:rsidRPr="007119BC">
        <w:t>2</w:t>
      </w:r>
      <w:r w:rsidR="00031BA7" w:rsidRPr="007119BC">
        <w:t xml:space="preserve"> </w:t>
      </w:r>
      <w:r w:rsidR="0048167A" w:rsidRPr="007119BC">
        <w:t>was roughly in line with</w:t>
      </w:r>
      <w:r w:rsidR="0048167A" w:rsidRPr="0048167A">
        <w:t xml:space="preserve"> volume in 2011 and ended</w:t>
      </w:r>
      <w:r w:rsidR="00031BA7" w:rsidRPr="0048167A">
        <w:t xml:space="preserve"> the year </w:t>
      </w:r>
      <w:proofErr w:type="gramStart"/>
      <w:r w:rsidR="00031BA7" w:rsidRPr="0048167A">
        <w:t xml:space="preserve">at </w:t>
      </w:r>
      <w:r w:rsidR="00D13F65">
        <w:t xml:space="preserve"> </w:t>
      </w:r>
      <w:r w:rsidR="00031BA7" w:rsidRPr="0048167A">
        <w:t>$</w:t>
      </w:r>
      <w:proofErr w:type="gramEnd"/>
      <w:r w:rsidR="00031BA7" w:rsidRPr="0048167A">
        <w:t>2.</w:t>
      </w:r>
      <w:r w:rsidR="0048167A" w:rsidRPr="0048167A">
        <w:t>6</w:t>
      </w:r>
      <w:r w:rsidR="00031BA7" w:rsidRPr="0048167A">
        <w:t xml:space="preserve"> trillion.</w:t>
      </w:r>
      <w:r w:rsidR="00031BA7" w:rsidRPr="0048167A">
        <w:rPr>
          <w:rStyle w:val="FootnoteReference"/>
        </w:rPr>
        <w:footnoteReference w:customMarkFollows="1" w:id="3"/>
        <w:t>3</w:t>
      </w:r>
    </w:p>
    <w:p w:rsidR="003B05E5" w:rsidRDefault="00B34A78" w:rsidP="002603B1">
      <w:pPr>
        <w:shd w:val="clear" w:color="auto" w:fill="FFFFFF"/>
        <w:spacing w:before="100" w:beforeAutospacing="1" w:after="100" w:afterAutospacing="1" w:line="271" w:lineRule="atLeast"/>
        <w:ind w:left="720"/>
      </w:pPr>
      <w:r w:rsidRPr="00B34A78">
        <w:t>T</w:t>
      </w:r>
      <w:r w:rsidR="00031BA7" w:rsidRPr="00B34A78">
        <w:t xml:space="preserve">he economic slump </w:t>
      </w:r>
      <w:r w:rsidRPr="00B34A78">
        <w:t xml:space="preserve">has </w:t>
      </w:r>
      <w:r w:rsidR="00031BA7" w:rsidRPr="00B34A78">
        <w:t>affected companies around the globe</w:t>
      </w:r>
      <w:r>
        <w:t xml:space="preserve"> - </w:t>
      </w:r>
      <w:r>
        <w:rPr>
          <w:rFonts w:ascii="Lato" w:hAnsi="Lato" w:cs="Arial"/>
          <w:color w:val="333333"/>
        </w:rPr>
        <w:t>troubles</w:t>
      </w:r>
      <w:r w:rsidR="00706C11" w:rsidRPr="00706C11">
        <w:rPr>
          <w:rFonts w:ascii="Lato" w:hAnsi="Lato" w:cs="Arial"/>
          <w:color w:val="333333"/>
        </w:rPr>
        <w:t xml:space="preserve"> in the sovereign debt markets and the looming fiscal cliff crisis </w:t>
      </w:r>
      <w:r>
        <w:rPr>
          <w:rFonts w:ascii="Lato" w:hAnsi="Lato" w:cs="Arial"/>
          <w:color w:val="333333"/>
        </w:rPr>
        <w:t>i</w:t>
      </w:r>
      <w:r w:rsidR="00706C11" w:rsidRPr="00706C11">
        <w:rPr>
          <w:rFonts w:ascii="Lato" w:hAnsi="Lato" w:cs="Arial"/>
          <w:color w:val="333333"/>
        </w:rPr>
        <w:t>n the United</w:t>
      </w:r>
      <w:r>
        <w:rPr>
          <w:rFonts w:ascii="Lato" w:hAnsi="Lato" w:cs="Arial"/>
          <w:color w:val="333333"/>
        </w:rPr>
        <w:t xml:space="preserve"> States </w:t>
      </w:r>
      <w:r w:rsidR="002603B1">
        <w:rPr>
          <w:rFonts w:ascii="Lato" w:hAnsi="Lato" w:cs="Arial"/>
          <w:color w:val="333333"/>
        </w:rPr>
        <w:t>had</w:t>
      </w:r>
      <w:r w:rsidR="00706C11">
        <w:rPr>
          <w:rFonts w:ascii="Lato" w:hAnsi="Lato" w:cs="Arial"/>
          <w:color w:val="333333"/>
        </w:rPr>
        <w:t xml:space="preserve"> companies </w:t>
      </w:r>
      <w:r w:rsidR="00706C11" w:rsidRPr="00706C11">
        <w:rPr>
          <w:rFonts w:ascii="Lato" w:hAnsi="Lato" w:cs="Arial"/>
          <w:color w:val="333333"/>
        </w:rPr>
        <w:t xml:space="preserve">wary of jumping into big deals. </w:t>
      </w:r>
      <w:r w:rsidR="002603B1">
        <w:rPr>
          <w:rFonts w:ascii="Lato" w:hAnsi="Lato" w:cs="Arial"/>
          <w:color w:val="333333"/>
        </w:rPr>
        <w:t xml:space="preserve"> </w:t>
      </w:r>
      <w:r>
        <w:rPr>
          <w:rFonts w:ascii="Lato" w:hAnsi="Lato" w:cs="Arial"/>
          <w:color w:val="333333"/>
        </w:rPr>
        <w:t xml:space="preserve">However, </w:t>
      </w:r>
      <w:r>
        <w:t>record amounts of cash and</w:t>
      </w:r>
      <w:r w:rsidR="00706C11" w:rsidRPr="00B34A78">
        <w:t xml:space="preserve"> </w:t>
      </w:r>
      <w:r w:rsidRPr="00B34A78">
        <w:t xml:space="preserve">plentiful financing at bargain-basement </w:t>
      </w:r>
      <w:r w:rsidR="00706C11" w:rsidRPr="00B34A78">
        <w:t>interest rates are</w:t>
      </w:r>
      <w:r>
        <w:t xml:space="preserve"> fueling a merger comeback for 2013</w:t>
      </w:r>
      <w:r w:rsidR="002603B1">
        <w:t>.</w:t>
      </w:r>
      <w:r w:rsidR="00085CB7">
        <w:rPr>
          <w:rFonts w:ascii="Lato" w:hAnsi="Lato" w:cs="Arial"/>
          <w:color w:val="333333"/>
        </w:rPr>
        <w:t xml:space="preserve">  T</w:t>
      </w:r>
      <w:r w:rsidR="00085CB7" w:rsidRPr="00B34A78">
        <w:rPr>
          <w:rFonts w:ascii="Lato" w:hAnsi="Lato" w:cs="Arial"/>
          <w:color w:val="333333"/>
        </w:rPr>
        <w:t>his year's U.S.-based M&amp;A activity is off to its fastest start since 2000, according to data from Dealo</w:t>
      </w:r>
      <w:r w:rsidR="00085CB7" w:rsidRPr="002603B1">
        <w:rPr>
          <w:rFonts w:ascii="Lato" w:hAnsi="Lato" w:cs="Arial"/>
          <w:color w:val="333333"/>
        </w:rPr>
        <w:t>gic</w:t>
      </w:r>
      <w:r w:rsidR="00085CB7">
        <w:rPr>
          <w:rFonts w:ascii="Lato" w:hAnsi="Lato" w:cs="Arial"/>
          <w:color w:val="333333"/>
        </w:rPr>
        <w:t>.</w:t>
      </w:r>
      <w:r w:rsidR="00085CB7" w:rsidRPr="00B34A78">
        <w:rPr>
          <w:rFonts w:ascii="Lato" w:hAnsi="Lato" w:cs="Arial"/>
          <w:color w:val="333333"/>
        </w:rPr>
        <w:t xml:space="preserve"> </w:t>
      </w:r>
      <w:r w:rsidR="00085CB7">
        <w:rPr>
          <w:rFonts w:ascii="Lato" w:hAnsi="Lato" w:cs="Arial"/>
          <w:color w:val="333333"/>
        </w:rPr>
        <w:t xml:space="preserve"> Nonetheless, w</w:t>
      </w:r>
      <w:r w:rsidR="001C5E46" w:rsidRPr="00B34A78">
        <w:rPr>
          <w:rFonts w:ascii="Lato" w:hAnsi="Lato" w:cs="Arial"/>
          <w:color w:val="333333"/>
        </w:rPr>
        <w:t>hile bankers and lawyers predict an uptick from the last several years, few expect M&amp;A activity to hit pre-crisis levels</w:t>
      </w:r>
      <w:r w:rsidR="001C5E46" w:rsidRPr="002603B1">
        <w:rPr>
          <w:rFonts w:ascii="Lato" w:hAnsi="Lato" w:cs="Arial"/>
          <w:color w:val="333333"/>
        </w:rPr>
        <w:t xml:space="preserve">. </w:t>
      </w:r>
      <w:r w:rsidR="00031BA7" w:rsidRPr="002603B1">
        <w:rPr>
          <w:rStyle w:val="FootnoteReference"/>
        </w:rPr>
        <w:footnoteReference w:customMarkFollows="1" w:id="4"/>
        <w:t>4</w:t>
      </w:r>
      <w:bookmarkEnd w:id="164"/>
      <w:r w:rsidR="003B05E5">
        <w:t xml:space="preserve"> </w:t>
      </w:r>
    </w:p>
    <w:p w:rsidR="003B05E5" w:rsidRDefault="003B05E5">
      <w:pPr>
        <w:ind w:leftChars="300" w:left="720"/>
        <w:rPr>
          <w:sz w:val="20"/>
          <w:szCs w:val="20"/>
        </w:rPr>
      </w:pPr>
    </w:p>
    <w:p w:rsidR="006B4CE9" w:rsidRPr="00FB769F" w:rsidRDefault="006B4CE9">
      <w:pPr>
        <w:ind w:leftChars="300" w:left="720"/>
        <w:rPr>
          <w:sz w:val="20"/>
          <w:szCs w:val="20"/>
        </w:rPr>
      </w:pPr>
    </w:p>
    <w:p w:rsidR="003B05E5" w:rsidRDefault="003B05E5">
      <w:pPr>
        <w:tabs>
          <w:tab w:val="num" w:pos="720"/>
        </w:tabs>
        <w:ind w:left="720"/>
        <w:rPr>
          <w:b/>
          <w:bCs/>
        </w:rPr>
      </w:pPr>
      <w:r>
        <w:rPr>
          <w:b/>
          <w:bCs/>
        </w:rPr>
        <w:t>Technological Change and the Changing Face of Industry</w:t>
      </w:r>
    </w:p>
    <w:p w:rsidR="003B05E5" w:rsidRDefault="003B05E5">
      <w:pPr>
        <w:tabs>
          <w:tab w:val="num" w:pos="720"/>
        </w:tabs>
        <w:ind w:left="720"/>
        <w:rPr>
          <w:sz w:val="20"/>
          <w:szCs w:val="20"/>
        </w:rPr>
      </w:pPr>
    </w:p>
    <w:p w:rsidR="00AA475F" w:rsidRPr="00FB769F" w:rsidRDefault="00AA475F">
      <w:pPr>
        <w:tabs>
          <w:tab w:val="num" w:pos="720"/>
        </w:tabs>
        <w:ind w:left="720"/>
        <w:rPr>
          <w:sz w:val="20"/>
          <w:szCs w:val="20"/>
        </w:rPr>
      </w:pPr>
    </w:p>
    <w:p w:rsidR="003B05E5" w:rsidRDefault="003B05E5">
      <w:pPr>
        <w:tabs>
          <w:tab w:val="num" w:pos="720"/>
        </w:tabs>
        <w:ind w:left="720"/>
      </w:pPr>
      <w:r>
        <w:t xml:space="preserve">Technological change continues to create new businesses and industries virtually overnight, and its impact on the overall economy is enormous.  </w:t>
      </w:r>
      <w:r w:rsidR="00851ACA">
        <w:t>The e</w:t>
      </w:r>
      <w:r>
        <w:t xml:space="preserve">mergence of new and improved technologies, such as wireless communications, Voice over Internet Protocol (VoIP), biometrics, hand-held computing and online security, continues and intensifies.  </w:t>
      </w:r>
    </w:p>
    <w:p w:rsidR="003B05E5" w:rsidRPr="00450132" w:rsidRDefault="00344C24">
      <w:pPr>
        <w:tabs>
          <w:tab w:val="num" w:pos="720"/>
        </w:tabs>
        <w:ind w:left="720"/>
        <w:rPr>
          <w:sz w:val="20"/>
          <w:szCs w:val="20"/>
        </w:rPr>
      </w:pPr>
      <w:r>
        <w:rPr>
          <w:noProof/>
          <w:sz w:val="20"/>
          <w:szCs w:val="20"/>
        </w:rPr>
        <w:drawing>
          <wp:anchor distT="0" distB="0" distL="114300" distR="114300" simplePos="0" relativeHeight="251700736" behindDoc="0" locked="0" layoutInCell="1" allowOverlap="1">
            <wp:simplePos x="0" y="0"/>
            <wp:positionH relativeFrom="margin">
              <wp:align>right</wp:align>
            </wp:positionH>
            <wp:positionV relativeFrom="margin">
              <wp:posOffset>2600325</wp:posOffset>
            </wp:positionV>
            <wp:extent cx="2812415" cy="2447925"/>
            <wp:effectExtent l="19050" t="0" r="6985" b="0"/>
            <wp:wrapSquare wrapText="bothSides"/>
            <wp:docPr id="21" name="Picture 12" descr="Businesspeople communicating gl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r-lsb-nas05\ISG-SectDrive\ISG02-DATA1\MIS\WCLS\ThinkStockImages\des_photos\Businesspeople communicating globally_86802151.jpg"/>
                    <pic:cNvPicPr>
                      <a:picLocks noChangeAspect="1" noChangeArrowheads="1"/>
                    </pic:cNvPicPr>
                  </pic:nvPicPr>
                  <pic:blipFill>
                    <a:blip r:embed="rId23" cstate="print"/>
                    <a:srcRect/>
                    <a:stretch>
                      <a:fillRect/>
                    </a:stretch>
                  </pic:blipFill>
                  <pic:spPr bwMode="auto">
                    <a:xfrm>
                      <a:off x="0" y="0"/>
                      <a:ext cx="2812415" cy="2447925"/>
                    </a:xfrm>
                    <a:prstGeom prst="rect">
                      <a:avLst/>
                    </a:prstGeom>
                    <a:noFill/>
                    <a:ln w="9525">
                      <a:noFill/>
                      <a:miter lim="800000"/>
                      <a:headEnd/>
                      <a:tailEnd/>
                    </a:ln>
                  </pic:spPr>
                </pic:pic>
              </a:graphicData>
            </a:graphic>
          </wp:anchor>
        </w:drawing>
      </w:r>
    </w:p>
    <w:p w:rsidR="0041682C" w:rsidRDefault="008C22D5" w:rsidP="00013012">
      <w:pPr>
        <w:tabs>
          <w:tab w:val="num" w:pos="720"/>
        </w:tabs>
        <w:ind w:left="720"/>
      </w:pPr>
      <w:r>
        <w:t>W</w:t>
      </w:r>
      <w:r w:rsidR="003B05E5">
        <w:t>e will see even more advances in technology in coming years as the telecommunications upheaval continues to transform traditional industry business models.  One such transformation is in wireless communication and connectivity</w:t>
      </w:r>
      <w:r w:rsidR="003B05E5" w:rsidRPr="00FC33E9">
        <w:t xml:space="preserve">.  </w:t>
      </w:r>
      <w:r w:rsidR="005B72F2" w:rsidRPr="00180C2E">
        <w:t>T</w:t>
      </w:r>
      <w:r w:rsidR="00A52609" w:rsidRPr="00A52609">
        <w:t>here were an estimated 321.7 million wireless subscribers in the United States, home to the most mobile internet users in the world, as of June 2012 according to the Cellular, Telecommunications and Internet Association (CTIA) Wireless Quick Facts Report.</w:t>
      </w:r>
      <w:r w:rsidR="00031BA7" w:rsidRPr="00180C2E">
        <w:rPr>
          <w:rStyle w:val="FootnoteReference"/>
        </w:rPr>
        <w:footnoteReference w:customMarkFollows="1" w:id="5"/>
        <w:t>5</w:t>
      </w:r>
      <w:r w:rsidR="003B05E5" w:rsidRPr="00FC33E9">
        <w:rPr>
          <w:vertAlign w:val="superscript"/>
        </w:rPr>
        <w:t xml:space="preserve">   </w:t>
      </w:r>
      <w:r w:rsidR="0056162B">
        <w:rPr>
          <w:vertAlign w:val="superscript"/>
        </w:rPr>
        <w:t xml:space="preserve">   </w:t>
      </w:r>
      <w:r w:rsidR="00CD401F" w:rsidRPr="00AE6AE9">
        <w:t xml:space="preserve"> </w:t>
      </w:r>
    </w:p>
    <w:p w:rsidR="001F79DB" w:rsidRDefault="001F79DB">
      <w:pPr>
        <w:tabs>
          <w:tab w:val="num" w:pos="720"/>
        </w:tabs>
        <w:ind w:left="720"/>
      </w:pPr>
    </w:p>
    <w:p w:rsidR="003B05E5" w:rsidRDefault="0056162B">
      <w:pPr>
        <w:tabs>
          <w:tab w:val="num" w:pos="720"/>
        </w:tabs>
        <w:ind w:left="720"/>
        <w:rPr>
          <w:sz w:val="20"/>
          <w:szCs w:val="20"/>
        </w:rPr>
      </w:pPr>
      <w:r>
        <w:t xml:space="preserve">Clearly, being ‘connected’ has become essential to the American daily lifestyle, and this connectivity demand continues to result in rapidly emerging newer and faster networks, applications and equipment.  </w:t>
      </w:r>
      <w:r w:rsidR="00A52609" w:rsidRPr="00AF3A21">
        <w:t xml:space="preserve">A June 2012 Pew Internet &amp; American Life Project Report published by the Pew Research Center found that as of April 2012, 88 percent of U.S. adults have a cell phone of some kind.  Of this group, </w:t>
      </w:r>
      <w:r w:rsidR="00AF3A21" w:rsidRPr="00AF3A21">
        <w:t>more than</w:t>
      </w:r>
      <w:r w:rsidR="00A52609" w:rsidRPr="00AF3A21">
        <w:t xml:space="preserve"> half (5</w:t>
      </w:r>
      <w:r w:rsidR="00AF3A21" w:rsidRPr="00AF3A21">
        <w:t>5</w:t>
      </w:r>
      <w:r w:rsidR="00A52609" w:rsidRPr="00AF3A21">
        <w:t xml:space="preserve"> percent) </w:t>
      </w:r>
      <w:r w:rsidR="00AF3A21" w:rsidRPr="00AF3A21">
        <w:t xml:space="preserve">use their phone </w:t>
      </w:r>
      <w:r w:rsidR="00A52609" w:rsidRPr="00AF3A21">
        <w:t>to go online.</w:t>
      </w:r>
      <w:r w:rsidR="00A52609" w:rsidRPr="00AF3A21">
        <w:rPr>
          <w:rStyle w:val="FootnoteReference"/>
        </w:rPr>
        <w:footnoteReference w:customMarkFollows="1" w:id="6"/>
        <w:t>6</w:t>
      </w:r>
      <w:r w:rsidR="003B05E5" w:rsidRPr="000558F2">
        <w:t xml:space="preserve">  </w:t>
      </w:r>
    </w:p>
    <w:p w:rsidR="00B305E2" w:rsidRDefault="00B305E2" w:rsidP="00AD4AA4">
      <w:pPr>
        <w:tabs>
          <w:tab w:val="num" w:pos="720"/>
        </w:tabs>
        <w:ind w:left="720"/>
      </w:pPr>
    </w:p>
    <w:p w:rsidR="006B4CE9" w:rsidRDefault="006B4CE9" w:rsidP="00AD4AA4">
      <w:pPr>
        <w:tabs>
          <w:tab w:val="num" w:pos="720"/>
        </w:tabs>
        <w:sectPr w:rsidR="006B4CE9" w:rsidSect="006B4CE9">
          <w:endnotePr>
            <w:numFmt w:val="decimal"/>
          </w:endnotePr>
          <w:pgSz w:w="12240" w:h="15840" w:code="1"/>
          <w:pgMar w:top="1440" w:right="1440" w:bottom="720" w:left="1440" w:header="0" w:footer="432" w:gutter="0"/>
          <w:cols w:space="720"/>
          <w:noEndnote/>
        </w:sectPr>
      </w:pPr>
    </w:p>
    <w:p w:rsidR="003B05E5" w:rsidRDefault="003B05E5" w:rsidP="00AD4AA4">
      <w:pPr>
        <w:tabs>
          <w:tab w:val="num" w:pos="720"/>
        </w:tabs>
      </w:pPr>
    </w:p>
    <w:p w:rsidR="00B305E2" w:rsidRDefault="00B305E2" w:rsidP="006B0AA1">
      <w:pPr>
        <w:ind w:left="720"/>
      </w:pPr>
      <w:r w:rsidRPr="006B0AA1">
        <w:t>As more consumers turn to high-speed broadband, wireless Internet access, and search for more efficient and cost effective methods of communica</w:t>
      </w:r>
      <w:r w:rsidR="00810485" w:rsidRPr="006B0AA1">
        <w:t xml:space="preserve">tion, </w:t>
      </w:r>
      <w:r w:rsidR="00A16AD9" w:rsidRPr="006B0AA1">
        <w:t>expanding technologies such as Voice over Internet Protocol (VoIP), or what is also known as Broadband Telephony, stand to grow dramatically over the next several years.</w:t>
      </w:r>
      <w:r w:rsidR="006B0AA1" w:rsidRPr="006B0AA1">
        <w:t xml:space="preserve">  </w:t>
      </w:r>
      <w:r w:rsidR="00A52609" w:rsidRPr="00DC4024">
        <w:t>Surveys by the Pew Research Ce</w:t>
      </w:r>
      <w:r w:rsidR="001D0A84" w:rsidRPr="00DC4024">
        <w:rPr>
          <w:noProof/>
        </w:rPr>
        <w:drawing>
          <wp:anchor distT="0" distB="0" distL="114300" distR="114300" simplePos="0" relativeHeight="251701760" behindDoc="0" locked="0" layoutInCell="1" allowOverlap="1">
            <wp:simplePos x="2158243" y="1518407"/>
            <wp:positionH relativeFrom="margin">
              <wp:align>right</wp:align>
            </wp:positionH>
            <wp:positionV relativeFrom="margin">
              <wp:align>top</wp:align>
            </wp:positionV>
            <wp:extent cx="1792972" cy="1224793"/>
            <wp:effectExtent l="19050" t="0" r="0" b="0"/>
            <wp:wrapSquare wrapText="bothSides"/>
            <wp:docPr id="22" name="Picture 13" descr="VoIP World Orange - Small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r-lsb-nas05\ISG-SectDrive\ISG02-DATA1\MIS\WCLS\ThinkStockImages\des_photos\VoIP World Orange - Small Globe_100927422.jpg"/>
                    <pic:cNvPicPr>
                      <a:picLocks noChangeAspect="1" noChangeArrowheads="1"/>
                    </pic:cNvPicPr>
                  </pic:nvPicPr>
                  <pic:blipFill>
                    <a:blip r:embed="rId24" cstate="print"/>
                    <a:srcRect/>
                    <a:stretch>
                      <a:fillRect/>
                    </a:stretch>
                  </pic:blipFill>
                  <pic:spPr bwMode="auto">
                    <a:xfrm>
                      <a:off x="0" y="0"/>
                      <a:ext cx="1792972" cy="1224793"/>
                    </a:xfrm>
                    <a:prstGeom prst="rect">
                      <a:avLst/>
                    </a:prstGeom>
                    <a:noFill/>
                    <a:ln w="9525">
                      <a:noFill/>
                      <a:miter lim="800000"/>
                      <a:headEnd/>
                      <a:tailEnd/>
                    </a:ln>
                  </pic:spPr>
                </pic:pic>
              </a:graphicData>
            </a:graphic>
          </wp:anchor>
        </w:drawing>
      </w:r>
      <w:r w:rsidR="00A52609" w:rsidRPr="00DC4024">
        <w:t>nter’s Internet &amp; American Life Project in February 2007 showed that 8 percent of American adult internet users (6 percent of all American adults) had placed calls online and 2 percent of internet users were making calls on any given day.  Just four years later, in their May 2011 survey, the Pew Research Center found that 24 percent of American adult internet users (19 percent of all American adults) had placed calls online and 5 percent were making calls on any given day.</w:t>
      </w:r>
      <w:r w:rsidR="00A52609" w:rsidRPr="00DC4024">
        <w:rPr>
          <w:rStyle w:val="FootnoteReference"/>
        </w:rPr>
        <w:footnoteReference w:customMarkFollows="1" w:id="7"/>
        <w:t>7</w:t>
      </w:r>
    </w:p>
    <w:p w:rsidR="00B305E2" w:rsidRDefault="00B305E2">
      <w:pPr>
        <w:tabs>
          <w:tab w:val="num" w:pos="720"/>
        </w:tabs>
        <w:ind w:left="720"/>
      </w:pPr>
    </w:p>
    <w:p w:rsidR="003B05E5" w:rsidRDefault="003B05E5">
      <w:pPr>
        <w:tabs>
          <w:tab w:val="num" w:pos="720"/>
        </w:tabs>
        <w:ind w:left="720"/>
        <w:rPr>
          <w:b/>
          <w:bCs/>
        </w:rPr>
      </w:pPr>
      <w:r>
        <w:t>The continuing evolution of technology, as it reshapes both industries and business processes worldwide, creates new demands on th</w:t>
      </w:r>
      <w:r w:rsidR="00115CC8">
        <w:t>e Antitrust Division</w:t>
      </w:r>
      <w:r>
        <w:t xml:space="preserve">.  The economic paradigm is shifting so rapidly that the Division must employ new analytical tools, which allow it to respond quickly and appropriately.  It must be vigilant against anticompetitive behavior in the new economy where the Internet and cutting-edge information technology may facilitate the rapid entry and dominance of emerging markets. </w:t>
      </w:r>
    </w:p>
    <w:p w:rsidR="003B05E5" w:rsidRDefault="003B05E5">
      <w:pPr>
        <w:tabs>
          <w:tab w:val="num" w:pos="720"/>
        </w:tabs>
        <w:ind w:left="720"/>
        <w:rPr>
          <w:b/>
          <w:bCs/>
        </w:rPr>
      </w:pPr>
    </w:p>
    <w:p w:rsidR="003B05E5" w:rsidRDefault="003B05E5">
      <w:pPr>
        <w:tabs>
          <w:tab w:val="num" w:pos="720"/>
        </w:tabs>
        <w:ind w:left="720"/>
        <w:rPr>
          <w:b/>
          <w:bCs/>
        </w:rPr>
      </w:pPr>
      <w:r>
        <w:rPr>
          <w:b/>
          <w:bCs/>
        </w:rPr>
        <w:t>Technological Change and Information Flows</w:t>
      </w:r>
    </w:p>
    <w:p w:rsidR="003B05E5" w:rsidRDefault="003B05E5">
      <w:pPr>
        <w:tabs>
          <w:tab w:val="num" w:pos="720"/>
        </w:tabs>
        <w:ind w:left="720"/>
      </w:pPr>
    </w:p>
    <w:p w:rsidR="00731B2C" w:rsidRDefault="00731B2C">
      <w:pPr>
        <w:tabs>
          <w:tab w:val="num" w:pos="720"/>
        </w:tabs>
        <w:ind w:left="720"/>
      </w:pPr>
    </w:p>
    <w:p w:rsidR="003B05E5" w:rsidRDefault="00EA64C2">
      <w:pPr>
        <w:tabs>
          <w:tab w:val="num" w:pos="720"/>
        </w:tabs>
        <w:ind w:left="720"/>
      </w:pPr>
      <w:r>
        <w:rPr>
          <w:noProof/>
        </w:rPr>
        <w:drawing>
          <wp:anchor distT="0" distB="0" distL="114300" distR="114300" simplePos="0" relativeHeight="251702784" behindDoc="0" locked="0" layoutInCell="1" allowOverlap="1">
            <wp:simplePos x="0" y="0"/>
            <wp:positionH relativeFrom="margin">
              <wp:posOffset>421640</wp:posOffset>
            </wp:positionH>
            <wp:positionV relativeFrom="margin">
              <wp:posOffset>4401185</wp:posOffset>
            </wp:positionV>
            <wp:extent cx="2614930" cy="1828800"/>
            <wp:effectExtent l="19050" t="0" r="0" b="0"/>
            <wp:wrapSquare wrapText="bothSides"/>
            <wp:docPr id="23" name="Picture 14" descr="technology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r-lsb-nas05\ISG-SectDrive\ISG02-DATA1\MIS\WCLS\ThinkStockImages\des_photos\technology earth globe_112984172.jpg"/>
                    <pic:cNvPicPr>
                      <a:picLocks noChangeAspect="1" noChangeArrowheads="1"/>
                    </pic:cNvPicPr>
                  </pic:nvPicPr>
                  <pic:blipFill>
                    <a:blip r:embed="rId25" cstate="print"/>
                    <a:srcRect/>
                    <a:stretch>
                      <a:fillRect/>
                    </a:stretch>
                  </pic:blipFill>
                  <pic:spPr bwMode="auto">
                    <a:xfrm>
                      <a:off x="0" y="0"/>
                      <a:ext cx="2614930" cy="1828800"/>
                    </a:xfrm>
                    <a:prstGeom prst="rect">
                      <a:avLst/>
                    </a:prstGeom>
                    <a:noFill/>
                    <a:ln w="9525">
                      <a:noFill/>
                      <a:miter lim="800000"/>
                      <a:headEnd/>
                      <a:tailEnd/>
                    </a:ln>
                  </pic:spPr>
                </pic:pic>
              </a:graphicData>
            </a:graphic>
          </wp:anchor>
        </w:drawing>
      </w:r>
      <w:r w:rsidR="003B05E5">
        <w:t xml:space="preserve">Technological change is occurring at a blistering pace, as evidenced by the proliferation of wireless communication enhancements; the </w:t>
      </w:r>
      <w:r w:rsidR="005C48EB" w:rsidRPr="008578F7">
        <w:t>near daily evolution of mobile handheld devices, computer components, peripherals and software; and the growing use of video teleconferencing technology to communicate globally.</w:t>
      </w:r>
      <w:r w:rsidR="003B05E5">
        <w:t xml:space="preserve"> </w:t>
      </w:r>
    </w:p>
    <w:p w:rsidR="003B05E5" w:rsidRDefault="003B05E5">
      <w:pPr>
        <w:tabs>
          <w:tab w:val="num" w:pos="720"/>
        </w:tabs>
        <w:ind w:left="720"/>
      </w:pPr>
    </w:p>
    <w:p w:rsidR="00D01E1A" w:rsidRDefault="003B05E5">
      <w:pPr>
        <w:tabs>
          <w:tab w:val="num" w:pos="720"/>
        </w:tabs>
        <w:ind w:left="720"/>
        <w:sectPr w:rsidR="00D01E1A" w:rsidSect="006B0AA1">
          <w:endnotePr>
            <w:numFmt w:val="decimal"/>
          </w:endnotePr>
          <w:pgSz w:w="12240" w:h="15840" w:code="1"/>
          <w:pgMar w:top="1008" w:right="1440" w:bottom="432" w:left="1440" w:header="0" w:footer="432" w:gutter="0"/>
          <w:cols w:space="720"/>
          <w:noEndnote/>
        </w:sectPr>
      </w:pPr>
      <w:r>
        <w:t xml:space="preserve">As the tools of the trade become more sophisticated, there appears to be a corresponding growth in the subtlety and complexity with which prices are fixed, bids are rigged, and market allocation schemes are devised.  The increased use of electronic mail, and even faster, more direct methods of communication, such as text and instant messaging, has fostered this phenomenon.  Moreover, the evolution of electronic communication results in an increase in the amount and variety of data and materials that the Antitrust Division must obtain and review in the course of an investigation.  In addition to hard-copy documents, telephone logs, and other information from public sources, including the Internet, the Division now </w:t>
      </w:r>
      <w:r w:rsidR="003D6D58">
        <w:t xml:space="preserve">regularly </w:t>
      </w:r>
      <w:r>
        <w:t xml:space="preserve">receives magnetic tapes, CD’s, and computer servers containing the </w:t>
      </w:r>
      <w:bookmarkStart w:id="165" w:name="_Toc38000340"/>
      <w:r>
        <w:t>e-mail traffic and documents of companies under investigation.</w:t>
      </w:r>
    </w:p>
    <w:p w:rsidR="003B05E5" w:rsidRDefault="00DD5825">
      <w:pPr>
        <w:tabs>
          <w:tab w:val="num" w:pos="720"/>
        </w:tabs>
        <w:ind w:left="720"/>
        <w:rPr>
          <w:b/>
          <w:bCs/>
          <w:szCs w:val="19"/>
        </w:rPr>
      </w:pPr>
      <w:r w:rsidRPr="00DD5825">
        <w:rPr>
          <w:noProof/>
        </w:rPr>
        <w:pict>
          <v:shape id="_x0000_s1273" type="#_x0000_t75" alt="Photograph of a prison." style="position:absolute;left:0;text-align:left;margin-left:-96pt;margin-top:-56.25pt;width:631.5pt;height:725.25pt;z-index:-251646464">
            <v:imagedata r:id="rId26" o:title="j0400848" gain="19661f" blacklevel="22938f"/>
          </v:shape>
        </w:pict>
      </w:r>
      <w:bookmarkEnd w:id="165"/>
      <w:r w:rsidR="003B05E5">
        <w:rPr>
          <w:b/>
          <w:bCs/>
          <w:szCs w:val="19"/>
        </w:rPr>
        <w:t>Results</w:t>
      </w:r>
    </w:p>
    <w:p w:rsidR="003B05E5" w:rsidRDefault="003B05E5">
      <w:pPr>
        <w:tabs>
          <w:tab w:val="num" w:pos="720"/>
        </w:tabs>
        <w:ind w:left="720"/>
        <w:rPr>
          <w:b/>
          <w:bCs/>
          <w:szCs w:val="19"/>
        </w:rPr>
      </w:pPr>
    </w:p>
    <w:p w:rsidR="003B05E5" w:rsidRPr="005717CB" w:rsidRDefault="003B05E5">
      <w:pPr>
        <w:tabs>
          <w:tab w:val="num" w:pos="720"/>
        </w:tabs>
        <w:ind w:left="720"/>
        <w:rPr>
          <w:szCs w:val="19"/>
        </w:rPr>
      </w:pPr>
      <w:r>
        <w:rPr>
          <w:szCs w:val="19"/>
        </w:rPr>
        <w:t xml:space="preserve">While specific GPRA Performance Measures are addressed in the Decision Unit </w:t>
      </w:r>
      <w:r w:rsidRPr="005717CB">
        <w:rPr>
          <w:szCs w:val="19"/>
        </w:rPr>
        <w:t>Justification section of this submission, several interesting statistics relative to the Division’s performance include:</w:t>
      </w:r>
    </w:p>
    <w:p w:rsidR="003B05E5" w:rsidRPr="005717CB" w:rsidRDefault="003B05E5">
      <w:pPr>
        <w:tabs>
          <w:tab w:val="num" w:pos="720"/>
        </w:tabs>
        <w:ind w:left="720"/>
      </w:pPr>
    </w:p>
    <w:p w:rsidR="000F4442" w:rsidRPr="00603BE2" w:rsidRDefault="007249F2" w:rsidP="00992CFC">
      <w:pPr>
        <w:numPr>
          <w:ilvl w:val="0"/>
          <w:numId w:val="8"/>
        </w:numPr>
        <w:rPr>
          <w:b/>
          <w:bCs/>
        </w:rPr>
      </w:pPr>
      <w:bookmarkStart w:id="166" w:name="OLE_LINK16"/>
      <w:bookmarkStart w:id="167" w:name="OLE_LINK17"/>
      <w:r w:rsidRPr="007249F2">
        <w:t xml:space="preserve">From FY 2009 through the end of FY 2012, as a result of the Division’s efforts, over </w:t>
      </w:r>
      <w:r w:rsidRPr="007249F2">
        <w:rPr>
          <w:b/>
        </w:rPr>
        <w:t>$3.2 billion in criminal fines</w:t>
      </w:r>
      <w:r w:rsidRPr="007249F2">
        <w:t xml:space="preserve"> were obtained against antitrust violators.  In </w:t>
      </w:r>
      <w:r w:rsidR="0030244F" w:rsidRPr="00603BE2">
        <w:t>FY 20</w:t>
      </w:r>
      <w:r w:rsidR="00FE5EA4">
        <w:t>12</w:t>
      </w:r>
      <w:r w:rsidR="0030244F" w:rsidRPr="00603BE2">
        <w:t xml:space="preserve"> alone, over </w:t>
      </w:r>
      <w:r w:rsidR="0030244F" w:rsidRPr="00603BE2">
        <w:rPr>
          <w:b/>
        </w:rPr>
        <w:t>$1</w:t>
      </w:r>
      <w:r w:rsidR="00FE5EA4">
        <w:rPr>
          <w:b/>
        </w:rPr>
        <w:t>.1</w:t>
      </w:r>
      <w:r w:rsidR="0030244F" w:rsidRPr="00603BE2">
        <w:rPr>
          <w:b/>
        </w:rPr>
        <w:t xml:space="preserve"> billion in criminal fines</w:t>
      </w:r>
      <w:r w:rsidR="0030244F" w:rsidRPr="00603BE2">
        <w:t xml:space="preserve"> </w:t>
      </w:r>
      <w:r w:rsidR="00A358E4">
        <w:t xml:space="preserve">were obtained, making </w:t>
      </w:r>
      <w:r w:rsidR="006F5F85">
        <w:t xml:space="preserve">       </w:t>
      </w:r>
      <w:r w:rsidR="00A358E4">
        <w:t>FY 2012</w:t>
      </w:r>
      <w:r w:rsidR="0030244F" w:rsidRPr="00603BE2">
        <w:t xml:space="preserve"> the</w:t>
      </w:r>
      <w:r w:rsidR="0030244F" w:rsidRPr="00A358E4">
        <w:rPr>
          <w:bCs/>
        </w:rPr>
        <w:t xml:space="preserve"> </w:t>
      </w:r>
      <w:r w:rsidR="00A358E4" w:rsidRPr="00A358E4">
        <w:rPr>
          <w:bCs/>
        </w:rPr>
        <w:t>year with the</w:t>
      </w:r>
      <w:r w:rsidR="00A358E4">
        <w:rPr>
          <w:b/>
          <w:bCs/>
        </w:rPr>
        <w:t xml:space="preserve"> </w:t>
      </w:r>
      <w:r w:rsidR="0030244F" w:rsidRPr="00A358E4">
        <w:rPr>
          <w:bCs/>
        </w:rPr>
        <w:t xml:space="preserve">highest annual amount </w:t>
      </w:r>
      <w:r w:rsidR="00A358E4">
        <w:rPr>
          <w:bCs/>
        </w:rPr>
        <w:t xml:space="preserve">of obtained criminal fines </w:t>
      </w:r>
      <w:r w:rsidR="0030244F" w:rsidRPr="00A358E4">
        <w:rPr>
          <w:bCs/>
        </w:rPr>
        <w:t xml:space="preserve">in the Division’s </w:t>
      </w:r>
      <w:r w:rsidR="00FE5EA4" w:rsidRPr="00A358E4">
        <w:rPr>
          <w:bCs/>
        </w:rPr>
        <w:t>history</w:t>
      </w:r>
      <w:r w:rsidRPr="00A358E4">
        <w:rPr>
          <w:bCs/>
        </w:rPr>
        <w:t>.</w:t>
      </w:r>
    </w:p>
    <w:bookmarkEnd w:id="166"/>
    <w:bookmarkEnd w:id="167"/>
    <w:p w:rsidR="003B05E5" w:rsidRPr="00992CFC" w:rsidRDefault="003B05E5">
      <w:pPr>
        <w:ind w:left="720"/>
        <w:rPr>
          <w:b/>
          <w:bCs/>
        </w:rPr>
      </w:pPr>
    </w:p>
    <w:p w:rsidR="003B05E5" w:rsidRPr="009C3D79" w:rsidRDefault="003B05E5">
      <w:pPr>
        <w:numPr>
          <w:ilvl w:val="0"/>
          <w:numId w:val="9"/>
        </w:numPr>
      </w:pPr>
      <w:r w:rsidRPr="00992CFC">
        <w:rPr>
          <w:bCs/>
        </w:rPr>
        <w:t>In the area of crim</w:t>
      </w:r>
      <w:r w:rsidRPr="00B576C2">
        <w:rPr>
          <w:bCs/>
        </w:rPr>
        <w:t>i</w:t>
      </w:r>
      <w:r w:rsidRPr="0093021E">
        <w:t xml:space="preserve">nal enforcement, the Division continues to move forcefully against hard-core antitrust violations such as price-fixing, bid rigging and market allocation agreements.  A significant number of our prosecutions have involved international price-fixing cartels, impacting billions of dollars in U.S. commerce.  </w:t>
      </w:r>
      <w:r w:rsidR="007249F2" w:rsidRPr="009C3D79">
        <w:rPr>
          <w:b/>
          <w:bCs/>
        </w:rPr>
        <w:t xml:space="preserve">Since FY 1997, defendants have been sentenced to pay approximately </w:t>
      </w:r>
      <w:r w:rsidR="00D13F65">
        <w:rPr>
          <w:b/>
          <w:bCs/>
        </w:rPr>
        <w:t xml:space="preserve">       </w:t>
      </w:r>
      <w:r w:rsidR="007249F2" w:rsidRPr="009C3D79">
        <w:rPr>
          <w:b/>
          <w:bCs/>
        </w:rPr>
        <w:t>$7.</w:t>
      </w:r>
      <w:r w:rsidR="009C3D79" w:rsidRPr="009C3D79">
        <w:rPr>
          <w:b/>
          <w:bCs/>
        </w:rPr>
        <w:t>8</w:t>
      </w:r>
      <w:r w:rsidR="007249F2" w:rsidRPr="009C3D79">
        <w:rPr>
          <w:b/>
          <w:bCs/>
        </w:rPr>
        <w:t xml:space="preserve"> billion in criminal fines to the U.S. Treasury, including more than </w:t>
      </w:r>
      <w:r w:rsidR="00D13F65">
        <w:rPr>
          <w:b/>
          <w:bCs/>
        </w:rPr>
        <w:t xml:space="preserve">     </w:t>
      </w:r>
      <w:r w:rsidR="007249F2" w:rsidRPr="009C3D79">
        <w:rPr>
          <w:b/>
          <w:bCs/>
        </w:rPr>
        <w:t>$3.</w:t>
      </w:r>
      <w:r w:rsidR="009C3D79" w:rsidRPr="009C3D79">
        <w:rPr>
          <w:b/>
          <w:bCs/>
        </w:rPr>
        <w:t>8</w:t>
      </w:r>
      <w:r w:rsidR="007249F2" w:rsidRPr="009C3D79">
        <w:rPr>
          <w:b/>
          <w:bCs/>
        </w:rPr>
        <w:t xml:space="preserve"> billion just since the beginning of FY 2008.</w:t>
      </w:r>
    </w:p>
    <w:p w:rsidR="003B05E5" w:rsidRDefault="003B05E5">
      <w:pPr>
        <w:ind w:left="720"/>
      </w:pPr>
      <w:bookmarkStart w:id="168" w:name="OLE_LINK9"/>
    </w:p>
    <w:p w:rsidR="003D6D58" w:rsidRDefault="003B05E5">
      <w:pPr>
        <w:numPr>
          <w:ilvl w:val="0"/>
          <w:numId w:val="9"/>
        </w:numPr>
      </w:pPr>
      <w:r w:rsidRPr="00B96DD5">
        <w:t xml:space="preserve">The Division believes that individual incarceration has a greater deterrent effect than fines alone and continues to emphasize prison terms for individuals who participate in antitrust criminal behavior.  </w:t>
      </w:r>
      <w:r w:rsidR="0030244F" w:rsidRPr="005717CB">
        <w:t>In FY 2012</w:t>
      </w:r>
      <w:r w:rsidR="00D13F65" w:rsidRPr="005717CB">
        <w:t xml:space="preserve">, </w:t>
      </w:r>
      <w:r w:rsidR="00D13F65" w:rsidRPr="0093021E">
        <w:t>as</w:t>
      </w:r>
      <w:r w:rsidR="0093021E" w:rsidRPr="0093021E">
        <w:t xml:space="preserve"> the result of Division enforcement ef</w:t>
      </w:r>
      <w:r w:rsidR="0093021E">
        <w:t xml:space="preserve">forts, </w:t>
      </w:r>
      <w:r w:rsidR="00E7771C" w:rsidRPr="00E7771C">
        <w:t>35</w:t>
      </w:r>
      <w:r w:rsidR="0030244F" w:rsidRPr="00E7771C">
        <w:t xml:space="preserve"> corporations and </w:t>
      </w:r>
      <w:r w:rsidR="00E7771C" w:rsidRPr="00E7771C">
        <w:t>55</w:t>
      </w:r>
      <w:r w:rsidR="0093021E" w:rsidRPr="00200EA7">
        <w:t xml:space="preserve"> individuals were sentenced due to antitrust violations.  </w:t>
      </w:r>
      <w:r w:rsidRPr="00200EA7">
        <w:t>Prison sentences between FY 2000 and t</w:t>
      </w:r>
      <w:r w:rsidR="005C48EB" w:rsidRPr="00200EA7">
        <w:t xml:space="preserve">he </w:t>
      </w:r>
      <w:r w:rsidR="005C48EB" w:rsidRPr="005717CB">
        <w:t>e</w:t>
      </w:r>
      <w:r w:rsidR="007249F2" w:rsidRPr="007249F2">
        <w:t>nd of FY 2012</w:t>
      </w:r>
      <w:r w:rsidR="005C48EB" w:rsidRPr="00200EA7">
        <w:t xml:space="preserve"> </w:t>
      </w:r>
      <w:r w:rsidR="0093021E" w:rsidRPr="00200EA7">
        <w:t>were</w:t>
      </w:r>
      <w:r w:rsidR="005C48EB" w:rsidRPr="00200EA7">
        <w:t xml:space="preserve"> an </w:t>
      </w:r>
      <w:r w:rsidR="005C48EB" w:rsidRPr="00E7771C">
        <w:rPr>
          <w:b/>
        </w:rPr>
        <w:t>a</w:t>
      </w:r>
      <w:r w:rsidR="007249F2" w:rsidRPr="00E7771C">
        <w:rPr>
          <w:b/>
        </w:rPr>
        <w:t>verage of approximately 2</w:t>
      </w:r>
      <w:r w:rsidR="00E7771C" w:rsidRPr="00E7771C">
        <w:rPr>
          <w:b/>
        </w:rPr>
        <w:t>2</w:t>
      </w:r>
      <w:r w:rsidR="007249F2" w:rsidRPr="00E7771C">
        <w:rPr>
          <w:b/>
        </w:rPr>
        <w:t xml:space="preserve"> months</w:t>
      </w:r>
      <w:r w:rsidR="005C48EB" w:rsidRPr="00E7771C">
        <w:t>,</w:t>
      </w:r>
      <w:r w:rsidR="005C48EB" w:rsidRPr="00200EA7">
        <w:t xml:space="preserve"> </w:t>
      </w:r>
      <w:r w:rsidR="0093021E" w:rsidRPr="00200EA7">
        <w:t>more than twice the</w:t>
      </w:r>
      <w:r w:rsidR="005C48EB" w:rsidRPr="00200EA7">
        <w:t xml:space="preserve"> 8-month average sentence of the 1990’s.</w:t>
      </w:r>
      <w:r w:rsidRPr="00200EA7">
        <w:t xml:space="preserve">  </w:t>
      </w:r>
      <w:r w:rsidR="003F66B0">
        <w:t>P</w:t>
      </w:r>
      <w:r w:rsidRPr="00200EA7">
        <w:t xml:space="preserve">rison sentences </w:t>
      </w:r>
      <w:r w:rsidR="003F66B0">
        <w:t xml:space="preserve">since FY 1990 </w:t>
      </w:r>
      <w:r w:rsidRPr="00200EA7">
        <w:t xml:space="preserve">have resulted in </w:t>
      </w:r>
      <w:r w:rsidR="00D60F64" w:rsidRPr="00200EA7">
        <w:t xml:space="preserve">approximately </w:t>
      </w:r>
      <w:r w:rsidR="00E7771C" w:rsidRPr="00E7771C">
        <w:rPr>
          <w:b/>
        </w:rPr>
        <w:t>621</w:t>
      </w:r>
      <w:r w:rsidR="007249F2" w:rsidRPr="00E7771C">
        <w:rPr>
          <w:b/>
        </w:rPr>
        <w:t xml:space="preserve"> years</w:t>
      </w:r>
      <w:r w:rsidRPr="00E7771C">
        <w:t xml:space="preserve"> of imprisonment</w:t>
      </w:r>
      <w:r w:rsidR="003F66B0" w:rsidRPr="00E7771C">
        <w:t xml:space="preserve"> in cases prosecuted by the Antitrust Division, with </w:t>
      </w:r>
      <w:r w:rsidR="007249F2" w:rsidRPr="00E7771C">
        <w:rPr>
          <w:b/>
        </w:rPr>
        <w:t>20</w:t>
      </w:r>
      <w:r w:rsidR="00E7771C" w:rsidRPr="00E7771C">
        <w:rPr>
          <w:b/>
        </w:rPr>
        <w:t>8</w:t>
      </w:r>
      <w:r w:rsidR="007249F2" w:rsidRPr="00E7771C">
        <w:rPr>
          <w:b/>
        </w:rPr>
        <w:t xml:space="preserve"> defendants</w:t>
      </w:r>
      <w:r w:rsidRPr="00E7771C">
        <w:t xml:space="preserve"> s</w:t>
      </w:r>
      <w:r w:rsidRPr="00B96DD5">
        <w:t>entence</w:t>
      </w:r>
      <w:r w:rsidR="00D60F64">
        <w:t>d to imprisonment</w:t>
      </w:r>
      <w:r w:rsidRPr="00B96DD5">
        <w:t xml:space="preserve"> of one year or longer.  </w:t>
      </w:r>
    </w:p>
    <w:p w:rsidR="003D6D58" w:rsidRDefault="003D6D58" w:rsidP="003D6D58">
      <w:pPr>
        <w:pStyle w:val="ListParagraph"/>
      </w:pPr>
    </w:p>
    <w:p w:rsidR="003B05E5" w:rsidRPr="00200EA7" w:rsidRDefault="003B05E5">
      <w:pPr>
        <w:numPr>
          <w:ilvl w:val="0"/>
          <w:numId w:val="9"/>
        </w:numPr>
      </w:pPr>
      <w:r w:rsidRPr="0026321B">
        <w:t xml:space="preserve">Coupled with the increasing frequency and duration of defendants’ incarceration was a rise in monetary restitution by criminal defendants.  </w:t>
      </w:r>
      <w:r w:rsidR="005C48EB" w:rsidRPr="0026321B">
        <w:t xml:space="preserve">From FY 2004 through the </w:t>
      </w:r>
      <w:r w:rsidR="007249F2" w:rsidRPr="004B75BA">
        <w:t>end of FY 2012</w:t>
      </w:r>
      <w:r w:rsidR="005C48EB" w:rsidRPr="004B75BA">
        <w:t>,</w:t>
      </w:r>
      <w:r w:rsidR="005C48EB" w:rsidRPr="0026321B">
        <w:t xml:space="preserve"> restitution generated by the Division was approximately </w:t>
      </w:r>
      <w:r w:rsidR="006F5F85">
        <w:t xml:space="preserve">   </w:t>
      </w:r>
      <w:r w:rsidR="007249F2" w:rsidRPr="000A5092">
        <w:rPr>
          <w:b/>
        </w:rPr>
        <w:t>$92</w:t>
      </w:r>
      <w:r w:rsidR="00C66655" w:rsidRPr="00200EA7">
        <w:rPr>
          <w:b/>
        </w:rPr>
        <w:t xml:space="preserve"> million</w:t>
      </w:r>
      <w:r w:rsidR="005C48EB" w:rsidRPr="00200EA7">
        <w:rPr>
          <w:b/>
        </w:rPr>
        <w:t>.</w:t>
      </w:r>
      <w:r w:rsidR="005C48EB" w:rsidRPr="00200EA7">
        <w:t xml:space="preserve"> </w:t>
      </w:r>
      <w:bookmarkEnd w:id="168"/>
    </w:p>
    <w:p w:rsidR="003B05E5" w:rsidRPr="0026321B" w:rsidRDefault="003B05E5"/>
    <w:p w:rsidR="003B05E5" w:rsidRDefault="003B05E5">
      <w:pPr>
        <w:numPr>
          <w:ilvl w:val="0"/>
          <w:numId w:val="9"/>
        </w:numPr>
        <w:rPr>
          <w:b/>
          <w:bCs/>
          <w:szCs w:val="19"/>
        </w:rPr>
        <w:sectPr w:rsidR="003B05E5" w:rsidSect="0054642A">
          <w:endnotePr>
            <w:numFmt w:val="decimal"/>
          </w:endnotePr>
          <w:pgSz w:w="12240" w:h="15840" w:code="1"/>
          <w:pgMar w:top="1440" w:right="1440" w:bottom="432" w:left="1440" w:header="0" w:footer="432" w:gutter="0"/>
          <w:cols w:space="720"/>
          <w:noEndnote/>
        </w:sectPr>
      </w:pPr>
      <w:r w:rsidRPr="0026321B">
        <w:t>Despite a workload o</w:t>
      </w:r>
      <w:r>
        <w:t xml:space="preserve">f increasingly complex cases, the Antitrust Division has made great strides in combating anticompetitive behavior across industries and geographic borders and has saved consumers billions of dollars by ensuring a competitive and innovative marketplace.  </w:t>
      </w:r>
      <w:r w:rsidRPr="00204391">
        <w:rPr>
          <w:b/>
          <w:bCs/>
        </w:rPr>
        <w:t xml:space="preserve">Since FY 1998, the first year for which data is available, the Division, through its efforts in all three enforcement areas - merger, criminal and civil non-merger </w:t>
      </w:r>
      <w:r w:rsidR="00262AC3">
        <w:rPr>
          <w:b/>
          <w:bCs/>
        </w:rPr>
        <w:t xml:space="preserve">- </w:t>
      </w:r>
      <w:r w:rsidRPr="00204391">
        <w:rPr>
          <w:b/>
          <w:bCs/>
        </w:rPr>
        <w:t xml:space="preserve">is estimated, conservatively, </w:t>
      </w:r>
      <w:r w:rsidRPr="00226CEE">
        <w:rPr>
          <w:b/>
          <w:bCs/>
        </w:rPr>
        <w:t>t</w:t>
      </w:r>
      <w:r w:rsidR="005C48EB" w:rsidRPr="005C48EB">
        <w:rPr>
          <w:b/>
          <w:bCs/>
        </w:rPr>
        <w:t xml:space="preserve">o have saved </w:t>
      </w:r>
      <w:r w:rsidR="00A94EF1" w:rsidRPr="00527272">
        <w:rPr>
          <w:b/>
          <w:bCs/>
        </w:rPr>
        <w:t>consumers $3</w:t>
      </w:r>
      <w:r w:rsidR="00527272" w:rsidRPr="00527272">
        <w:rPr>
          <w:b/>
          <w:bCs/>
        </w:rPr>
        <w:t>6</w:t>
      </w:r>
      <w:r w:rsidR="00A94EF1" w:rsidRPr="00527272">
        <w:rPr>
          <w:b/>
          <w:bCs/>
        </w:rPr>
        <w:t xml:space="preserve"> billion.</w:t>
      </w:r>
    </w:p>
    <w:p w:rsidR="003B05E5" w:rsidRPr="0021092A" w:rsidRDefault="003B05E5">
      <w:pPr>
        <w:tabs>
          <w:tab w:val="num" w:pos="720"/>
        </w:tabs>
        <w:ind w:left="720"/>
        <w:rPr>
          <w:b/>
          <w:bCs/>
          <w:sz w:val="20"/>
          <w:szCs w:val="20"/>
        </w:rPr>
      </w:pPr>
    </w:p>
    <w:p w:rsidR="003B05E5" w:rsidRDefault="003B05E5">
      <w:pPr>
        <w:tabs>
          <w:tab w:val="num" w:pos="720"/>
        </w:tabs>
        <w:ind w:left="720"/>
      </w:pPr>
      <w:r>
        <w:rPr>
          <w:b/>
          <w:bCs/>
          <w:szCs w:val="19"/>
        </w:rPr>
        <w:t>Revenue Assumptions</w:t>
      </w:r>
    </w:p>
    <w:p w:rsidR="003B05E5" w:rsidRPr="0021092A" w:rsidRDefault="003B05E5">
      <w:pPr>
        <w:tabs>
          <w:tab w:val="num" w:pos="720"/>
        </w:tabs>
        <w:ind w:left="720"/>
        <w:rPr>
          <w:sz w:val="16"/>
          <w:szCs w:val="16"/>
        </w:rPr>
      </w:pPr>
    </w:p>
    <w:p w:rsidR="003B05E5" w:rsidRDefault="00BE3524" w:rsidP="00954462">
      <w:pPr>
        <w:tabs>
          <w:tab w:val="num" w:pos="720"/>
        </w:tabs>
        <w:ind w:left="720"/>
      </w:pPr>
      <w:r w:rsidRPr="00FE52A0">
        <w:t>Estimated FY 201</w:t>
      </w:r>
      <w:r w:rsidR="00E55937">
        <w:t>3</w:t>
      </w:r>
      <w:r w:rsidR="000F4442" w:rsidRPr="00FE52A0">
        <w:t xml:space="preserve"> - 201</w:t>
      </w:r>
      <w:r w:rsidR="00E55937">
        <w:t>4</w:t>
      </w:r>
      <w:r w:rsidRPr="00FE52A0">
        <w:t xml:space="preserve"> filings and fee revenue take into account the relative optimism of current medium-range economic forecasts.  </w:t>
      </w:r>
      <w:r w:rsidR="00A52609" w:rsidRPr="006B7C8D">
        <w:t xml:space="preserve">The </w:t>
      </w:r>
      <w:r w:rsidR="006B7C8D" w:rsidRPr="006B7C8D">
        <w:t>February</w:t>
      </w:r>
      <w:r w:rsidR="00A52609" w:rsidRPr="006B7C8D">
        <w:t xml:space="preserve"> 201</w:t>
      </w:r>
      <w:r w:rsidR="006B7C8D" w:rsidRPr="006B7C8D">
        <w:t>3</w:t>
      </w:r>
      <w:r w:rsidR="00A52609" w:rsidRPr="006B7C8D">
        <w:t xml:space="preserve"> Congressional Budget Office, Budget and Economic Outlook anticipates </w:t>
      </w:r>
      <w:r w:rsidR="006B7C8D" w:rsidRPr="006B7C8D">
        <w:t xml:space="preserve">that </w:t>
      </w:r>
      <w:r w:rsidR="00A52609" w:rsidRPr="006B7C8D">
        <w:t xml:space="preserve">economic </w:t>
      </w:r>
      <w:r w:rsidR="006B7C8D" w:rsidRPr="006B7C8D">
        <w:t>activity</w:t>
      </w:r>
      <w:r w:rsidR="00A52609" w:rsidRPr="006B7C8D">
        <w:t xml:space="preserve"> will </w:t>
      </w:r>
      <w:r w:rsidR="006B7C8D" w:rsidRPr="006B7C8D">
        <w:t>expand slowly in calendar year 2013</w:t>
      </w:r>
      <w:r w:rsidR="00A52609" w:rsidRPr="006B7C8D">
        <w:t xml:space="preserve"> </w:t>
      </w:r>
      <w:r w:rsidR="006B7C8D" w:rsidRPr="006B7C8D">
        <w:t>but increase more rapidly in calendar year 2014</w:t>
      </w:r>
      <w:r w:rsidR="00A52609" w:rsidRPr="006B7C8D">
        <w:t>.</w:t>
      </w:r>
      <w:r w:rsidR="00A52609" w:rsidRPr="006B7C8D">
        <w:rPr>
          <w:rStyle w:val="FootnoteReference"/>
        </w:rPr>
        <w:footnoteReference w:customMarkFollows="1" w:id="8"/>
        <w:t>8</w:t>
      </w:r>
    </w:p>
    <w:p w:rsidR="000666D9" w:rsidRPr="00166027" w:rsidRDefault="000666D9" w:rsidP="00954462">
      <w:pPr>
        <w:tabs>
          <w:tab w:val="num" w:pos="720"/>
        </w:tabs>
        <w:ind w:left="720"/>
        <w:rPr>
          <w:sz w:val="16"/>
          <w:szCs w:val="16"/>
        </w:rPr>
      </w:pPr>
    </w:p>
    <w:p w:rsidR="004F06E5" w:rsidRDefault="0063193C">
      <w:pPr>
        <w:tabs>
          <w:tab w:val="num" w:pos="720"/>
        </w:tabs>
        <w:ind w:left="720"/>
        <w:rPr>
          <w:vertAlign w:val="superscript"/>
        </w:rPr>
      </w:pPr>
      <w:r>
        <w:rPr>
          <w:noProof/>
          <w:vertAlign w:val="superscript"/>
        </w:rPr>
        <w:drawing>
          <wp:inline distT="0" distB="0" distL="0" distR="0">
            <wp:extent cx="5204963" cy="3750693"/>
            <wp:effectExtent l="57150" t="19050" r="90937" b="97407"/>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pPr w:leftFromText="180" w:rightFromText="180" w:vertAnchor="text" w:horzAnchor="page" w:tblpX="3452" w:tblpY="29"/>
        <w:tblW w:w="0" w:type="auto"/>
        <w:tblBorders>
          <w:top w:val="single" w:sz="12" w:space="0" w:color="000000"/>
          <w:left w:val="single" w:sz="12" w:space="0" w:color="000000"/>
          <w:bottom w:val="single" w:sz="12" w:space="0" w:color="000000"/>
          <w:right w:val="single" w:sz="12" w:space="0" w:color="000000"/>
        </w:tblBorders>
        <w:shd w:val="clear" w:color="auto" w:fill="FFFFCC"/>
        <w:tblLook w:val="00BF"/>
      </w:tblPr>
      <w:tblGrid>
        <w:gridCol w:w="5958"/>
      </w:tblGrid>
      <w:tr w:rsidR="00166027" w:rsidTr="00166027">
        <w:trPr>
          <w:trHeight w:val="68"/>
        </w:trPr>
        <w:tc>
          <w:tcPr>
            <w:tcW w:w="5958" w:type="dxa"/>
            <w:shd w:val="clear" w:color="auto" w:fill="FFFFCC"/>
            <w:vAlign w:val="center"/>
          </w:tcPr>
          <w:p w:rsidR="00166027" w:rsidRPr="002E0153" w:rsidRDefault="00166027" w:rsidP="00166027">
            <w:pPr>
              <w:pStyle w:val="BodyText3"/>
              <w:ind w:leftChars="-112" w:left="-269"/>
              <w:jc w:val="center"/>
              <w:rPr>
                <w:rFonts w:ascii="Times New Roman" w:hAnsi="Times New Roman"/>
                <w:b/>
                <w:bCs/>
                <w:sz w:val="20"/>
              </w:rPr>
            </w:pPr>
            <w:r w:rsidRPr="002E0153">
              <w:rPr>
                <w:rFonts w:ascii="Times New Roman" w:hAnsi="Times New Roman"/>
                <w:b/>
                <w:bCs/>
                <w:sz w:val="20"/>
              </w:rPr>
              <w:t>Premerger Filing Fee Thresholds</w:t>
            </w:r>
          </w:p>
          <w:p w:rsidR="00166027" w:rsidRDefault="00166027" w:rsidP="00166027">
            <w:pPr>
              <w:pStyle w:val="BodyText3"/>
              <w:jc w:val="center"/>
              <w:rPr>
                <w:rFonts w:ascii="Times New Roman" w:hAnsi="Times New Roman"/>
                <w:bCs/>
                <w:sz w:val="20"/>
              </w:rPr>
            </w:pPr>
            <w:r w:rsidRPr="002E0153">
              <w:rPr>
                <w:rFonts w:ascii="Times New Roman" w:hAnsi="Times New Roman"/>
                <w:b/>
                <w:bCs/>
                <w:sz w:val="20"/>
              </w:rPr>
              <w:t xml:space="preserve">Effective Feb </w:t>
            </w:r>
            <w:r>
              <w:rPr>
                <w:rFonts w:ascii="Times New Roman" w:hAnsi="Times New Roman"/>
                <w:b/>
                <w:bCs/>
                <w:sz w:val="20"/>
              </w:rPr>
              <w:t>11</w:t>
            </w:r>
            <w:r w:rsidRPr="002E0153">
              <w:rPr>
                <w:rFonts w:ascii="Times New Roman" w:hAnsi="Times New Roman"/>
                <w:b/>
                <w:bCs/>
                <w:sz w:val="20"/>
              </w:rPr>
              <w:t>, 201</w:t>
            </w:r>
            <w:r>
              <w:rPr>
                <w:rFonts w:ascii="Times New Roman" w:hAnsi="Times New Roman"/>
                <w:b/>
                <w:bCs/>
                <w:sz w:val="20"/>
              </w:rPr>
              <w:t>3</w:t>
            </w:r>
          </w:p>
        </w:tc>
      </w:tr>
      <w:tr w:rsidR="00166027" w:rsidTr="00166027">
        <w:trPr>
          <w:trHeight w:val="115"/>
        </w:trPr>
        <w:tc>
          <w:tcPr>
            <w:tcW w:w="5958" w:type="dxa"/>
            <w:shd w:val="clear" w:color="auto" w:fill="FFFFCC"/>
            <w:vAlign w:val="center"/>
          </w:tcPr>
          <w:p w:rsidR="00166027" w:rsidRDefault="00166027" w:rsidP="00166027">
            <w:pPr>
              <w:rPr>
                <w:b/>
                <w:sz w:val="20"/>
                <w:szCs w:val="20"/>
              </w:rPr>
            </w:pPr>
            <w:r>
              <w:rPr>
                <w:b/>
                <w:sz w:val="20"/>
                <w:szCs w:val="20"/>
                <w:u w:val="single"/>
              </w:rPr>
              <w:t>Value of Transaction                                                          Filing Fee</w:t>
            </w:r>
          </w:p>
          <w:p w:rsidR="00166027" w:rsidRDefault="00166027" w:rsidP="00166027">
            <w:pPr>
              <w:rPr>
                <w:b/>
                <w:sz w:val="20"/>
                <w:szCs w:val="20"/>
              </w:rPr>
            </w:pPr>
            <w:r>
              <w:rPr>
                <w:b/>
                <w:sz w:val="20"/>
                <w:szCs w:val="20"/>
              </w:rPr>
              <w:t>Lower:   $70.9M - &lt;$141.8M                                                 $45,000</w:t>
            </w:r>
          </w:p>
        </w:tc>
      </w:tr>
      <w:tr w:rsidR="00166027" w:rsidTr="00166027">
        <w:trPr>
          <w:trHeight w:val="117"/>
        </w:trPr>
        <w:tc>
          <w:tcPr>
            <w:tcW w:w="5958" w:type="dxa"/>
            <w:shd w:val="clear" w:color="auto" w:fill="FFFFCC"/>
            <w:vAlign w:val="center"/>
          </w:tcPr>
          <w:p w:rsidR="00166027" w:rsidRDefault="00166027" w:rsidP="00166027">
            <w:pPr>
              <w:rPr>
                <w:b/>
                <w:sz w:val="20"/>
                <w:szCs w:val="20"/>
              </w:rPr>
            </w:pPr>
            <w:r>
              <w:rPr>
                <w:b/>
                <w:sz w:val="20"/>
                <w:szCs w:val="20"/>
              </w:rPr>
              <w:t>Middle:  $141.8M - &lt;$709.1M                                             $125,000</w:t>
            </w:r>
          </w:p>
        </w:tc>
      </w:tr>
      <w:tr w:rsidR="00166027" w:rsidTr="00166027">
        <w:trPr>
          <w:trHeight w:val="81"/>
        </w:trPr>
        <w:tc>
          <w:tcPr>
            <w:tcW w:w="5958" w:type="dxa"/>
            <w:shd w:val="clear" w:color="auto" w:fill="FFFFCC"/>
            <w:vAlign w:val="center"/>
          </w:tcPr>
          <w:p w:rsidR="00166027" w:rsidRDefault="00166027" w:rsidP="00166027">
            <w:pPr>
              <w:rPr>
                <w:b/>
                <w:sz w:val="20"/>
                <w:szCs w:val="20"/>
              </w:rPr>
            </w:pPr>
            <w:r>
              <w:rPr>
                <w:b/>
                <w:sz w:val="20"/>
                <w:szCs w:val="20"/>
              </w:rPr>
              <w:t>Upper:   $709.1M plus                                                          $280,000</w:t>
            </w:r>
          </w:p>
        </w:tc>
      </w:tr>
    </w:tbl>
    <w:p w:rsidR="000C1054" w:rsidRDefault="000C1054">
      <w:pPr>
        <w:tabs>
          <w:tab w:val="num" w:pos="720"/>
        </w:tabs>
        <w:ind w:left="720"/>
        <w:rPr>
          <w:vertAlign w:val="superscript"/>
        </w:rPr>
      </w:pPr>
    </w:p>
    <w:p w:rsidR="004F06E5" w:rsidRDefault="004F06E5">
      <w:pPr>
        <w:tabs>
          <w:tab w:val="num" w:pos="720"/>
        </w:tabs>
        <w:ind w:left="720"/>
        <w:rPr>
          <w:vertAlign w:val="superscript"/>
        </w:rPr>
      </w:pPr>
    </w:p>
    <w:p w:rsidR="003B05E5" w:rsidRDefault="003B05E5">
      <w:pPr>
        <w:tabs>
          <w:tab w:val="num" w:pos="720"/>
        </w:tabs>
        <w:ind w:left="720"/>
      </w:pPr>
    </w:p>
    <w:p w:rsidR="003B05E5" w:rsidRDefault="003B05E5">
      <w:pPr>
        <w:tabs>
          <w:tab w:val="num" w:pos="720"/>
        </w:tabs>
        <w:ind w:left="720"/>
      </w:pPr>
    </w:p>
    <w:p w:rsidR="003B05E5" w:rsidRDefault="003B05E5">
      <w:pPr>
        <w:tabs>
          <w:tab w:val="num" w:pos="720"/>
        </w:tabs>
        <w:ind w:left="720"/>
      </w:pPr>
    </w:p>
    <w:p w:rsidR="003B05E5" w:rsidRDefault="003B05E5" w:rsidP="005C16B5">
      <w:pPr>
        <w:tabs>
          <w:tab w:val="num" w:pos="720"/>
        </w:tabs>
        <w:sectPr w:rsidR="003B05E5" w:rsidSect="0054642A">
          <w:endnotePr>
            <w:numFmt w:val="decimal"/>
          </w:endnotePr>
          <w:pgSz w:w="12240" w:h="15840" w:code="1"/>
          <w:pgMar w:top="245" w:right="1440" w:bottom="245" w:left="1440" w:header="0" w:footer="288" w:gutter="0"/>
          <w:cols w:space="720"/>
          <w:noEndnote/>
        </w:sectPr>
      </w:pPr>
    </w:p>
    <w:p w:rsidR="00166027" w:rsidRDefault="00166027" w:rsidP="00166027">
      <w:pPr>
        <w:tabs>
          <w:tab w:val="num" w:pos="720"/>
        </w:tabs>
        <w:jc w:val="center"/>
      </w:pPr>
      <w:r>
        <w:tab/>
        <w:t xml:space="preserve">                      </w:t>
      </w:r>
    </w:p>
    <w:p w:rsidR="002E0153" w:rsidRPr="00166027" w:rsidRDefault="003B05E5" w:rsidP="00166027">
      <w:pPr>
        <w:tabs>
          <w:tab w:val="num" w:pos="720"/>
        </w:tabs>
        <w:jc w:val="center"/>
        <w:rPr>
          <w:b/>
          <w:sz w:val="16"/>
          <w:szCs w:val="16"/>
        </w:rPr>
      </w:pPr>
      <w:r w:rsidRPr="00166027">
        <w:rPr>
          <w:b/>
          <w:sz w:val="16"/>
          <w:szCs w:val="16"/>
        </w:rPr>
        <w:t>Figure 2</w:t>
      </w:r>
    </w:p>
    <w:p w:rsidR="003B05E5" w:rsidRDefault="003B05E5">
      <w:pPr>
        <w:tabs>
          <w:tab w:val="num" w:pos="720"/>
        </w:tabs>
        <w:ind w:leftChars="300" w:left="720" w:rightChars="-75" w:right="-180"/>
        <w:rPr>
          <w:sz w:val="16"/>
          <w:szCs w:val="16"/>
        </w:rPr>
      </w:pPr>
      <w:r>
        <w:rPr>
          <w:sz w:val="16"/>
          <w:szCs w:val="16"/>
        </w:rPr>
        <w:t xml:space="preserve">(Consistent with statutory direction, pre-merger filing fee threshold amounts are adjusted annually based on the U.S. Gross Domestic Product Index and are reflected in the table above) </w:t>
      </w:r>
    </w:p>
    <w:p w:rsidR="003B05E5" w:rsidRPr="0021092A" w:rsidRDefault="003B05E5">
      <w:pPr>
        <w:tabs>
          <w:tab w:val="num" w:pos="720"/>
        </w:tabs>
        <w:ind w:leftChars="300" w:left="720" w:rightChars="-75" w:right="-180"/>
        <w:rPr>
          <w:sz w:val="14"/>
          <w:szCs w:val="14"/>
        </w:rPr>
      </w:pPr>
    </w:p>
    <w:p w:rsidR="003B05E5" w:rsidRDefault="00B555D6">
      <w:pPr>
        <w:tabs>
          <w:tab w:val="num" w:pos="720"/>
        </w:tabs>
        <w:ind w:leftChars="300" w:left="720" w:rightChars="-75" w:right="-180"/>
        <w:rPr>
          <w:b/>
          <w:sz w:val="16"/>
          <w:szCs w:val="16"/>
        </w:rPr>
      </w:pPr>
      <w:r w:rsidRPr="00D962E1">
        <w:t>Renewed confidence in economic conditions beginning in late</w:t>
      </w:r>
      <w:r w:rsidR="003B05E5" w:rsidRPr="00D962E1">
        <w:t xml:space="preserve"> 2009</w:t>
      </w:r>
      <w:r w:rsidR="005C48EB" w:rsidRPr="00D962E1">
        <w:t xml:space="preserve"> resulted in a </w:t>
      </w:r>
      <w:r w:rsidR="00B86D63">
        <w:t xml:space="preserve">             </w:t>
      </w:r>
      <w:r w:rsidR="00A94EF1" w:rsidRPr="00A94EF1">
        <w:t>67 percent increase in Hart-Scott-Rodino (HSR) filings</w:t>
      </w:r>
      <w:r w:rsidR="005C48EB" w:rsidRPr="00D962E1">
        <w:t xml:space="preserve"> and a 73 percent increase in fee revenue in FY 2010.  </w:t>
      </w:r>
      <w:r w:rsidR="007249F2" w:rsidRPr="00A205E8">
        <w:t>An increased level of merger activity continued throughout FY 201</w:t>
      </w:r>
      <w:r w:rsidR="00524932" w:rsidRPr="00A205E8">
        <w:t>2</w:t>
      </w:r>
      <w:r w:rsidR="007249F2" w:rsidRPr="00A205E8">
        <w:t xml:space="preserve"> and is expected to continue throughout fiscal years 201</w:t>
      </w:r>
      <w:r w:rsidR="00524932" w:rsidRPr="00A205E8">
        <w:t>3</w:t>
      </w:r>
      <w:r w:rsidR="007249F2" w:rsidRPr="00A205E8">
        <w:t xml:space="preserve"> through 2014.</w:t>
      </w:r>
      <w:r w:rsidR="003B05E5">
        <w:t xml:space="preserve">     </w:t>
      </w:r>
      <w:r w:rsidR="003B05E5">
        <w:rPr>
          <w:b/>
          <w:sz w:val="16"/>
          <w:szCs w:val="16"/>
        </w:rPr>
        <w:t xml:space="preserve">         </w:t>
      </w:r>
    </w:p>
    <w:p w:rsidR="003B05E5" w:rsidRDefault="003B05E5">
      <w:pPr>
        <w:tabs>
          <w:tab w:val="num" w:pos="720"/>
        </w:tabs>
        <w:ind w:leftChars="300" w:left="720" w:rightChars="-75" w:right="-180"/>
        <w:rPr>
          <w:b/>
          <w:sz w:val="16"/>
          <w:szCs w:val="16"/>
        </w:rPr>
      </w:pPr>
      <w:r>
        <w:rPr>
          <w:b/>
          <w:sz w:val="16"/>
          <w:szCs w:val="16"/>
        </w:rPr>
        <w:t xml:space="preserve">                                                        </w:t>
      </w:r>
      <w:r>
        <w:tab/>
      </w:r>
      <w:r>
        <w:tab/>
        <w:t xml:space="preserve"> </w:t>
      </w:r>
    </w:p>
    <w:p w:rsidR="00166027" w:rsidRDefault="003B05E5">
      <w:pPr>
        <w:tabs>
          <w:tab w:val="num" w:pos="720"/>
        </w:tabs>
        <w:ind w:left="720"/>
      </w:pPr>
      <w:r>
        <w:t xml:space="preserve">Based upon estimates calculated by the Congressional Budget Office and the Federal Trade Commission (FTC), fee collections of </w:t>
      </w:r>
      <w:r w:rsidR="007249F2" w:rsidRPr="00CA2549">
        <w:t>$</w:t>
      </w:r>
      <w:r w:rsidR="00A94EF1" w:rsidRPr="00A94EF1">
        <w:t>235</w:t>
      </w:r>
      <w:r w:rsidR="007249F2" w:rsidRPr="00CA2549">
        <w:t xml:space="preserve"> million for FY 201</w:t>
      </w:r>
      <w:r w:rsidR="00CA2549" w:rsidRPr="00CA2549">
        <w:t>3</w:t>
      </w:r>
      <w:r w:rsidR="007249F2" w:rsidRPr="00CA2549">
        <w:t xml:space="preserve"> and </w:t>
      </w:r>
      <w:r w:rsidR="006F5F85">
        <w:t xml:space="preserve">            </w:t>
      </w:r>
      <w:r w:rsidR="007249F2" w:rsidRPr="00CA2549">
        <w:t>$2</w:t>
      </w:r>
      <w:r w:rsidR="00CA2549" w:rsidRPr="00CA2549">
        <w:t>04.6</w:t>
      </w:r>
      <w:r w:rsidR="007249F2" w:rsidRPr="00CA2549">
        <w:t xml:space="preserve"> million for FY 201</w:t>
      </w:r>
      <w:r w:rsidR="00CA2549" w:rsidRPr="00CA2549">
        <w:t>4</w:t>
      </w:r>
      <w:r w:rsidR="007249F2" w:rsidRPr="00CA2549">
        <w:t xml:space="preserve"> are expected.</w:t>
      </w:r>
      <w:r w:rsidR="0021092A" w:rsidRPr="00CA2549">
        <w:t xml:space="preserve">   </w:t>
      </w:r>
      <w:r w:rsidRPr="00CA2549">
        <w:t>HSR filing f</w:t>
      </w:r>
      <w:r w:rsidRPr="00D962E1">
        <w:t>ee r</w:t>
      </w:r>
      <w:r w:rsidR="00807ADA">
        <w:t xml:space="preserve">evenue is </w:t>
      </w:r>
      <w:r w:rsidR="00824805">
        <w:t>collected by the FTC</w:t>
      </w:r>
      <w:r w:rsidR="00807ADA">
        <w:t xml:space="preserve"> and divided evenly with</w:t>
      </w:r>
      <w:r w:rsidRPr="00D962E1">
        <w:t xml:space="preserve"> the</w:t>
      </w:r>
      <w:r w:rsidR="00807ADA">
        <w:t xml:space="preserve"> Antitrust Division</w:t>
      </w:r>
      <w:r>
        <w:t>.</w:t>
      </w:r>
    </w:p>
    <w:p w:rsidR="00166027" w:rsidRPr="00166027" w:rsidRDefault="00166027">
      <w:pPr>
        <w:tabs>
          <w:tab w:val="num" w:pos="720"/>
        </w:tabs>
        <w:ind w:left="720"/>
        <w:rPr>
          <w:sz w:val="14"/>
          <w:szCs w:val="14"/>
        </w:rPr>
      </w:pPr>
    </w:p>
    <w:p w:rsidR="003B05E5" w:rsidRDefault="00166027">
      <w:pPr>
        <w:tabs>
          <w:tab w:val="num" w:pos="720"/>
        </w:tabs>
        <w:ind w:left="720"/>
      </w:pPr>
      <w:r w:rsidRPr="00424E92">
        <w:t xml:space="preserve">The </w:t>
      </w:r>
      <w:r>
        <w:t xml:space="preserve">President’s </w:t>
      </w:r>
      <w:r w:rsidRPr="00424E92">
        <w:t>Budget proposes to increase the HSR fees</w:t>
      </w:r>
      <w:r>
        <w:t>, to take effect in FY 2015,</w:t>
      </w:r>
      <w:r w:rsidRPr="00424E92">
        <w:t xml:space="preserve"> and index them for the percentage annual change in the gross national product. </w:t>
      </w:r>
      <w:r>
        <w:t xml:space="preserve"> </w:t>
      </w:r>
      <w:r w:rsidRPr="00424E92">
        <w:t>The proposal would also create a new merger fee category for mergers valued at over $1 billion.</w:t>
      </w:r>
      <w:r w:rsidR="003B05E5">
        <w:t xml:space="preserve">  </w:t>
      </w:r>
    </w:p>
    <w:p w:rsidR="003B05E5" w:rsidRDefault="003B05E5" w:rsidP="009E2919">
      <w:pPr>
        <w:pStyle w:val="TOC2"/>
        <w:sectPr w:rsidR="003B05E5" w:rsidSect="0021092A">
          <w:endnotePr>
            <w:numFmt w:val="decimal"/>
          </w:endnotePr>
          <w:type w:val="continuous"/>
          <w:pgSz w:w="12240" w:h="15840" w:code="1"/>
          <w:pgMar w:top="288" w:right="1440" w:bottom="288" w:left="1440" w:header="0" w:footer="432" w:gutter="0"/>
          <w:cols w:space="720"/>
          <w:noEndnote/>
        </w:sectPr>
      </w:pPr>
    </w:p>
    <w:p w:rsidR="003B05E5" w:rsidRDefault="00EA64C2">
      <w:pPr>
        <w:rPr>
          <w:b/>
        </w:rPr>
      </w:pPr>
      <w:r>
        <w:rPr>
          <w:noProof/>
        </w:rPr>
        <w:drawing>
          <wp:anchor distT="0" distB="0" distL="114300" distR="114300" simplePos="0" relativeHeight="251703808" behindDoc="0" locked="0" layoutInCell="1" allowOverlap="1">
            <wp:simplePos x="0" y="0"/>
            <wp:positionH relativeFrom="margin">
              <wp:posOffset>3810635</wp:posOffset>
            </wp:positionH>
            <wp:positionV relativeFrom="margin">
              <wp:align>top</wp:align>
            </wp:positionV>
            <wp:extent cx="1937385" cy="1417320"/>
            <wp:effectExtent l="19050" t="0" r="5715" b="0"/>
            <wp:wrapSquare wrapText="bothSides"/>
            <wp:docPr id="25" name="Picture 15" descr="\\Atr-lsb-nas05\ISG-SectDrive\ISG02-DATA1\MIS\WCLS\ThinkStockImages\energy\Green Shine of Compact Fluorescent Light Bulb._10861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r-lsb-nas05\ISG-SectDrive\ISG02-DATA1\MIS\WCLS\ThinkStockImages\energy\Green Shine of Compact Fluorescent Light Bulb._108612145.jpg"/>
                    <pic:cNvPicPr>
                      <a:picLocks noChangeAspect="1" noChangeArrowheads="1"/>
                    </pic:cNvPicPr>
                  </pic:nvPicPr>
                  <pic:blipFill>
                    <a:blip r:embed="rId28" cstate="print"/>
                    <a:srcRect/>
                    <a:stretch>
                      <a:fillRect/>
                    </a:stretch>
                  </pic:blipFill>
                  <pic:spPr bwMode="auto">
                    <a:xfrm>
                      <a:off x="0" y="0"/>
                      <a:ext cx="1937385" cy="1417320"/>
                    </a:xfrm>
                    <a:prstGeom prst="rect">
                      <a:avLst/>
                    </a:prstGeom>
                    <a:noFill/>
                    <a:ln w="9525">
                      <a:noFill/>
                      <a:miter lim="800000"/>
                      <a:headEnd/>
                      <a:tailEnd/>
                    </a:ln>
                  </pic:spPr>
                </pic:pic>
              </a:graphicData>
            </a:graphic>
          </wp:anchor>
        </w:drawing>
      </w:r>
      <w:r w:rsidR="003B05E5">
        <w:tab/>
      </w:r>
      <w:r w:rsidR="003B05E5">
        <w:rPr>
          <w:b/>
        </w:rPr>
        <w:t>Environmental Accountability</w:t>
      </w:r>
    </w:p>
    <w:p w:rsidR="003B05E5" w:rsidRDefault="003B05E5">
      <w:pPr>
        <w:tabs>
          <w:tab w:val="num" w:pos="720"/>
        </w:tabs>
        <w:ind w:left="720"/>
        <w:rPr>
          <w:b/>
          <w:bCs/>
        </w:rPr>
      </w:pPr>
    </w:p>
    <w:p w:rsidR="003B05E5" w:rsidRDefault="003B05E5">
      <w:pPr>
        <w:ind w:left="720" w:right="24"/>
      </w:pPr>
      <w:r>
        <w:t>The Antitrust Division is mindful of responsible environmental management and has implemented processes to encourage awareness throughout the Division, including:</w:t>
      </w:r>
    </w:p>
    <w:p w:rsidR="003B05E5" w:rsidRDefault="003B05E5">
      <w:pPr>
        <w:ind w:left="720" w:right="24"/>
      </w:pPr>
    </w:p>
    <w:p w:rsidR="001D3264" w:rsidRDefault="001D3264">
      <w:pPr>
        <w:ind w:left="720" w:right="24"/>
      </w:pPr>
    </w:p>
    <w:p w:rsidR="00ED2546" w:rsidRPr="006D3F23" w:rsidRDefault="00ED2546">
      <w:pPr>
        <w:ind w:left="720" w:right="24"/>
        <w:rPr>
          <w:sz w:val="18"/>
          <w:szCs w:val="18"/>
        </w:rPr>
      </w:pPr>
    </w:p>
    <w:p w:rsidR="003B05E5" w:rsidRDefault="003B05E5">
      <w:pPr>
        <w:numPr>
          <w:ilvl w:val="0"/>
          <w:numId w:val="20"/>
        </w:numPr>
        <w:tabs>
          <w:tab w:val="clear" w:pos="2592"/>
          <w:tab w:val="num" w:pos="1980"/>
        </w:tabs>
        <w:ind w:left="2070" w:right="24" w:hanging="630"/>
      </w:pPr>
      <w:r>
        <w:t xml:space="preserve"> Adherence to environmental standards during the procurement process to ensure products meet the recommended guidelines of the Department of Energy's energy efficiency standards, the Environmental Protection Agency's designated recovered material and bio-based products specifications, and the Department of Justice's Green Purchase Plan requirements.</w:t>
      </w:r>
    </w:p>
    <w:p w:rsidR="003B05E5" w:rsidRPr="00ED2546" w:rsidRDefault="003B05E5">
      <w:pPr>
        <w:ind w:left="1440" w:right="24"/>
        <w:rPr>
          <w:sz w:val="20"/>
          <w:szCs w:val="20"/>
        </w:rPr>
      </w:pPr>
    </w:p>
    <w:p w:rsidR="003B05E5" w:rsidRDefault="003B05E5">
      <w:pPr>
        <w:numPr>
          <w:ilvl w:val="0"/>
          <w:numId w:val="20"/>
        </w:numPr>
        <w:tabs>
          <w:tab w:val="clear" w:pos="2592"/>
          <w:tab w:val="num" w:pos="2070"/>
        </w:tabs>
        <w:ind w:left="2070" w:right="24" w:hanging="630"/>
      </w:pPr>
      <w:r>
        <w:t xml:space="preserve">The Antitrust Division's </w:t>
      </w:r>
      <w:r w:rsidR="00712D39">
        <w:t>central</w:t>
      </w:r>
      <w:r>
        <w:t xml:space="preserve"> Washington D.C. Liberty Square building </w:t>
      </w:r>
      <w:r w:rsidR="00641F45">
        <w:t>meets many</w:t>
      </w:r>
      <w:r w:rsidR="00712D39">
        <w:t xml:space="preserve"> LEED</w:t>
      </w:r>
      <w:r w:rsidR="00641F45">
        <w:t xml:space="preserve"> (Leadership in Energy and Environmental Design)</w:t>
      </w:r>
      <w:r w:rsidR="00712D39">
        <w:t xml:space="preserve"> c</w:t>
      </w:r>
      <w:r w:rsidR="00641F45">
        <w:t>riteria</w:t>
      </w:r>
      <w:r w:rsidR="00712D39">
        <w:t xml:space="preserve"> and </w:t>
      </w:r>
      <w:r>
        <w:t>includes many environmentally sound features including:  zoned climate control for efficiencies in heating and air conditioning, motion sensored overhead lighting to minimize wasted energy in unoccupied space, and a recycling program throughout the building for paper, plastic, glass, and newspaper.</w:t>
      </w:r>
    </w:p>
    <w:p w:rsidR="003B05E5" w:rsidRPr="006D3F23" w:rsidRDefault="003B05E5">
      <w:pPr>
        <w:ind w:left="720" w:right="24"/>
        <w:rPr>
          <w:sz w:val="20"/>
          <w:szCs w:val="20"/>
        </w:rPr>
      </w:pPr>
    </w:p>
    <w:p w:rsidR="003B05E5" w:rsidRDefault="003B05E5">
      <w:pPr>
        <w:numPr>
          <w:ilvl w:val="0"/>
          <w:numId w:val="20"/>
        </w:numPr>
        <w:tabs>
          <w:tab w:val="clear" w:pos="2592"/>
          <w:tab w:val="num" w:pos="2070"/>
        </w:tabs>
        <w:ind w:left="2070" w:right="24" w:hanging="630"/>
      </w:pPr>
      <w:r>
        <w:t xml:space="preserve">The Division encourages employees to print documents </w:t>
      </w:r>
      <w:r w:rsidR="00560986">
        <w:t xml:space="preserve">only </w:t>
      </w:r>
      <w:r>
        <w:t>when absolutely necessary and, whenever possible, print double-sided in an effort to save paper.</w:t>
      </w:r>
    </w:p>
    <w:p w:rsidR="003B05E5" w:rsidRPr="00ED2546" w:rsidRDefault="003B05E5">
      <w:pPr>
        <w:ind w:left="720" w:right="24"/>
        <w:rPr>
          <w:sz w:val="20"/>
          <w:szCs w:val="20"/>
        </w:rPr>
      </w:pPr>
    </w:p>
    <w:p w:rsidR="003B05E5" w:rsidRDefault="003B05E5">
      <w:pPr>
        <w:ind w:left="720" w:right="24"/>
      </w:pPr>
      <w:r>
        <w:t>The Division will continue to implement additional programs as further guidance is received from the Department</w:t>
      </w:r>
      <w:r w:rsidR="00F32F1B">
        <w:t>, Administration and Congress.</w:t>
      </w:r>
    </w:p>
    <w:p w:rsidR="003B05E5" w:rsidRPr="00ED2546" w:rsidRDefault="003B05E5">
      <w:pPr>
        <w:tabs>
          <w:tab w:val="num" w:pos="720"/>
        </w:tabs>
        <w:ind w:left="720"/>
        <w:rPr>
          <w:b/>
          <w:bCs/>
          <w:sz w:val="20"/>
          <w:szCs w:val="20"/>
        </w:rPr>
      </w:pPr>
    </w:p>
    <w:p w:rsidR="003B05E5" w:rsidRDefault="003B05E5">
      <w:pPr>
        <w:tabs>
          <w:tab w:val="num" w:pos="720"/>
        </w:tabs>
        <w:ind w:left="720"/>
      </w:pPr>
      <w:r>
        <w:rPr>
          <w:b/>
          <w:bCs/>
        </w:rPr>
        <w:t>Summary</w:t>
      </w:r>
    </w:p>
    <w:p w:rsidR="003B05E5" w:rsidRPr="006D3F23" w:rsidRDefault="003B05E5">
      <w:pPr>
        <w:tabs>
          <w:tab w:val="num" w:pos="720"/>
        </w:tabs>
        <w:ind w:left="720"/>
        <w:rPr>
          <w:sz w:val="20"/>
          <w:szCs w:val="20"/>
        </w:rPr>
      </w:pPr>
      <w:r>
        <w:t xml:space="preserve"> </w:t>
      </w:r>
    </w:p>
    <w:p w:rsidR="003B05E5" w:rsidRDefault="003B05E5">
      <w:pPr>
        <w:tabs>
          <w:tab w:val="num" w:pos="720"/>
        </w:tabs>
        <w:ind w:left="720"/>
      </w:pPr>
      <w:r>
        <w:t xml:space="preserve">The Division is continually challenged by an increasingly international and complex workload that spans enforcement areas and requires considerable resources to manage.  With our children destined to inherit the resulting markets, the importance of preserving economic competition in the global marketplace cannot be overstated.  The threat to consumers is very real, as </w:t>
      </w:r>
      <w:r>
        <w:rPr>
          <w:b/>
          <w:bCs/>
        </w:rPr>
        <w:t>anticompetitive behavior leads directly to higher prices and reduced efficiency and innovation</w:t>
      </w:r>
      <w:r>
        <w:t>.  In recognition of the importance of its mission, the Antitrust Division requests an FY 201</w:t>
      </w:r>
      <w:r w:rsidR="00967A48">
        <w:t>4</w:t>
      </w:r>
      <w:r>
        <w:t xml:space="preserve"> budget </w:t>
      </w:r>
      <w:r w:rsidRPr="00C932F7">
        <w:t xml:space="preserve">increase of </w:t>
      </w:r>
      <w:r w:rsidR="00A52609" w:rsidRPr="00914CB7">
        <w:t>$</w:t>
      </w:r>
      <w:r w:rsidR="00914CB7" w:rsidRPr="00914CB7">
        <w:t>823</w:t>
      </w:r>
      <w:r w:rsidR="00A52609" w:rsidRPr="00914CB7">
        <w:t>,000</w:t>
      </w:r>
      <w:r w:rsidRPr="00C932F7">
        <w:t xml:space="preserve"> </w:t>
      </w:r>
      <w:r w:rsidR="00B42018">
        <w:t xml:space="preserve">to address annual cost adjustments </w:t>
      </w:r>
      <w:r>
        <w:t xml:space="preserve">and a total appropriation </w:t>
      </w:r>
      <w:r w:rsidRPr="00EF0B7B">
        <w:t>o</w:t>
      </w:r>
      <w:r w:rsidRPr="006A1033">
        <w:t xml:space="preserve">f </w:t>
      </w:r>
      <w:r w:rsidR="00F83671" w:rsidRPr="006A1033">
        <w:t>$</w:t>
      </w:r>
      <w:r w:rsidR="00A52609" w:rsidRPr="00A52609">
        <w:t>160,410</w:t>
      </w:r>
      <w:r w:rsidR="006A1033">
        <w:t>,</w:t>
      </w:r>
      <w:r w:rsidR="00A52609" w:rsidRPr="00A52609">
        <w:t>000</w:t>
      </w:r>
      <w:r w:rsidR="00640A1C">
        <w:t xml:space="preserve"> in support of 8</w:t>
      </w:r>
      <w:r w:rsidR="003E5743">
        <w:t>3</w:t>
      </w:r>
      <w:r w:rsidR="00640A1C">
        <w:t>0 positions</w:t>
      </w:r>
      <w:r>
        <w:t xml:space="preserve">.  </w:t>
      </w:r>
    </w:p>
    <w:p w:rsidR="003B05E5" w:rsidRPr="00ED2546" w:rsidRDefault="003B05E5">
      <w:pPr>
        <w:tabs>
          <w:tab w:val="num" w:pos="720"/>
        </w:tabs>
        <w:rPr>
          <w:sz w:val="20"/>
          <w:szCs w:val="20"/>
        </w:rPr>
      </w:pPr>
    </w:p>
    <w:p w:rsidR="003B05E5" w:rsidRDefault="003B05E5">
      <w:pPr>
        <w:tabs>
          <w:tab w:val="num" w:pos="720"/>
        </w:tabs>
        <w:ind w:left="720"/>
        <w:sectPr w:rsidR="003B05E5" w:rsidSect="0054642A">
          <w:endnotePr>
            <w:numFmt w:val="decimal"/>
          </w:endnotePr>
          <w:pgSz w:w="12240" w:h="15840" w:code="1"/>
          <w:pgMar w:top="720" w:right="1440" w:bottom="288" w:left="1440" w:header="0" w:footer="432" w:gutter="0"/>
          <w:cols w:space="720"/>
          <w:noEndnote/>
        </w:sectPr>
      </w:pPr>
      <w:r>
        <w:t>The FY 201</w:t>
      </w:r>
      <w:r w:rsidR="00967A48">
        <w:t>4</w:t>
      </w:r>
      <w:r>
        <w:t xml:space="preserve"> Antitrust Division budget request of </w:t>
      </w:r>
      <w:r w:rsidR="00F83671" w:rsidRPr="006A1033">
        <w:t>$</w:t>
      </w:r>
      <w:r w:rsidR="00327B97">
        <w:t>160,</w:t>
      </w:r>
      <w:r w:rsidR="00A52609" w:rsidRPr="00A52609">
        <w:t>410</w:t>
      </w:r>
      <w:r w:rsidR="00327B97">
        <w:t>,000</w:t>
      </w:r>
      <w:r>
        <w:t xml:space="preserve"> supports </w:t>
      </w:r>
      <w:r w:rsidR="00E3256B" w:rsidRPr="0045547C">
        <w:t xml:space="preserve">Departmental </w:t>
      </w:r>
      <w:r w:rsidR="00F83671" w:rsidRPr="00EF0B7B">
        <w:t xml:space="preserve">Strategic Goal II:  Prevent Crime, </w:t>
      </w:r>
      <w:r w:rsidR="00EF0B7B" w:rsidRPr="00EF0B7B">
        <w:t>Protect the Rights of the American People and Enforce Federal Law</w:t>
      </w:r>
      <w:r w:rsidR="00F83671" w:rsidRPr="00EF0B7B">
        <w:t>.  The Division’s criminal and civil programs are both included in Strategic Objective 2.</w:t>
      </w:r>
      <w:r w:rsidR="00EF0B7B" w:rsidRPr="00EF0B7B">
        <w:t>6</w:t>
      </w:r>
      <w:r w:rsidR="00F83671" w:rsidRPr="00EF0B7B">
        <w:t xml:space="preserve">:  </w:t>
      </w:r>
      <w:bookmarkStart w:id="169" w:name="OLE_LINK11"/>
      <w:bookmarkStart w:id="170" w:name="OLE_LINK8"/>
      <w:r w:rsidR="00EF0B7B" w:rsidRPr="00EF0B7B">
        <w:t xml:space="preserve">Protect the federal </w:t>
      </w:r>
      <w:proofErr w:type="spellStart"/>
      <w:r w:rsidR="00EF0B7B" w:rsidRPr="00EF0B7B">
        <w:t>fisc</w:t>
      </w:r>
      <w:proofErr w:type="spellEnd"/>
      <w:r w:rsidR="00EF0B7B" w:rsidRPr="00EF0B7B">
        <w:t xml:space="preserve"> and defend the interests of the United States</w:t>
      </w:r>
      <w:bookmarkEnd w:id="169"/>
      <w:r w:rsidR="00F83671" w:rsidRPr="00EF0B7B">
        <w:t>.</w:t>
      </w:r>
    </w:p>
    <w:bookmarkEnd w:id="170"/>
    <w:p w:rsidR="003B05E5" w:rsidRDefault="00EA64C2">
      <w:pPr>
        <w:tabs>
          <w:tab w:val="num" w:pos="720"/>
        </w:tabs>
        <w:ind w:left="720"/>
      </w:pPr>
      <w:r>
        <w:rPr>
          <w:noProof/>
        </w:rPr>
        <w:drawing>
          <wp:anchor distT="0" distB="0" distL="114300" distR="114300" simplePos="0" relativeHeight="251704832" behindDoc="0" locked="0" layoutInCell="1" allowOverlap="1">
            <wp:simplePos x="0" y="0"/>
            <wp:positionH relativeFrom="column">
              <wp:posOffset>247650</wp:posOffset>
            </wp:positionH>
            <wp:positionV relativeFrom="paragraph">
              <wp:posOffset>-108585</wp:posOffset>
            </wp:positionV>
            <wp:extent cx="5629275" cy="4371975"/>
            <wp:effectExtent l="38100" t="19050" r="28575" b="9525"/>
            <wp:wrapNone/>
            <wp:docPr id="26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2E0153" w:rsidRDefault="002E0153" w:rsidP="002E0153">
      <w:pPr>
        <w:tabs>
          <w:tab w:val="num" w:pos="720"/>
        </w:tabs>
        <w:ind w:left="450"/>
      </w:pPr>
    </w:p>
    <w:p w:rsidR="005F3080" w:rsidRDefault="003B05E5">
      <w:r>
        <w:tab/>
      </w:r>
      <w:r>
        <w:tab/>
      </w:r>
      <w:r>
        <w:tab/>
      </w:r>
      <w:r>
        <w:tab/>
      </w:r>
      <w:r>
        <w:tab/>
        <w:t xml:space="preserve">       </w:t>
      </w:r>
    </w:p>
    <w:p w:rsidR="005F3080" w:rsidRDefault="005F3080"/>
    <w:p w:rsidR="005F3080" w:rsidRDefault="005F3080"/>
    <w:p w:rsidR="005F3080" w:rsidRDefault="005F3080"/>
    <w:p w:rsidR="005F3080" w:rsidRDefault="005F3080"/>
    <w:p w:rsidR="005F3080" w:rsidRDefault="005F3080"/>
    <w:p w:rsidR="005F3080" w:rsidRDefault="005F3080"/>
    <w:p w:rsidR="005F3080" w:rsidRDefault="005F3080"/>
    <w:p w:rsidR="005F3080" w:rsidRDefault="005F3080"/>
    <w:p w:rsidR="003B05E5" w:rsidRDefault="003B05E5"/>
    <w:p w:rsidR="006F1899" w:rsidRDefault="006F1899" w:rsidP="0054505E">
      <w:pPr>
        <w:pStyle w:val="TOC3"/>
      </w:pPr>
    </w:p>
    <w:p w:rsidR="006F1899" w:rsidRDefault="006F1899" w:rsidP="0054505E">
      <w:pPr>
        <w:pStyle w:val="TOC3"/>
      </w:pPr>
    </w:p>
    <w:p w:rsidR="006F1899" w:rsidRDefault="006F1899" w:rsidP="0054505E">
      <w:pPr>
        <w:pStyle w:val="TOC3"/>
      </w:pPr>
    </w:p>
    <w:p w:rsidR="003E5743" w:rsidRDefault="003E5743">
      <w:pPr>
        <w:pStyle w:val="TOC3"/>
      </w:pPr>
    </w:p>
    <w:p w:rsidR="003E5743" w:rsidRDefault="003E5743">
      <w:pPr>
        <w:pStyle w:val="TOC3"/>
      </w:pPr>
    </w:p>
    <w:p w:rsidR="003E5743" w:rsidRDefault="003E5743">
      <w:pPr>
        <w:pStyle w:val="TOC3"/>
      </w:pPr>
    </w:p>
    <w:p w:rsidR="003E5743" w:rsidRDefault="003E5743">
      <w:pPr>
        <w:pStyle w:val="TOC3"/>
      </w:pPr>
    </w:p>
    <w:p w:rsidR="003E5743" w:rsidRDefault="003E5743">
      <w:pPr>
        <w:pStyle w:val="TOC3"/>
      </w:pPr>
    </w:p>
    <w:p w:rsidR="003E5743" w:rsidRDefault="003E5743">
      <w:pPr>
        <w:pStyle w:val="TOC3"/>
      </w:pPr>
    </w:p>
    <w:p w:rsidR="003E5743" w:rsidRDefault="003E5743">
      <w:pPr>
        <w:pStyle w:val="TOC3"/>
      </w:pPr>
    </w:p>
    <w:p w:rsidR="003E5743" w:rsidRDefault="003E5743">
      <w:pPr>
        <w:pStyle w:val="TOC3"/>
      </w:pPr>
    </w:p>
    <w:p w:rsidR="003E5743" w:rsidRDefault="003E5743">
      <w:pPr>
        <w:pStyle w:val="TOC3"/>
      </w:pPr>
    </w:p>
    <w:p w:rsidR="003E5743" w:rsidRDefault="003E5743">
      <w:pPr>
        <w:pStyle w:val="TOC3"/>
      </w:pPr>
    </w:p>
    <w:p w:rsidR="003E5743" w:rsidRPr="00595BC2" w:rsidRDefault="0054505E" w:rsidP="006A3687">
      <w:pPr>
        <w:rPr>
          <w:b/>
        </w:rPr>
      </w:pPr>
      <w:r>
        <w:t xml:space="preserve">                                                                     </w:t>
      </w:r>
      <w:r w:rsidRPr="00595BC2">
        <w:rPr>
          <w:b/>
        </w:rPr>
        <w:t>Figure 3</w:t>
      </w:r>
    </w:p>
    <w:p w:rsidR="003E5743" w:rsidRDefault="003E5743">
      <w:pPr>
        <w:pStyle w:val="TOC3"/>
      </w:pPr>
    </w:p>
    <w:p w:rsidR="003E5743" w:rsidRDefault="003B05E5">
      <w:pPr>
        <w:pStyle w:val="TOC3"/>
      </w:pPr>
      <w:bookmarkStart w:id="171" w:name="_Toc349640463"/>
      <w:r>
        <w:t>C.  Full Program Costs</w:t>
      </w:r>
      <w:bookmarkEnd w:id="171"/>
    </w:p>
    <w:p w:rsidR="003B05E5" w:rsidRPr="00C15E64" w:rsidRDefault="003B05E5">
      <w:pPr>
        <w:ind w:left="2880"/>
        <w:rPr>
          <w:sz w:val="16"/>
          <w:szCs w:val="16"/>
        </w:rPr>
      </w:pPr>
    </w:p>
    <w:p w:rsidR="003B05E5" w:rsidRDefault="003B05E5">
      <w:pPr>
        <w:ind w:left="720"/>
      </w:pPr>
      <w:r>
        <w:t xml:space="preserve">The Antitrust Division contains one Decision Unit (Antitrust).  Within this Decision Unit the Division supports the </w:t>
      </w:r>
      <w:r w:rsidRPr="00FE41B4">
        <w:t xml:space="preserve">Department’s </w:t>
      </w:r>
      <w:r w:rsidR="00F83671" w:rsidRPr="00FE41B4">
        <w:t xml:space="preserve">Strategic Goal II:  </w:t>
      </w:r>
      <w:r w:rsidR="00FE41B4" w:rsidRPr="00FE41B4">
        <w:t>Prevent Crime, Protect the Rights of the American People and Enforce Federal Law.</w:t>
      </w:r>
      <w:r w:rsidR="00F83671" w:rsidRPr="00FE41B4">
        <w:t xml:space="preserve"> </w:t>
      </w:r>
      <w:r w:rsidR="00FE41B4">
        <w:t xml:space="preserve"> </w:t>
      </w:r>
      <w:r w:rsidR="00F83671" w:rsidRPr="00FE41B4">
        <w:t>This Strategic Goal</w:t>
      </w:r>
      <w:r w:rsidRPr="00FE41B4">
        <w:t xml:space="preserve"> defines the two broad program areas:</w:t>
      </w:r>
    </w:p>
    <w:p w:rsidR="003B05E5" w:rsidRDefault="003B05E5"/>
    <w:p w:rsidR="003B05E5" w:rsidRDefault="003B05E5">
      <w:pPr>
        <w:numPr>
          <w:ilvl w:val="2"/>
          <w:numId w:val="2"/>
        </w:numPr>
        <w:tabs>
          <w:tab w:val="clear" w:pos="4140"/>
          <w:tab w:val="num" w:pos="1260"/>
        </w:tabs>
        <w:ind w:hanging="3420"/>
      </w:pPr>
      <w:r>
        <w:t>Criminal Enforcement</w:t>
      </w:r>
    </w:p>
    <w:p w:rsidR="003B05E5" w:rsidRDefault="003B05E5">
      <w:pPr>
        <w:numPr>
          <w:ilvl w:val="2"/>
          <w:numId w:val="2"/>
        </w:numPr>
        <w:tabs>
          <w:tab w:val="clear" w:pos="4140"/>
          <w:tab w:val="num" w:pos="1260"/>
        </w:tabs>
        <w:ind w:hanging="3420"/>
      </w:pPr>
      <w:r>
        <w:t>Civil Enforcement</w:t>
      </w:r>
    </w:p>
    <w:p w:rsidR="003B05E5" w:rsidRDefault="003B05E5"/>
    <w:p w:rsidR="003B05E5" w:rsidRDefault="003B05E5">
      <w:pPr>
        <w:ind w:left="720"/>
      </w:pPr>
      <w:bookmarkStart w:id="172" w:name="OLE_LINK22"/>
      <w:r>
        <w:t xml:space="preserve">In recent years, </w:t>
      </w:r>
      <w:r w:rsidR="00A71204">
        <w:t xml:space="preserve">approximately </w:t>
      </w:r>
      <w:r w:rsidR="00A52609" w:rsidRPr="00B6708F">
        <w:t>40 percent of the Division’s budget and expenditures can be attributed to its criminal program and approximately 60 percent</w:t>
      </w:r>
      <w:r w:rsidRPr="00B6708F">
        <w:t xml:space="preserve"> o</w:t>
      </w:r>
      <w:r>
        <w:t>f the Division’s budget and expenditures can be attributed to its civil program.  The FY 201</w:t>
      </w:r>
      <w:r w:rsidR="00F101CD">
        <w:t>4</w:t>
      </w:r>
      <w:r>
        <w:t xml:space="preserve"> budget request assumes this same allocation.</w:t>
      </w:r>
    </w:p>
    <w:bookmarkEnd w:id="172"/>
    <w:p w:rsidR="003B05E5" w:rsidRPr="00C15E64" w:rsidRDefault="003B05E5">
      <w:pPr>
        <w:rPr>
          <w:sz w:val="16"/>
          <w:szCs w:val="16"/>
        </w:rPr>
      </w:pPr>
    </w:p>
    <w:p w:rsidR="003B05E5" w:rsidRDefault="003B05E5">
      <w:pPr>
        <w:ind w:left="720"/>
        <w:sectPr w:rsidR="003B05E5" w:rsidSect="0054642A">
          <w:footerReference w:type="default" r:id="rId30"/>
          <w:endnotePr>
            <w:numFmt w:val="decimal"/>
          </w:endnotePr>
          <w:pgSz w:w="12240" w:h="15840" w:code="1"/>
          <w:pgMar w:top="720" w:right="1440" w:bottom="864" w:left="1440" w:header="1440" w:footer="720" w:gutter="0"/>
          <w:cols w:space="720"/>
          <w:noEndnote/>
        </w:sectPr>
      </w:pPr>
      <w:r>
        <w:t>This budget request incorporates all costs to include mission costs related to cases and matters, mission costs related to oversight and policy, and overhead</w:t>
      </w:r>
      <w:r w:rsidR="00455903">
        <w:t>.</w:t>
      </w:r>
    </w:p>
    <w:p w:rsidR="003B05E5" w:rsidRDefault="003B05E5" w:rsidP="0054505E">
      <w:pPr>
        <w:pStyle w:val="TOC3"/>
      </w:pPr>
      <w:bookmarkStart w:id="173" w:name="_Toc349640464"/>
      <w:r>
        <w:t>D.  Performance Challenges</w:t>
      </w:r>
      <w:bookmarkEnd w:id="173"/>
    </w:p>
    <w:p w:rsidR="003B05E5" w:rsidRDefault="003B05E5">
      <w:pPr>
        <w:rPr>
          <w:sz w:val="20"/>
          <w:szCs w:val="20"/>
        </w:rPr>
      </w:pPr>
    </w:p>
    <w:p w:rsidR="003B05E5" w:rsidRDefault="003B05E5">
      <w:pPr>
        <w:rPr>
          <w:u w:val="single"/>
        </w:rPr>
      </w:pPr>
      <w:r>
        <w:tab/>
      </w:r>
      <w:r>
        <w:rPr>
          <w:u w:val="single"/>
        </w:rPr>
        <w:t>External Challenges</w:t>
      </w:r>
    </w:p>
    <w:p w:rsidR="003B05E5" w:rsidRDefault="003B05E5">
      <w:pPr>
        <w:rPr>
          <w:sz w:val="20"/>
          <w:szCs w:val="20"/>
          <w:u w:val="single"/>
        </w:rPr>
      </w:pPr>
    </w:p>
    <w:p w:rsidR="003B05E5" w:rsidRDefault="003B05E5">
      <w:pPr>
        <w:ind w:left="720"/>
      </w:pPr>
      <w:r>
        <w:t>As detailed in the Issues, Outcomes, and Strategies section, the Antitrust Division faces many external challenges that require flexibility and adaptability in order to pursue its mission.  These external challenges include:</w:t>
      </w:r>
    </w:p>
    <w:p w:rsidR="003B05E5" w:rsidRDefault="003B05E5">
      <w:pPr>
        <w:ind w:left="720"/>
        <w:rPr>
          <w:sz w:val="20"/>
          <w:szCs w:val="20"/>
        </w:rPr>
      </w:pPr>
    </w:p>
    <w:p w:rsidR="003B05E5" w:rsidRDefault="003B05E5">
      <w:pPr>
        <w:numPr>
          <w:ilvl w:val="0"/>
          <w:numId w:val="4"/>
        </w:numPr>
      </w:pPr>
      <w:r>
        <w:t>Globalization of the business marketplace</w:t>
      </w:r>
    </w:p>
    <w:p w:rsidR="003B05E5" w:rsidRDefault="003B05E5">
      <w:pPr>
        <w:numPr>
          <w:ilvl w:val="0"/>
          <w:numId w:val="4"/>
        </w:numPr>
      </w:pPr>
      <w:r>
        <w:t>Increasing economic concentration across industries and geographic regions</w:t>
      </w:r>
    </w:p>
    <w:p w:rsidR="003B05E5" w:rsidRDefault="003B05E5">
      <w:pPr>
        <w:numPr>
          <w:ilvl w:val="0"/>
          <w:numId w:val="4"/>
        </w:numPr>
      </w:pPr>
      <w:r>
        <w:t>Rapid technological change</w:t>
      </w:r>
    </w:p>
    <w:p w:rsidR="003B05E5" w:rsidRDefault="003B05E5">
      <w:pPr>
        <w:rPr>
          <w:sz w:val="20"/>
          <w:szCs w:val="20"/>
        </w:rPr>
      </w:pPr>
    </w:p>
    <w:p w:rsidR="003B05E5" w:rsidRDefault="003B05E5">
      <w:pPr>
        <w:rPr>
          <w:sz w:val="20"/>
          <w:szCs w:val="20"/>
        </w:rPr>
      </w:pPr>
    </w:p>
    <w:p w:rsidR="003B05E5" w:rsidRPr="009C2147" w:rsidRDefault="00321097">
      <w:pPr>
        <w:ind w:left="720"/>
        <w:rPr>
          <w:u w:val="single"/>
        </w:rPr>
      </w:pPr>
      <w:r w:rsidRPr="009C2147">
        <w:rPr>
          <w:u w:val="single"/>
        </w:rPr>
        <w:t>Internal Challenges</w:t>
      </w:r>
    </w:p>
    <w:p w:rsidR="003B05E5" w:rsidRPr="009C2147" w:rsidRDefault="003B05E5">
      <w:pPr>
        <w:ind w:left="720"/>
        <w:rPr>
          <w:sz w:val="20"/>
          <w:szCs w:val="20"/>
          <w:u w:val="single"/>
        </w:rPr>
      </w:pPr>
    </w:p>
    <w:p w:rsidR="003B05E5" w:rsidRDefault="00DC0F50">
      <w:pPr>
        <w:widowControl/>
        <w:ind w:left="720"/>
        <w:rPr>
          <w:szCs w:val="20"/>
        </w:rPr>
      </w:pPr>
      <w:r>
        <w:rPr>
          <w:szCs w:val="20"/>
        </w:rPr>
        <w:t>Much like its external challenges, highly unpredictable markets and economic fluctuations influence the Division’s internal challenges.  To accommodate these ever-changing factors, the Division must continuously and diligently ensure proper alloca</w:t>
      </w:r>
      <w:r w:rsidR="00965DE0">
        <w:rPr>
          <w:szCs w:val="20"/>
        </w:rPr>
        <w:t xml:space="preserve">tion and prudent use of its </w:t>
      </w:r>
      <w:r>
        <w:rPr>
          <w:szCs w:val="20"/>
        </w:rPr>
        <w:t>resources.</w:t>
      </w:r>
    </w:p>
    <w:p w:rsidR="003F4174" w:rsidRDefault="003F4174">
      <w:pPr>
        <w:widowControl/>
        <w:ind w:left="720"/>
        <w:rPr>
          <w:u w:val="single"/>
        </w:rPr>
      </w:pPr>
    </w:p>
    <w:p w:rsidR="00075ADF" w:rsidRDefault="00075ADF">
      <w:pPr>
        <w:widowControl/>
        <w:ind w:left="720"/>
        <w:rPr>
          <w:u w:val="single"/>
        </w:rPr>
      </w:pPr>
    </w:p>
    <w:p w:rsidR="00075ADF" w:rsidRDefault="00075ADF" w:rsidP="00075ADF">
      <w:pPr>
        <w:ind w:firstLine="720"/>
        <w:rPr>
          <w:u w:val="single"/>
        </w:rPr>
      </w:pPr>
      <w:r>
        <w:rPr>
          <w:u w:val="single"/>
        </w:rPr>
        <w:t>Information Technology (IT) Expenditures</w:t>
      </w:r>
    </w:p>
    <w:p w:rsidR="00075ADF" w:rsidRDefault="00075ADF" w:rsidP="00075ADF"/>
    <w:p w:rsidR="00075ADF" w:rsidRDefault="00965DE0" w:rsidP="00075ADF">
      <w:pPr>
        <w:ind w:left="720"/>
      </w:pPr>
      <w:r>
        <w:t xml:space="preserve">The Antitrust Division’s </w:t>
      </w:r>
      <w:r w:rsidR="00075ADF">
        <w:t xml:space="preserve">IT budget will continue to support several broad Information Technology areas essential to carrying out its mission.  These Information Technology areas include:  </w:t>
      </w:r>
    </w:p>
    <w:p w:rsidR="00075ADF" w:rsidRDefault="00075ADF" w:rsidP="00075ADF">
      <w:pPr>
        <w:rPr>
          <w:i/>
          <w:iCs/>
        </w:rPr>
      </w:pPr>
    </w:p>
    <w:p w:rsidR="00A42795" w:rsidRDefault="00A42795" w:rsidP="00075ADF">
      <w:pPr>
        <w:rPr>
          <w:i/>
          <w:iCs/>
        </w:rPr>
      </w:pPr>
    </w:p>
    <w:p w:rsidR="00A42795" w:rsidRPr="00F61F9F" w:rsidRDefault="007249F2" w:rsidP="008C5C4C">
      <w:pPr>
        <w:numPr>
          <w:ilvl w:val="0"/>
          <w:numId w:val="61"/>
        </w:numPr>
        <w:tabs>
          <w:tab w:val="clear" w:pos="1872"/>
          <w:tab w:val="num" w:pos="2160"/>
        </w:tabs>
        <w:ind w:left="2160" w:hanging="720"/>
        <w:rPr>
          <w:b/>
        </w:rPr>
        <w:sectPr w:rsidR="00A42795" w:rsidRPr="00F61F9F" w:rsidSect="00A42795">
          <w:footerReference w:type="default" r:id="rId31"/>
          <w:endnotePr>
            <w:numFmt w:val="decimal"/>
          </w:endnotePr>
          <w:pgSz w:w="12240" w:h="15840" w:code="1"/>
          <w:pgMar w:top="1440" w:right="1440" w:bottom="720" w:left="1440" w:header="0" w:footer="144" w:gutter="0"/>
          <w:cols w:space="720"/>
          <w:noEndnote/>
        </w:sectPr>
      </w:pPr>
      <w:r w:rsidRPr="00F61F9F">
        <w:rPr>
          <w:i/>
          <w:iCs/>
        </w:rPr>
        <w:t>Data Storage –</w:t>
      </w:r>
      <w:r w:rsidRPr="00F61F9F">
        <w:t>Electronic storage and processing capability, vital to the mission of the Antitrust Division, continues to expand, growing exponentially since FY 2003, when 12 terabytes (12 trillion bytes) of capacity readily satisfied Division demands.  By FY 2010 requirements surpassed 100 terabytes and the Division expects electronic analytical capacity needs to</w:t>
      </w:r>
      <w:r w:rsidRPr="00F61F9F">
        <w:rPr>
          <w:b/>
        </w:rPr>
        <w:t xml:space="preserve"> reach 1,284.3 terabytes or 1.2 petabytes by FY 2014 (1 petabyte is the equivalent of 20 million 4-drawer file cabinets filled with text).</w:t>
      </w:r>
    </w:p>
    <w:p w:rsidR="00060BF2" w:rsidRDefault="00060BF2" w:rsidP="00060BF2">
      <w:pPr>
        <w:widowControl/>
        <w:numPr>
          <w:ilvl w:val="0"/>
          <w:numId w:val="7"/>
        </w:numPr>
        <w:tabs>
          <w:tab w:val="clear" w:pos="2880"/>
          <w:tab w:val="left" w:pos="630"/>
          <w:tab w:val="num" w:pos="2160"/>
          <w:tab w:val="left" w:pos="2250"/>
          <w:tab w:val="left" w:pos="2970"/>
          <w:tab w:val="left" w:pos="5040"/>
          <w:tab w:val="left" w:pos="5760"/>
          <w:tab w:val="left" w:pos="6480"/>
          <w:tab w:val="left" w:pos="7200"/>
          <w:tab w:val="left" w:pos="7920"/>
        </w:tabs>
        <w:autoSpaceDE/>
        <w:autoSpaceDN/>
        <w:adjustRightInd/>
        <w:ind w:leftChars="600" w:left="2160" w:hangingChars="300" w:hanging="720"/>
      </w:pPr>
      <w:r>
        <w:rPr>
          <w:i/>
          <w:iCs/>
        </w:rPr>
        <w:t xml:space="preserve">Data Security - - </w:t>
      </w:r>
      <w:r>
        <w:t xml:space="preserve">Monitoring and effecting actions to ensure that system design, implementation, and operation address and minimize vulnerabilities to various threats to computer security, including carrying out security planning, risk analysis, contingency planning, security testing, intrusion detection, and security training.  </w:t>
      </w:r>
    </w:p>
    <w:p w:rsidR="00060BF2" w:rsidRDefault="00060BF2" w:rsidP="00060BF2">
      <w:pPr>
        <w:widowControl/>
        <w:tabs>
          <w:tab w:val="left" w:pos="630"/>
          <w:tab w:val="left" w:pos="2250"/>
          <w:tab w:val="left" w:pos="2970"/>
          <w:tab w:val="left" w:pos="5040"/>
          <w:tab w:val="left" w:pos="5760"/>
          <w:tab w:val="left" w:pos="6480"/>
          <w:tab w:val="left" w:pos="7200"/>
          <w:tab w:val="left" w:pos="7920"/>
        </w:tabs>
        <w:autoSpaceDE/>
        <w:autoSpaceDN/>
        <w:adjustRightInd/>
        <w:ind w:left="1440"/>
      </w:pPr>
    </w:p>
    <w:p w:rsidR="00060BF2" w:rsidRDefault="00060BF2" w:rsidP="00060BF2">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Litigation Support Systems</w:t>
      </w:r>
      <w:r>
        <w:t xml:space="preserve"> </w:t>
      </w:r>
      <w:r>
        <w:rPr>
          <w:i/>
          <w:iCs/>
        </w:rPr>
        <w:t xml:space="preserve">- - </w:t>
      </w:r>
      <w:r>
        <w:t xml:space="preserve">Providing litigation support technologies that encompass a wide range of services and products that help attorneys and economists acquire, organize, develop, and present evidence.  Providing courtroom presentation and related training to the legal staff to develop staff courtroom skills and practice courtroom presentations using state-of-the-art technology.  </w:t>
      </w:r>
    </w:p>
    <w:p w:rsidR="00060BF2" w:rsidRPr="00060BF2" w:rsidRDefault="00060BF2" w:rsidP="00060BF2">
      <w:pPr>
        <w:tabs>
          <w:tab w:val="left" w:pos="1440"/>
          <w:tab w:val="left" w:pos="3600"/>
          <w:tab w:val="left" w:pos="4320"/>
          <w:tab w:val="left" w:pos="5040"/>
          <w:tab w:val="left" w:pos="5760"/>
          <w:tab w:val="left" w:pos="6480"/>
          <w:tab w:val="left" w:pos="7200"/>
          <w:tab w:val="left" w:pos="7920"/>
        </w:tabs>
        <w:ind w:left="1440"/>
      </w:pPr>
    </w:p>
    <w:p w:rsidR="00075ADF" w:rsidRDefault="00075ADF" w:rsidP="00075ADF">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Office Automation</w:t>
      </w:r>
      <w:r>
        <w:t xml:space="preserve"> </w:t>
      </w:r>
      <w:r>
        <w:rPr>
          <w:i/>
          <w:iCs/>
        </w:rPr>
        <w:t xml:space="preserve">- - </w:t>
      </w:r>
      <w:r>
        <w:t xml:space="preserve">Providing staff technological tools comparable to those used by opposing counsel, thereby ensuring equitable technological capabilities in antitrust litigation. These tools are used for desktop data review and analysis, computer-based communication, the production of time-critical and sensitive legal documents, and preparing presentations and court exhibits.  </w:t>
      </w:r>
    </w:p>
    <w:p w:rsidR="00075ADF" w:rsidRDefault="00075ADF" w:rsidP="00075ADF">
      <w:pPr>
        <w:tabs>
          <w:tab w:val="left" w:pos="1440"/>
          <w:tab w:val="left" w:pos="3600"/>
          <w:tab w:val="left" w:pos="4320"/>
          <w:tab w:val="left" w:pos="5040"/>
          <w:tab w:val="left" w:pos="5760"/>
          <w:tab w:val="left" w:pos="6480"/>
          <w:tab w:val="left" w:pos="7200"/>
          <w:tab w:val="left" w:pos="7920"/>
        </w:tabs>
      </w:pPr>
    </w:p>
    <w:p w:rsidR="00075ADF" w:rsidRDefault="00075ADF" w:rsidP="00075ADF">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 xml:space="preserve">Management Information Systems - - </w:t>
      </w:r>
      <w:r>
        <w:t>Developing, maintaining, and operating data and information systems which support management oversight, direction of work, budget, and resources of the Division.  Various tracking systems help ensure timely and efficient conduct of the Division’s investigations through use of automated, web-based tools.</w:t>
      </w:r>
    </w:p>
    <w:p w:rsidR="00075ADF" w:rsidRDefault="00075ADF" w:rsidP="00075ADF">
      <w:pPr>
        <w:tabs>
          <w:tab w:val="left" w:pos="720"/>
          <w:tab w:val="left" w:pos="1440"/>
          <w:tab w:val="num" w:pos="2160"/>
          <w:tab w:val="left" w:pos="3600"/>
          <w:tab w:val="left" w:pos="4320"/>
          <w:tab w:val="left" w:pos="5040"/>
          <w:tab w:val="left" w:pos="5760"/>
          <w:tab w:val="left" w:pos="6480"/>
          <w:tab w:val="left" w:pos="7200"/>
          <w:tab w:val="left" w:pos="7920"/>
        </w:tabs>
        <w:ind w:left="2160" w:hanging="720"/>
      </w:pPr>
    </w:p>
    <w:p w:rsidR="00075ADF" w:rsidRDefault="00075ADF" w:rsidP="00060BF2">
      <w:pPr>
        <w:numPr>
          <w:ilvl w:val="0"/>
          <w:numId w:val="7"/>
        </w:numPr>
        <w:tabs>
          <w:tab w:val="clear" w:pos="2880"/>
          <w:tab w:val="left" w:pos="1440"/>
          <w:tab w:val="num" w:pos="2160"/>
          <w:tab w:val="left" w:pos="3600"/>
          <w:tab w:val="left" w:pos="4320"/>
          <w:tab w:val="left" w:pos="5040"/>
          <w:tab w:val="left" w:pos="5760"/>
          <w:tab w:val="left" w:pos="6480"/>
          <w:tab w:val="left" w:pos="7200"/>
          <w:tab w:val="left" w:pos="7920"/>
        </w:tabs>
        <w:ind w:left="2160" w:hanging="720"/>
      </w:pPr>
      <w:r>
        <w:rPr>
          <w:i/>
          <w:iCs/>
        </w:rPr>
        <w:t xml:space="preserve">Telecommunications - - </w:t>
      </w:r>
      <w:r>
        <w:t xml:space="preserve">Developing, providing, maintaining, and supporting networks and services required for voice and data communications among the Division’s offices, with outside parties, and in support of federal telework objectives.  </w:t>
      </w:r>
    </w:p>
    <w:p w:rsidR="00075ADF" w:rsidRDefault="00075ADF" w:rsidP="00075ADF">
      <w:pPr>
        <w:tabs>
          <w:tab w:val="left" w:pos="630"/>
          <w:tab w:val="left" w:pos="720"/>
          <w:tab w:val="num" w:pos="1440"/>
          <w:tab w:val="num" w:pos="2160"/>
          <w:tab w:val="left" w:pos="3600"/>
          <w:tab w:val="left" w:pos="4320"/>
          <w:tab w:val="left" w:pos="5040"/>
          <w:tab w:val="left" w:pos="5760"/>
          <w:tab w:val="left" w:pos="6480"/>
          <w:tab w:val="left" w:pos="7200"/>
          <w:tab w:val="left" w:pos="7920"/>
        </w:tabs>
        <w:ind w:left="1440" w:hanging="720"/>
      </w:pPr>
    </w:p>
    <w:p w:rsidR="00075ADF" w:rsidRDefault="00075ADF" w:rsidP="00075ADF">
      <w:pPr>
        <w:widowControl/>
        <w:numPr>
          <w:ilvl w:val="0"/>
          <w:numId w:val="7"/>
        </w:numPr>
        <w:tabs>
          <w:tab w:val="clear" w:pos="2880"/>
          <w:tab w:val="left" w:pos="630"/>
          <w:tab w:val="num" w:pos="2160"/>
          <w:tab w:val="left" w:pos="3600"/>
          <w:tab w:val="left" w:pos="4320"/>
          <w:tab w:val="left" w:pos="5040"/>
          <w:tab w:val="left" w:pos="5760"/>
          <w:tab w:val="left" w:pos="6480"/>
          <w:tab w:val="left" w:pos="7200"/>
          <w:tab w:val="left" w:pos="7920"/>
        </w:tabs>
        <w:autoSpaceDE/>
        <w:autoSpaceDN/>
        <w:adjustRightInd/>
        <w:ind w:left="2160" w:hanging="720"/>
      </w:pPr>
      <w:r>
        <w:rPr>
          <w:i/>
          <w:iCs/>
        </w:rPr>
        <w:t xml:space="preserve">Web Support – </w:t>
      </w:r>
      <w:r>
        <w:t>Developing and maintaining the Division’s Internet and internal ATRnet site.  Posting case filings, documents and data related to cases and investigations; designing and developing new applications, providing public access to key Division information, and ensuring compliance with web standards and guidelines, including guidelines for usability and accessibility.</w:t>
      </w:r>
    </w:p>
    <w:p w:rsidR="00C96589" w:rsidRPr="00F948FA" w:rsidRDefault="00F57020" w:rsidP="00F948FA">
      <w:pPr>
        <w:pStyle w:val="TOC1"/>
      </w:pPr>
      <w:bookmarkStart w:id="174" w:name="_Toc349640465"/>
      <w:r w:rsidRPr="00F948FA">
        <w:t>I.  Summary of Program Changes</w:t>
      </w:r>
      <w:bookmarkEnd w:id="174"/>
    </w:p>
    <w:p w:rsidR="00C96589" w:rsidRPr="00F948FA" w:rsidRDefault="00C96589" w:rsidP="00C96589"/>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8"/>
        <w:gridCol w:w="3960"/>
        <w:gridCol w:w="720"/>
        <w:gridCol w:w="630"/>
        <w:gridCol w:w="900"/>
        <w:gridCol w:w="712"/>
      </w:tblGrid>
      <w:tr w:rsidR="0007273E" w:rsidRPr="00762BA3" w:rsidTr="00327B97">
        <w:trPr>
          <w:cantSplit/>
        </w:trPr>
        <w:tc>
          <w:tcPr>
            <w:tcW w:w="2718" w:type="dxa"/>
            <w:vMerge w:val="restart"/>
            <w:shd w:val="clear" w:color="auto" w:fill="E6E6E6"/>
          </w:tcPr>
          <w:p w:rsidR="0007273E" w:rsidRPr="00762BA3" w:rsidRDefault="0007273E" w:rsidP="0000125D">
            <w:pPr>
              <w:pStyle w:val="BodyText"/>
              <w:jc w:val="center"/>
              <w:rPr>
                <w:b/>
                <w:bCs/>
                <w:szCs w:val="24"/>
              </w:rPr>
            </w:pPr>
          </w:p>
          <w:p w:rsidR="0007273E" w:rsidRPr="00762BA3" w:rsidRDefault="0007273E" w:rsidP="0000125D">
            <w:pPr>
              <w:pStyle w:val="BodyText"/>
              <w:jc w:val="center"/>
              <w:rPr>
                <w:b/>
                <w:bCs/>
                <w:szCs w:val="24"/>
              </w:rPr>
            </w:pPr>
            <w:r w:rsidRPr="00762BA3">
              <w:rPr>
                <w:b/>
                <w:bCs/>
                <w:szCs w:val="24"/>
              </w:rPr>
              <w:t>Item Name</w:t>
            </w:r>
          </w:p>
        </w:tc>
        <w:tc>
          <w:tcPr>
            <w:tcW w:w="6210" w:type="dxa"/>
            <w:gridSpan w:val="4"/>
            <w:shd w:val="clear" w:color="auto" w:fill="E6E6E6"/>
          </w:tcPr>
          <w:p w:rsidR="0007273E" w:rsidRPr="00762BA3" w:rsidRDefault="0007273E" w:rsidP="0000125D">
            <w:pPr>
              <w:pStyle w:val="BodyText"/>
              <w:jc w:val="center"/>
              <w:rPr>
                <w:b/>
                <w:bCs/>
                <w:szCs w:val="24"/>
              </w:rPr>
            </w:pPr>
          </w:p>
          <w:p w:rsidR="0007273E" w:rsidRPr="00762BA3" w:rsidRDefault="0007273E" w:rsidP="0000125D">
            <w:pPr>
              <w:pStyle w:val="BodyText"/>
              <w:jc w:val="center"/>
              <w:rPr>
                <w:b/>
                <w:bCs/>
                <w:szCs w:val="24"/>
              </w:rPr>
            </w:pPr>
            <w:r w:rsidRPr="00762BA3">
              <w:rPr>
                <w:b/>
                <w:bCs/>
                <w:szCs w:val="24"/>
              </w:rPr>
              <w:t>Description</w:t>
            </w:r>
          </w:p>
        </w:tc>
        <w:tc>
          <w:tcPr>
            <w:tcW w:w="712" w:type="dxa"/>
            <w:vMerge w:val="restart"/>
            <w:shd w:val="clear" w:color="auto" w:fill="E6E6E6"/>
          </w:tcPr>
          <w:p w:rsidR="0007273E" w:rsidRPr="00762BA3" w:rsidRDefault="0007273E" w:rsidP="0000125D">
            <w:pPr>
              <w:pStyle w:val="BodyText"/>
              <w:jc w:val="center"/>
              <w:rPr>
                <w:b/>
                <w:bCs/>
                <w:szCs w:val="24"/>
              </w:rPr>
            </w:pPr>
          </w:p>
          <w:p w:rsidR="0007273E" w:rsidRDefault="0007273E" w:rsidP="0000125D">
            <w:pPr>
              <w:pStyle w:val="BodyText"/>
              <w:jc w:val="center"/>
              <w:rPr>
                <w:b/>
                <w:bCs/>
                <w:szCs w:val="24"/>
              </w:rPr>
            </w:pPr>
            <w:r w:rsidRPr="00693AA0">
              <w:rPr>
                <w:b/>
                <w:bCs/>
                <w:szCs w:val="24"/>
              </w:rPr>
              <w:t>See</w:t>
            </w:r>
            <w:r>
              <w:rPr>
                <w:b/>
                <w:bCs/>
                <w:szCs w:val="24"/>
              </w:rPr>
              <w:t xml:space="preserve"> Page</w:t>
            </w:r>
          </w:p>
          <w:p w:rsidR="0007273E" w:rsidRDefault="0007273E" w:rsidP="0000125D">
            <w:pPr>
              <w:pStyle w:val="BodyText"/>
              <w:rPr>
                <w:b/>
                <w:bCs/>
                <w:szCs w:val="24"/>
              </w:rPr>
            </w:pPr>
          </w:p>
        </w:tc>
      </w:tr>
      <w:tr w:rsidR="0007273E" w:rsidRPr="00762BA3" w:rsidTr="00327B97">
        <w:trPr>
          <w:cantSplit/>
        </w:trPr>
        <w:tc>
          <w:tcPr>
            <w:tcW w:w="2718" w:type="dxa"/>
            <w:vMerge/>
          </w:tcPr>
          <w:p w:rsidR="0007273E" w:rsidRPr="00762BA3" w:rsidRDefault="0007273E" w:rsidP="0000125D">
            <w:pPr>
              <w:pStyle w:val="BodyText"/>
              <w:jc w:val="center"/>
              <w:rPr>
                <w:b/>
                <w:bCs/>
                <w:szCs w:val="24"/>
              </w:rPr>
            </w:pPr>
          </w:p>
        </w:tc>
        <w:tc>
          <w:tcPr>
            <w:tcW w:w="3960" w:type="dxa"/>
          </w:tcPr>
          <w:p w:rsidR="0007273E" w:rsidRPr="00762BA3" w:rsidRDefault="0007273E" w:rsidP="0000125D">
            <w:pPr>
              <w:pStyle w:val="BodyText"/>
              <w:jc w:val="center"/>
              <w:rPr>
                <w:b/>
                <w:bCs/>
                <w:sz w:val="20"/>
              </w:rPr>
            </w:pPr>
            <w:r w:rsidRPr="00762BA3">
              <w:rPr>
                <w:b/>
                <w:bCs/>
                <w:sz w:val="20"/>
              </w:rPr>
              <w:t>Antitrust Division</w:t>
            </w:r>
          </w:p>
        </w:tc>
        <w:tc>
          <w:tcPr>
            <w:tcW w:w="720" w:type="dxa"/>
            <w:shd w:val="clear" w:color="auto" w:fill="F3F3F3"/>
          </w:tcPr>
          <w:p w:rsidR="0007273E" w:rsidRPr="00762BA3" w:rsidRDefault="0007273E" w:rsidP="0000125D">
            <w:pPr>
              <w:pStyle w:val="BodyText"/>
              <w:jc w:val="center"/>
              <w:rPr>
                <w:b/>
                <w:bCs/>
                <w:szCs w:val="24"/>
              </w:rPr>
            </w:pPr>
          </w:p>
          <w:p w:rsidR="0007273E" w:rsidRPr="00762BA3" w:rsidRDefault="0007273E" w:rsidP="0000125D">
            <w:pPr>
              <w:pStyle w:val="BodyText"/>
              <w:jc w:val="center"/>
              <w:rPr>
                <w:b/>
                <w:bCs/>
                <w:szCs w:val="24"/>
              </w:rPr>
            </w:pPr>
            <w:r w:rsidRPr="00762BA3">
              <w:rPr>
                <w:b/>
                <w:bCs/>
                <w:szCs w:val="24"/>
              </w:rPr>
              <w:t>Pos.</w:t>
            </w:r>
          </w:p>
        </w:tc>
        <w:tc>
          <w:tcPr>
            <w:tcW w:w="630" w:type="dxa"/>
            <w:shd w:val="clear" w:color="auto" w:fill="F3F3F3"/>
          </w:tcPr>
          <w:p w:rsidR="0007273E" w:rsidRPr="00762BA3" w:rsidRDefault="0007273E" w:rsidP="0000125D">
            <w:pPr>
              <w:pStyle w:val="BodyText"/>
              <w:jc w:val="center"/>
              <w:rPr>
                <w:b/>
                <w:bCs/>
                <w:szCs w:val="24"/>
              </w:rPr>
            </w:pPr>
          </w:p>
          <w:p w:rsidR="0007273E" w:rsidRPr="00762BA3" w:rsidRDefault="0007273E" w:rsidP="0000125D">
            <w:pPr>
              <w:pStyle w:val="BodyText"/>
              <w:jc w:val="center"/>
              <w:rPr>
                <w:b/>
                <w:bCs/>
                <w:szCs w:val="24"/>
              </w:rPr>
            </w:pPr>
            <w:r w:rsidRPr="00762BA3">
              <w:rPr>
                <w:b/>
                <w:bCs/>
                <w:szCs w:val="24"/>
              </w:rPr>
              <w:t>FTE</w:t>
            </w:r>
          </w:p>
        </w:tc>
        <w:tc>
          <w:tcPr>
            <w:tcW w:w="900" w:type="dxa"/>
            <w:shd w:val="clear" w:color="auto" w:fill="F3F3F3"/>
          </w:tcPr>
          <w:p w:rsidR="0007273E" w:rsidRPr="00762BA3" w:rsidRDefault="0007273E" w:rsidP="0000125D">
            <w:pPr>
              <w:pStyle w:val="BodyText"/>
              <w:jc w:val="center"/>
              <w:rPr>
                <w:b/>
                <w:bCs/>
                <w:szCs w:val="24"/>
              </w:rPr>
            </w:pPr>
            <w:r w:rsidRPr="00762BA3">
              <w:rPr>
                <w:b/>
                <w:bCs/>
                <w:szCs w:val="24"/>
              </w:rPr>
              <w:t>Dollars ($000)</w:t>
            </w:r>
          </w:p>
        </w:tc>
        <w:tc>
          <w:tcPr>
            <w:tcW w:w="712" w:type="dxa"/>
            <w:vMerge/>
          </w:tcPr>
          <w:p w:rsidR="0007273E" w:rsidRPr="00762BA3" w:rsidRDefault="0007273E" w:rsidP="0000125D">
            <w:pPr>
              <w:pStyle w:val="BodyText"/>
              <w:jc w:val="center"/>
              <w:rPr>
                <w:b/>
                <w:bCs/>
                <w:szCs w:val="24"/>
              </w:rPr>
            </w:pPr>
          </w:p>
        </w:tc>
      </w:tr>
      <w:tr w:rsidR="0007273E" w:rsidRPr="00455B1F" w:rsidTr="00327B97">
        <w:tc>
          <w:tcPr>
            <w:tcW w:w="2718" w:type="dxa"/>
          </w:tcPr>
          <w:p w:rsidR="0007273E" w:rsidRPr="00455B1F" w:rsidRDefault="00327B97" w:rsidP="0000125D">
            <w:pPr>
              <w:pStyle w:val="BodyText"/>
              <w:rPr>
                <w:b/>
                <w:bCs/>
                <w:sz w:val="20"/>
              </w:rPr>
            </w:pPr>
            <w:r>
              <w:rPr>
                <w:b/>
                <w:bCs/>
                <w:sz w:val="20"/>
              </w:rPr>
              <w:t>Position/FTE Adjustment</w:t>
            </w:r>
          </w:p>
        </w:tc>
        <w:tc>
          <w:tcPr>
            <w:tcW w:w="3960" w:type="dxa"/>
          </w:tcPr>
          <w:p w:rsidR="0007273E" w:rsidRPr="00455B1F" w:rsidRDefault="00327B97" w:rsidP="0000125D">
            <w:pPr>
              <w:pStyle w:val="BodyText"/>
              <w:rPr>
                <w:b/>
                <w:bCs/>
                <w:sz w:val="20"/>
              </w:rPr>
            </w:pPr>
            <w:r>
              <w:rPr>
                <w:b/>
                <w:bCs/>
                <w:sz w:val="20"/>
              </w:rPr>
              <w:t xml:space="preserve">Permanent Position </w:t>
            </w:r>
            <w:r w:rsidR="00455B1F" w:rsidRPr="00455B1F">
              <w:rPr>
                <w:b/>
                <w:bCs/>
                <w:sz w:val="20"/>
              </w:rPr>
              <w:t>reduction</w:t>
            </w:r>
          </w:p>
        </w:tc>
        <w:tc>
          <w:tcPr>
            <w:tcW w:w="720" w:type="dxa"/>
          </w:tcPr>
          <w:p w:rsidR="0007273E" w:rsidRPr="00455B1F" w:rsidRDefault="000A50F8" w:rsidP="0000125D">
            <w:pPr>
              <w:pStyle w:val="BodyText"/>
              <w:jc w:val="center"/>
              <w:rPr>
                <w:b/>
                <w:bCs/>
                <w:sz w:val="20"/>
              </w:rPr>
            </w:pPr>
            <w:r>
              <w:rPr>
                <w:b/>
                <w:bCs/>
                <w:sz w:val="20"/>
              </w:rPr>
              <w:t>-5</w:t>
            </w:r>
            <w:r w:rsidR="00455B1F" w:rsidRPr="00455B1F">
              <w:rPr>
                <w:b/>
                <w:bCs/>
                <w:sz w:val="20"/>
              </w:rPr>
              <w:t>0</w:t>
            </w:r>
          </w:p>
        </w:tc>
        <w:tc>
          <w:tcPr>
            <w:tcW w:w="630" w:type="dxa"/>
          </w:tcPr>
          <w:p w:rsidR="0007273E" w:rsidRPr="00455B1F" w:rsidRDefault="00455B1F" w:rsidP="0000125D">
            <w:pPr>
              <w:pStyle w:val="BodyText"/>
              <w:jc w:val="center"/>
              <w:rPr>
                <w:b/>
                <w:bCs/>
                <w:sz w:val="20"/>
              </w:rPr>
            </w:pPr>
            <w:r w:rsidRPr="00455B1F">
              <w:rPr>
                <w:b/>
                <w:bCs/>
                <w:sz w:val="20"/>
              </w:rPr>
              <w:t>0</w:t>
            </w:r>
          </w:p>
        </w:tc>
        <w:tc>
          <w:tcPr>
            <w:tcW w:w="900" w:type="dxa"/>
          </w:tcPr>
          <w:p w:rsidR="0007273E" w:rsidRPr="00455B1F" w:rsidRDefault="0007273E" w:rsidP="0000125D">
            <w:pPr>
              <w:pStyle w:val="BodyText"/>
              <w:jc w:val="center"/>
              <w:rPr>
                <w:b/>
                <w:bCs/>
                <w:sz w:val="20"/>
              </w:rPr>
            </w:pPr>
            <w:r w:rsidRPr="00455B1F">
              <w:rPr>
                <w:b/>
                <w:bCs/>
                <w:sz w:val="20"/>
              </w:rPr>
              <w:t>$</w:t>
            </w:r>
            <w:r w:rsidR="00455B1F" w:rsidRPr="00455B1F">
              <w:rPr>
                <w:b/>
                <w:bCs/>
                <w:sz w:val="20"/>
              </w:rPr>
              <w:t>0</w:t>
            </w:r>
          </w:p>
        </w:tc>
        <w:tc>
          <w:tcPr>
            <w:tcW w:w="712" w:type="dxa"/>
          </w:tcPr>
          <w:p w:rsidR="0007273E" w:rsidRPr="00455B1F" w:rsidRDefault="007E37AD" w:rsidP="0000125D">
            <w:pPr>
              <w:pStyle w:val="BodyText"/>
              <w:keepNext/>
              <w:tabs>
                <w:tab w:val="center" w:pos="6840"/>
              </w:tabs>
              <w:jc w:val="center"/>
              <w:outlineLvl w:val="1"/>
              <w:rPr>
                <w:b/>
                <w:bCs/>
                <w:sz w:val="20"/>
              </w:rPr>
            </w:pPr>
            <w:r w:rsidRPr="00A26062">
              <w:rPr>
                <w:b/>
                <w:bCs/>
                <w:sz w:val="20"/>
              </w:rPr>
              <w:t>45</w:t>
            </w:r>
          </w:p>
        </w:tc>
      </w:tr>
    </w:tbl>
    <w:p w:rsidR="00A42795" w:rsidRDefault="00A42795" w:rsidP="00F948FA">
      <w:pPr>
        <w:pStyle w:val="TOC1"/>
        <w:sectPr w:rsidR="00A42795" w:rsidSect="00455B1F">
          <w:endnotePr>
            <w:numFmt w:val="decimal"/>
          </w:endnotePr>
          <w:pgSz w:w="12240" w:h="15840" w:code="1"/>
          <w:pgMar w:top="1008" w:right="1440" w:bottom="288" w:left="1440" w:header="0" w:footer="144" w:gutter="0"/>
          <w:cols w:space="720"/>
          <w:noEndnote/>
        </w:sectPr>
      </w:pPr>
    </w:p>
    <w:p w:rsidR="00D01E1A" w:rsidRPr="00663DD9" w:rsidRDefault="00F57020" w:rsidP="00F948FA">
      <w:pPr>
        <w:pStyle w:val="TOC1"/>
      </w:pPr>
      <w:bookmarkStart w:id="175" w:name="_Toc349640466"/>
      <w:r w:rsidRPr="00745A53">
        <w:t xml:space="preserve">III.  </w:t>
      </w:r>
      <w:r w:rsidRPr="00663DD9">
        <w:t>Appropriations Language and Analysis of Appropriations Language</w:t>
      </w:r>
      <w:bookmarkEnd w:id="175"/>
      <w:r w:rsidRPr="00663DD9">
        <w:t xml:space="preserve">        </w:t>
      </w:r>
    </w:p>
    <w:p w:rsidR="005554F2" w:rsidRPr="00663DD9" w:rsidRDefault="005554F2" w:rsidP="005554F2"/>
    <w:p w:rsidR="00A42795" w:rsidRDefault="00A42795" w:rsidP="00A42795">
      <w:pPr>
        <w:pStyle w:val="Header"/>
        <w:tabs>
          <w:tab w:val="clear" w:pos="4320"/>
          <w:tab w:val="clear" w:pos="8640"/>
        </w:tabs>
        <w:ind w:left="450"/>
        <w:rPr>
          <w:b/>
          <w:bCs/>
          <w:sz w:val="28"/>
          <w:szCs w:val="28"/>
        </w:rPr>
      </w:pPr>
      <w:r>
        <w:rPr>
          <w:b/>
          <w:bCs/>
          <w:sz w:val="28"/>
          <w:szCs w:val="28"/>
        </w:rPr>
        <w:t>Appropriations Language</w:t>
      </w:r>
    </w:p>
    <w:p w:rsidR="00A42795" w:rsidRDefault="00A42795" w:rsidP="00A42795">
      <w:pPr>
        <w:pStyle w:val="Header"/>
        <w:tabs>
          <w:tab w:val="clear" w:pos="4320"/>
          <w:tab w:val="clear" w:pos="8640"/>
        </w:tabs>
        <w:ind w:left="450"/>
        <w:rPr>
          <w:b/>
          <w:bCs/>
          <w:sz w:val="20"/>
          <w:szCs w:val="20"/>
        </w:rPr>
      </w:pPr>
    </w:p>
    <w:p w:rsidR="00A42795" w:rsidRDefault="00A42795" w:rsidP="00A42795">
      <w:pPr>
        <w:pStyle w:val="Header"/>
        <w:tabs>
          <w:tab w:val="clear" w:pos="4320"/>
          <w:tab w:val="clear" w:pos="8640"/>
        </w:tabs>
        <w:ind w:left="450"/>
        <w:rPr>
          <w:b/>
          <w:bCs/>
          <w:sz w:val="20"/>
          <w:szCs w:val="20"/>
        </w:rPr>
      </w:pPr>
    </w:p>
    <w:p w:rsidR="00A42795" w:rsidRDefault="00A42795" w:rsidP="00A42795">
      <w:pPr>
        <w:ind w:left="450"/>
        <w:jc w:val="center"/>
      </w:pPr>
      <w:r>
        <w:t>Salaries and Expenses, Antitrust Division</w:t>
      </w:r>
    </w:p>
    <w:p w:rsidR="00A42795" w:rsidRDefault="00A42795" w:rsidP="00A42795">
      <w:pPr>
        <w:ind w:left="450"/>
        <w:rPr>
          <w:rFonts w:ascii="MS Sans Serif" w:hAnsi="MS Sans Serif"/>
          <w:sz w:val="20"/>
          <w:szCs w:val="20"/>
        </w:rPr>
      </w:pPr>
    </w:p>
    <w:p w:rsidR="00A42795" w:rsidRDefault="00A42795" w:rsidP="00A42795">
      <w:pPr>
        <w:ind w:left="450"/>
      </w:pPr>
      <w:r>
        <w:t>For expenses necessary for the enforcement of antit</w:t>
      </w:r>
      <w:r w:rsidR="00877A28">
        <w:t xml:space="preserve">rust and kindred laws, </w:t>
      </w:r>
      <w:r w:rsidR="00877A28" w:rsidRPr="006942E8">
        <w:t>[$16</w:t>
      </w:r>
      <w:r w:rsidR="00361872" w:rsidRPr="006942E8">
        <w:t>0</w:t>
      </w:r>
      <w:r w:rsidR="00877A28" w:rsidRPr="006942E8">
        <w:t>,</w:t>
      </w:r>
      <w:r w:rsidR="00361872" w:rsidRPr="006942E8">
        <w:t>564</w:t>
      </w:r>
      <w:r w:rsidRPr="006942E8">
        <w:t>,000]</w:t>
      </w:r>
      <w:r>
        <w:t xml:space="preserve"> </w:t>
      </w:r>
      <w:r w:rsidR="00186968" w:rsidRPr="00361872">
        <w:rPr>
          <w:i/>
          <w:iCs/>
          <w:u w:val="single"/>
        </w:rPr>
        <w:t>$1</w:t>
      </w:r>
      <w:r w:rsidR="003623F4">
        <w:rPr>
          <w:i/>
          <w:iCs/>
          <w:u w:val="single"/>
        </w:rPr>
        <w:t>60</w:t>
      </w:r>
      <w:r w:rsidR="00186968" w:rsidRPr="00361872">
        <w:rPr>
          <w:i/>
          <w:iCs/>
          <w:u w:val="single"/>
        </w:rPr>
        <w:t>,</w:t>
      </w:r>
      <w:r w:rsidR="003623F4">
        <w:rPr>
          <w:i/>
          <w:iCs/>
          <w:u w:val="single"/>
        </w:rPr>
        <w:t>410</w:t>
      </w:r>
      <w:r w:rsidR="00186968" w:rsidRPr="00361872">
        <w:rPr>
          <w:i/>
          <w:iCs/>
          <w:u w:val="single"/>
        </w:rPr>
        <w:t>,000</w:t>
      </w:r>
      <w:r>
        <w:t xml:space="preserve"> to remain available until expended:  Provided, That, notwithstanding any other provision of law, fees collected for premerger notification filings under the Hart-Scott-Rodino Antitrust Improvements Act of 1976 (15 U.S.C. 18a), regardless of the year of collectio</w:t>
      </w:r>
      <w:r w:rsidR="00877A28">
        <w:t>n (and estimated to be [$117,500</w:t>
      </w:r>
      <w:r>
        <w:t xml:space="preserve">,000] </w:t>
      </w:r>
      <w:r w:rsidRPr="00CE7E7D">
        <w:rPr>
          <w:i/>
          <w:iCs/>
          <w:u w:val="single"/>
        </w:rPr>
        <w:t>$</w:t>
      </w:r>
      <w:r w:rsidR="00E41BB0" w:rsidRPr="00CE7E7D">
        <w:rPr>
          <w:i/>
          <w:iCs/>
          <w:u w:val="single"/>
        </w:rPr>
        <w:t>1</w:t>
      </w:r>
      <w:r w:rsidR="00186968" w:rsidRPr="00186968">
        <w:rPr>
          <w:i/>
          <w:iCs/>
          <w:u w:val="single"/>
        </w:rPr>
        <w:t>02</w:t>
      </w:r>
      <w:r w:rsidR="00E41BB0" w:rsidRPr="00CE7E7D">
        <w:rPr>
          <w:i/>
          <w:iCs/>
          <w:u w:val="single"/>
        </w:rPr>
        <w:t>,</w:t>
      </w:r>
      <w:r w:rsidR="00186968" w:rsidRPr="00186968">
        <w:rPr>
          <w:i/>
          <w:iCs/>
          <w:u w:val="single"/>
        </w:rPr>
        <w:t>3</w:t>
      </w:r>
      <w:r w:rsidR="00E41BB0" w:rsidRPr="00CE7E7D">
        <w:rPr>
          <w:i/>
          <w:iCs/>
          <w:u w:val="single"/>
        </w:rPr>
        <w:t>00,000</w:t>
      </w:r>
      <w:r w:rsidR="00877A28">
        <w:t xml:space="preserve"> in fiscal year [2013</w:t>
      </w:r>
      <w:r>
        <w:t xml:space="preserve">] </w:t>
      </w:r>
      <w:r>
        <w:rPr>
          <w:i/>
          <w:iCs/>
          <w:u w:val="single"/>
        </w:rPr>
        <w:t>201</w:t>
      </w:r>
      <w:r w:rsidR="00877A28">
        <w:rPr>
          <w:i/>
          <w:iCs/>
          <w:u w:val="single"/>
        </w:rPr>
        <w:t>4</w:t>
      </w:r>
      <w:r>
        <w:t>), shall be retained and used for necessary expenses in this appropriation, and shall remain available until expended: Provided further, That the sum herein appropriated from the general fund shall be reduced as such offsetting collections are r</w:t>
      </w:r>
      <w:r w:rsidR="00877A28">
        <w:t>eceived during fiscal year [2013</w:t>
      </w:r>
      <w:r>
        <w:t xml:space="preserve">] </w:t>
      </w:r>
      <w:r>
        <w:rPr>
          <w:i/>
          <w:iCs/>
          <w:u w:val="single"/>
        </w:rPr>
        <w:t>201</w:t>
      </w:r>
      <w:r w:rsidR="00877A28">
        <w:rPr>
          <w:i/>
          <w:iCs/>
          <w:u w:val="single"/>
        </w:rPr>
        <w:t>4</w:t>
      </w:r>
      <w:r>
        <w:t>; so as to res</w:t>
      </w:r>
      <w:r w:rsidR="00877A28">
        <w:t>ult in a final fiscal year [2013</w:t>
      </w:r>
      <w:r>
        <w:t xml:space="preserve">] </w:t>
      </w:r>
      <w:r>
        <w:rPr>
          <w:i/>
          <w:iCs/>
          <w:u w:val="single"/>
        </w:rPr>
        <w:t>201</w:t>
      </w:r>
      <w:r w:rsidR="00877A28">
        <w:rPr>
          <w:i/>
          <w:iCs/>
          <w:u w:val="single"/>
        </w:rPr>
        <w:t>4</w:t>
      </w:r>
      <w:r>
        <w:t xml:space="preserve"> appropriation from the ge</w:t>
      </w:r>
      <w:r w:rsidR="00877A28">
        <w:t>neral fund estimated at [$4</w:t>
      </w:r>
      <w:r w:rsidR="00361872">
        <w:t>3</w:t>
      </w:r>
      <w:r w:rsidR="00877A28">
        <w:t>,</w:t>
      </w:r>
      <w:r w:rsidR="00361872">
        <w:t>064</w:t>
      </w:r>
      <w:r>
        <w:t xml:space="preserve">,000] </w:t>
      </w:r>
      <w:r w:rsidR="002720B5" w:rsidRPr="006942E8">
        <w:rPr>
          <w:i/>
          <w:iCs/>
          <w:u w:val="single"/>
        </w:rPr>
        <w:t>$</w:t>
      </w:r>
      <w:r w:rsidR="003623F4">
        <w:rPr>
          <w:i/>
          <w:iCs/>
          <w:u w:val="single"/>
        </w:rPr>
        <w:t>58</w:t>
      </w:r>
      <w:r w:rsidR="00186968" w:rsidRPr="006942E8">
        <w:rPr>
          <w:i/>
          <w:iCs/>
          <w:u w:val="single"/>
        </w:rPr>
        <w:t>,</w:t>
      </w:r>
      <w:r w:rsidR="003623F4">
        <w:rPr>
          <w:i/>
          <w:iCs/>
          <w:u w:val="single"/>
        </w:rPr>
        <w:t>110</w:t>
      </w:r>
      <w:r w:rsidR="00186968" w:rsidRPr="006942E8">
        <w:rPr>
          <w:i/>
          <w:iCs/>
          <w:u w:val="single"/>
        </w:rPr>
        <w:t>,000</w:t>
      </w:r>
      <w:r w:rsidR="00E41BB0" w:rsidRPr="006942E8">
        <w:t>.</w:t>
      </w:r>
    </w:p>
    <w:p w:rsidR="00A42795" w:rsidRDefault="00A42795" w:rsidP="00A42795">
      <w:pPr>
        <w:ind w:left="450"/>
        <w:rPr>
          <w:i/>
        </w:rPr>
      </w:pPr>
    </w:p>
    <w:p w:rsidR="00A42795" w:rsidRPr="00037A3A" w:rsidRDefault="00A42795" w:rsidP="00A42795">
      <w:pPr>
        <w:ind w:left="450"/>
        <w:rPr>
          <w:sz w:val="20"/>
          <w:szCs w:val="20"/>
        </w:rPr>
      </w:pPr>
    </w:p>
    <w:p w:rsidR="00A42795" w:rsidRDefault="00A42795" w:rsidP="00A42795">
      <w:pPr>
        <w:ind w:left="450"/>
        <w:rPr>
          <w:bCs/>
          <w:i/>
          <w:sz w:val="16"/>
          <w:szCs w:val="16"/>
        </w:rPr>
      </w:pPr>
    </w:p>
    <w:p w:rsidR="00A42795" w:rsidRDefault="00A42795" w:rsidP="00A42795">
      <w:pPr>
        <w:rPr>
          <w:rFonts w:ascii="MS Sans Serif" w:hAnsi="MS Sans Serif"/>
          <w:sz w:val="20"/>
          <w:szCs w:val="20"/>
        </w:rPr>
      </w:pPr>
      <w:bookmarkStart w:id="176" w:name="OLE_LINK1"/>
    </w:p>
    <w:p w:rsidR="00A42795" w:rsidRDefault="00A42795" w:rsidP="00A42795">
      <w:pPr>
        <w:ind w:left="450"/>
        <w:rPr>
          <w:rFonts w:ascii="MS Sans Serif" w:hAnsi="MS Sans Serif"/>
          <w:sz w:val="20"/>
          <w:szCs w:val="20"/>
        </w:rPr>
      </w:pPr>
    </w:p>
    <w:p w:rsidR="00A42795" w:rsidRDefault="00A42795" w:rsidP="00A42795">
      <w:pPr>
        <w:ind w:left="450"/>
        <w:rPr>
          <w:rFonts w:ascii="MS Sans Serif" w:hAnsi="MS Sans Serif"/>
          <w:sz w:val="20"/>
          <w:szCs w:val="20"/>
        </w:rPr>
      </w:pPr>
    </w:p>
    <w:bookmarkEnd w:id="176"/>
    <w:p w:rsidR="00A42795" w:rsidRDefault="00A42795" w:rsidP="00A42795">
      <w:pPr>
        <w:pStyle w:val="Header"/>
        <w:tabs>
          <w:tab w:val="clear" w:pos="4320"/>
          <w:tab w:val="clear" w:pos="8640"/>
        </w:tabs>
        <w:ind w:left="450"/>
        <w:rPr>
          <w:b/>
          <w:bCs/>
          <w:sz w:val="28"/>
          <w:szCs w:val="28"/>
        </w:rPr>
      </w:pPr>
      <w:r>
        <w:rPr>
          <w:b/>
          <w:bCs/>
          <w:sz w:val="28"/>
          <w:szCs w:val="28"/>
        </w:rPr>
        <w:t>Analysis of Appropriations Language</w:t>
      </w:r>
    </w:p>
    <w:p w:rsidR="00A42795" w:rsidRDefault="00A42795" w:rsidP="00A42795">
      <w:pPr>
        <w:ind w:left="450"/>
        <w:rPr>
          <w:i/>
          <w:sz w:val="28"/>
          <w:szCs w:val="28"/>
        </w:rPr>
      </w:pPr>
    </w:p>
    <w:p w:rsidR="00A42795" w:rsidRDefault="00A42795" w:rsidP="00A42795">
      <w:pPr>
        <w:ind w:firstLine="450"/>
      </w:pPr>
      <w:r>
        <w:t>No substantive changes proposed.</w:t>
      </w:r>
    </w:p>
    <w:p w:rsidR="00A42795" w:rsidRDefault="00A42795" w:rsidP="00A42795">
      <w:pPr>
        <w:ind w:left="450"/>
      </w:pPr>
    </w:p>
    <w:p w:rsidR="001D6308" w:rsidRPr="00663DD9" w:rsidRDefault="00344C24" w:rsidP="00B40D96">
      <w:pPr>
        <w:ind w:left="450"/>
        <w:rPr>
          <w:i/>
        </w:rPr>
      </w:pPr>
      <w:r>
        <w:rPr>
          <w:i/>
          <w:noProof/>
        </w:rPr>
        <w:drawing>
          <wp:inline distT="0" distB="0" distL="0" distR="0">
            <wp:extent cx="5943600" cy="3514090"/>
            <wp:effectExtent l="19050" t="0" r="0" b="0"/>
            <wp:docPr id="3" name="Picture 2" descr="DSCN0363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63_edited-2.jpg"/>
                    <pic:cNvPicPr/>
                  </pic:nvPicPr>
                  <pic:blipFill>
                    <a:blip r:embed="rId32" cstate="print"/>
                    <a:stretch>
                      <a:fillRect/>
                    </a:stretch>
                  </pic:blipFill>
                  <pic:spPr>
                    <a:xfrm>
                      <a:off x="0" y="0"/>
                      <a:ext cx="5943600" cy="3514090"/>
                    </a:xfrm>
                    <a:prstGeom prst="rect">
                      <a:avLst/>
                    </a:prstGeom>
                  </pic:spPr>
                </pic:pic>
              </a:graphicData>
            </a:graphic>
          </wp:inline>
        </w:drawing>
      </w:r>
    </w:p>
    <w:p w:rsidR="004A5B1C" w:rsidRDefault="004A5B1C" w:rsidP="00B40D96">
      <w:pPr>
        <w:ind w:left="450"/>
        <w:rPr>
          <w:i/>
        </w:rPr>
        <w:sectPr w:rsidR="004A5B1C" w:rsidSect="005D03B9">
          <w:endnotePr>
            <w:numFmt w:val="decimal"/>
          </w:endnotePr>
          <w:pgSz w:w="12240" w:h="15840" w:code="1"/>
          <w:pgMar w:top="432" w:right="1440" w:bottom="288" w:left="1440" w:header="0" w:footer="288" w:gutter="0"/>
          <w:cols w:space="720"/>
          <w:noEndnote/>
        </w:sectPr>
      </w:pPr>
    </w:p>
    <w:p w:rsidR="003B05E5" w:rsidRDefault="00432BD1" w:rsidP="00F948FA">
      <w:pPr>
        <w:pStyle w:val="TOC1"/>
      </w:pPr>
      <w:bookmarkStart w:id="177" w:name="_Toc349640467"/>
      <w:r>
        <w:t>I</w:t>
      </w:r>
      <w:r w:rsidR="00C96589">
        <w:t>V</w:t>
      </w:r>
      <w:r w:rsidR="003B05E5">
        <w:t xml:space="preserve">.  </w:t>
      </w:r>
      <w:r w:rsidR="001D0A84">
        <w:t>Program Activity</w:t>
      </w:r>
      <w:r w:rsidR="003B05E5">
        <w:t xml:space="preserve"> Justification</w:t>
      </w:r>
      <w:bookmarkEnd w:id="177"/>
    </w:p>
    <w:p w:rsidR="003B05E5" w:rsidRPr="00506ECA" w:rsidRDefault="003B05E5">
      <w:pPr>
        <w:rPr>
          <w:sz w:val="16"/>
          <w:szCs w:val="16"/>
        </w:rPr>
      </w:pPr>
    </w:p>
    <w:p w:rsidR="003B05E5" w:rsidRDefault="003B05E5" w:rsidP="0054505E">
      <w:pPr>
        <w:pStyle w:val="TOC3"/>
      </w:pPr>
      <w:r>
        <w:t xml:space="preserve">         </w:t>
      </w:r>
      <w:bookmarkStart w:id="178" w:name="_Toc349640468"/>
      <w:r>
        <w:t>A.  Decision Unit:  Antitrust</w:t>
      </w:r>
      <w:bookmarkEnd w:id="178"/>
    </w:p>
    <w:p w:rsidR="00A424A0" w:rsidRDefault="00A424A0" w:rsidP="00AF688E"/>
    <w:tbl>
      <w:tblPr>
        <w:tblW w:w="10206" w:type="dxa"/>
        <w:tblLayout w:type="fixed"/>
        <w:tblLook w:val="04A0"/>
      </w:tblPr>
      <w:tblGrid>
        <w:gridCol w:w="5958"/>
        <w:gridCol w:w="1170"/>
        <w:gridCol w:w="1350"/>
        <w:gridCol w:w="1710"/>
        <w:gridCol w:w="18"/>
      </w:tblGrid>
      <w:tr w:rsidR="00AF688E" w:rsidRPr="00AF688E" w:rsidTr="005B4DD7">
        <w:trPr>
          <w:gridAfter w:val="1"/>
          <w:wAfter w:w="18" w:type="dxa"/>
          <w:trHeight w:val="337"/>
        </w:trPr>
        <w:tc>
          <w:tcPr>
            <w:tcW w:w="10188" w:type="dxa"/>
            <w:gridSpan w:val="4"/>
            <w:tcBorders>
              <w:top w:val="single" w:sz="12" w:space="0" w:color="000080"/>
              <w:left w:val="single" w:sz="12" w:space="0" w:color="000080"/>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center"/>
              <w:rPr>
                <w:b/>
                <w:bCs/>
              </w:rPr>
            </w:pPr>
            <w:r w:rsidRPr="00AF688E">
              <w:rPr>
                <w:b/>
                <w:bCs/>
              </w:rPr>
              <w:t>Antitrust Division</w:t>
            </w:r>
          </w:p>
        </w:tc>
      </w:tr>
      <w:tr w:rsidR="00AF688E" w:rsidRPr="00AF688E" w:rsidTr="005B4DD7">
        <w:trPr>
          <w:gridAfter w:val="1"/>
          <w:wAfter w:w="18" w:type="dxa"/>
          <w:trHeight w:val="323"/>
        </w:trPr>
        <w:tc>
          <w:tcPr>
            <w:tcW w:w="10188" w:type="dxa"/>
            <w:gridSpan w:val="4"/>
            <w:tcBorders>
              <w:top w:val="nil"/>
              <w:left w:val="single" w:sz="12" w:space="0" w:color="000080"/>
              <w:bottom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center"/>
              <w:rPr>
                <w:b/>
                <w:bCs/>
              </w:rPr>
            </w:pPr>
            <w:r w:rsidRPr="00AF688E">
              <w:rPr>
                <w:b/>
                <w:bCs/>
              </w:rPr>
              <w:t>Fiscal Year 201</w:t>
            </w:r>
            <w:r w:rsidR="003D36C3">
              <w:rPr>
                <w:b/>
                <w:bCs/>
              </w:rPr>
              <w:t>4</w:t>
            </w:r>
            <w:r w:rsidRPr="00AF688E">
              <w:rPr>
                <w:b/>
                <w:bCs/>
              </w:rPr>
              <w:t xml:space="preserve"> </w:t>
            </w:r>
            <w:r w:rsidR="00E217D3">
              <w:rPr>
                <w:b/>
                <w:bCs/>
              </w:rPr>
              <w:t>Congressional</w:t>
            </w:r>
            <w:r w:rsidRPr="00AF688E">
              <w:rPr>
                <w:b/>
                <w:bCs/>
              </w:rPr>
              <w:t xml:space="preserve"> Budget Submission</w:t>
            </w:r>
          </w:p>
        </w:tc>
      </w:tr>
      <w:tr w:rsidR="00AF688E" w:rsidRPr="00AF688E" w:rsidTr="005B4DD7">
        <w:trPr>
          <w:gridAfter w:val="1"/>
          <w:wAfter w:w="18" w:type="dxa"/>
          <w:trHeight w:val="337"/>
        </w:trPr>
        <w:tc>
          <w:tcPr>
            <w:tcW w:w="10188" w:type="dxa"/>
            <w:gridSpan w:val="4"/>
            <w:tcBorders>
              <w:top w:val="nil"/>
              <w:left w:val="single" w:sz="12" w:space="0" w:color="000080"/>
              <w:bottom w:val="nil"/>
              <w:right w:val="single" w:sz="12" w:space="0" w:color="000080"/>
            </w:tcBorders>
            <w:shd w:val="clear" w:color="000000" w:fill="FFFFFF"/>
            <w:noWrap/>
            <w:vAlign w:val="bottom"/>
            <w:hideMark/>
          </w:tcPr>
          <w:p w:rsidR="00AF688E" w:rsidRDefault="00AF688E" w:rsidP="00AF688E">
            <w:pPr>
              <w:widowControl/>
              <w:autoSpaceDE/>
              <w:autoSpaceDN/>
              <w:adjustRightInd/>
              <w:jc w:val="center"/>
              <w:rPr>
                <w:b/>
                <w:bCs/>
              </w:rPr>
            </w:pPr>
            <w:r w:rsidRPr="00AF688E">
              <w:rPr>
                <w:b/>
                <w:bCs/>
              </w:rPr>
              <w:t>Decision Unit Justification</w:t>
            </w:r>
          </w:p>
          <w:p w:rsidR="00145476" w:rsidRPr="00145476" w:rsidRDefault="00145476" w:rsidP="00AF688E">
            <w:pPr>
              <w:widowControl/>
              <w:autoSpaceDE/>
              <w:autoSpaceDN/>
              <w:adjustRightInd/>
              <w:jc w:val="center"/>
              <w:rPr>
                <w:bCs/>
                <w:sz w:val="18"/>
                <w:szCs w:val="18"/>
              </w:rPr>
            </w:pPr>
            <w:r>
              <w:rPr>
                <w:bCs/>
                <w:sz w:val="18"/>
                <w:szCs w:val="18"/>
              </w:rPr>
              <w:t>(dollars in thousands)</w:t>
            </w:r>
          </w:p>
        </w:tc>
      </w:tr>
      <w:tr w:rsidR="005B4DD7" w:rsidRPr="00AF688E" w:rsidTr="005B4DD7">
        <w:trPr>
          <w:trHeight w:val="323"/>
        </w:trPr>
        <w:tc>
          <w:tcPr>
            <w:tcW w:w="5958" w:type="dxa"/>
            <w:tcBorders>
              <w:top w:val="single" w:sz="8" w:space="0" w:color="auto"/>
              <w:left w:val="single" w:sz="12" w:space="0" w:color="000080"/>
              <w:bottom w:val="nil"/>
              <w:right w:val="single" w:sz="4" w:space="0" w:color="auto"/>
            </w:tcBorders>
            <w:shd w:val="clear" w:color="000000" w:fill="FFCC99"/>
            <w:noWrap/>
            <w:vAlign w:val="bottom"/>
            <w:hideMark/>
          </w:tcPr>
          <w:p w:rsidR="00AF688E" w:rsidRPr="00891CEC" w:rsidRDefault="00AF688E" w:rsidP="00AF688E">
            <w:pPr>
              <w:widowControl/>
              <w:autoSpaceDE/>
              <w:autoSpaceDN/>
              <w:adjustRightInd/>
              <w:jc w:val="center"/>
              <w:rPr>
                <w:b/>
              </w:rPr>
            </w:pPr>
            <w:r w:rsidRPr="00891CEC">
              <w:rPr>
                <w:b/>
              </w:rPr>
              <w:t> </w:t>
            </w:r>
          </w:p>
        </w:tc>
        <w:tc>
          <w:tcPr>
            <w:tcW w:w="1170" w:type="dxa"/>
            <w:tcBorders>
              <w:top w:val="single" w:sz="8" w:space="0" w:color="auto"/>
              <w:left w:val="nil"/>
              <w:bottom w:val="nil"/>
              <w:right w:val="single" w:sz="4" w:space="0" w:color="auto"/>
            </w:tcBorders>
            <w:shd w:val="clear" w:color="000000" w:fill="FFCC99"/>
            <w:noWrap/>
            <w:vAlign w:val="bottom"/>
            <w:hideMark/>
          </w:tcPr>
          <w:p w:rsidR="00AF688E" w:rsidRPr="00891CEC" w:rsidRDefault="00971AA9" w:rsidP="00AF688E">
            <w:pPr>
              <w:widowControl/>
              <w:autoSpaceDE/>
              <w:autoSpaceDN/>
              <w:adjustRightInd/>
              <w:jc w:val="center"/>
              <w:rPr>
                <w:b/>
              </w:rPr>
            </w:pPr>
            <w:r>
              <w:rPr>
                <w:b/>
              </w:rPr>
              <w:t>Direct</w:t>
            </w:r>
          </w:p>
        </w:tc>
        <w:tc>
          <w:tcPr>
            <w:tcW w:w="1350" w:type="dxa"/>
            <w:tcBorders>
              <w:top w:val="single" w:sz="8" w:space="0" w:color="auto"/>
              <w:left w:val="nil"/>
              <w:bottom w:val="nil"/>
              <w:right w:val="single" w:sz="4" w:space="0" w:color="auto"/>
            </w:tcBorders>
            <w:shd w:val="clear" w:color="000000" w:fill="FFCC99"/>
            <w:noWrap/>
            <w:vAlign w:val="bottom"/>
            <w:hideMark/>
          </w:tcPr>
          <w:p w:rsidR="00AF688E" w:rsidRPr="00891CEC" w:rsidRDefault="00971AA9" w:rsidP="00AF688E">
            <w:pPr>
              <w:widowControl/>
              <w:autoSpaceDE/>
              <w:autoSpaceDN/>
              <w:adjustRightInd/>
              <w:jc w:val="center"/>
              <w:rPr>
                <w:b/>
              </w:rPr>
            </w:pPr>
            <w:r>
              <w:rPr>
                <w:b/>
              </w:rPr>
              <w:t>Estimate</w:t>
            </w:r>
            <w:r w:rsidR="00AF688E" w:rsidRPr="00891CEC">
              <w:rPr>
                <w:b/>
              </w:rPr>
              <w:t> </w:t>
            </w:r>
          </w:p>
        </w:tc>
        <w:tc>
          <w:tcPr>
            <w:tcW w:w="1728" w:type="dxa"/>
            <w:gridSpan w:val="2"/>
            <w:tcBorders>
              <w:top w:val="single" w:sz="8" w:space="0" w:color="auto"/>
              <w:left w:val="nil"/>
              <w:bottom w:val="nil"/>
              <w:right w:val="single" w:sz="12" w:space="0" w:color="000080"/>
            </w:tcBorders>
            <w:shd w:val="clear" w:color="000000" w:fill="FFCC99"/>
            <w:noWrap/>
            <w:vAlign w:val="bottom"/>
            <w:hideMark/>
          </w:tcPr>
          <w:p w:rsidR="00AF688E" w:rsidRPr="00891CEC" w:rsidRDefault="00AF688E" w:rsidP="00AF688E">
            <w:pPr>
              <w:widowControl/>
              <w:autoSpaceDE/>
              <w:autoSpaceDN/>
              <w:adjustRightInd/>
              <w:jc w:val="center"/>
              <w:rPr>
                <w:b/>
              </w:rPr>
            </w:pPr>
            <w:r w:rsidRPr="00891CEC">
              <w:rPr>
                <w:b/>
              </w:rPr>
              <w:t> </w:t>
            </w:r>
          </w:p>
        </w:tc>
      </w:tr>
      <w:tr w:rsidR="005B4DD7" w:rsidRPr="00AF688E" w:rsidTr="005B4DD7">
        <w:trPr>
          <w:trHeight w:val="323"/>
        </w:trPr>
        <w:tc>
          <w:tcPr>
            <w:tcW w:w="5958" w:type="dxa"/>
            <w:tcBorders>
              <w:top w:val="nil"/>
              <w:left w:val="single" w:sz="12" w:space="0" w:color="000080"/>
              <w:bottom w:val="single" w:sz="4" w:space="0" w:color="auto"/>
              <w:right w:val="single" w:sz="4" w:space="0" w:color="auto"/>
            </w:tcBorders>
            <w:shd w:val="clear" w:color="000000" w:fill="FFCC99"/>
            <w:noWrap/>
            <w:vAlign w:val="bottom"/>
            <w:hideMark/>
          </w:tcPr>
          <w:p w:rsidR="00AF688E" w:rsidRPr="00891CEC" w:rsidRDefault="00AF688E" w:rsidP="00AF688E">
            <w:pPr>
              <w:widowControl/>
              <w:autoSpaceDE/>
              <w:autoSpaceDN/>
              <w:adjustRightInd/>
              <w:jc w:val="center"/>
              <w:rPr>
                <w:b/>
              </w:rPr>
            </w:pPr>
            <w:r w:rsidRPr="00891CEC">
              <w:rPr>
                <w:b/>
              </w:rPr>
              <w:t>Decision Unit:  Antitrust - TOTAL</w:t>
            </w:r>
          </w:p>
        </w:tc>
        <w:tc>
          <w:tcPr>
            <w:tcW w:w="1170" w:type="dxa"/>
            <w:tcBorders>
              <w:top w:val="nil"/>
              <w:left w:val="nil"/>
              <w:bottom w:val="single" w:sz="4" w:space="0" w:color="auto"/>
              <w:right w:val="single" w:sz="4" w:space="0" w:color="auto"/>
            </w:tcBorders>
            <w:shd w:val="clear" w:color="000000" w:fill="FFCC99"/>
            <w:noWrap/>
            <w:vAlign w:val="bottom"/>
            <w:hideMark/>
          </w:tcPr>
          <w:p w:rsidR="00AF688E" w:rsidRPr="00891CEC" w:rsidRDefault="00AF688E" w:rsidP="00AF688E">
            <w:pPr>
              <w:widowControl/>
              <w:autoSpaceDE/>
              <w:autoSpaceDN/>
              <w:adjustRightInd/>
              <w:jc w:val="center"/>
              <w:rPr>
                <w:b/>
              </w:rPr>
            </w:pPr>
            <w:r w:rsidRPr="00891CEC">
              <w:rPr>
                <w:b/>
              </w:rPr>
              <w:t>Positions</w:t>
            </w:r>
          </w:p>
        </w:tc>
        <w:tc>
          <w:tcPr>
            <w:tcW w:w="1350" w:type="dxa"/>
            <w:tcBorders>
              <w:top w:val="nil"/>
              <w:left w:val="nil"/>
              <w:bottom w:val="single" w:sz="4" w:space="0" w:color="auto"/>
              <w:right w:val="single" w:sz="4" w:space="0" w:color="auto"/>
            </w:tcBorders>
            <w:shd w:val="clear" w:color="000000" w:fill="FFCC99"/>
            <w:noWrap/>
            <w:vAlign w:val="bottom"/>
            <w:hideMark/>
          </w:tcPr>
          <w:p w:rsidR="00AF688E" w:rsidRPr="00891CEC" w:rsidRDefault="00AF688E" w:rsidP="00AF688E">
            <w:pPr>
              <w:widowControl/>
              <w:autoSpaceDE/>
              <w:autoSpaceDN/>
              <w:adjustRightInd/>
              <w:jc w:val="center"/>
              <w:rPr>
                <w:b/>
              </w:rPr>
            </w:pPr>
            <w:r w:rsidRPr="00891CEC">
              <w:rPr>
                <w:b/>
              </w:rPr>
              <w:t>FTE</w:t>
            </w:r>
          </w:p>
        </w:tc>
        <w:tc>
          <w:tcPr>
            <w:tcW w:w="1728" w:type="dxa"/>
            <w:gridSpan w:val="2"/>
            <w:tcBorders>
              <w:top w:val="nil"/>
              <w:left w:val="nil"/>
              <w:bottom w:val="single" w:sz="4" w:space="0" w:color="auto"/>
              <w:right w:val="single" w:sz="12" w:space="0" w:color="000080"/>
            </w:tcBorders>
            <w:shd w:val="clear" w:color="000000" w:fill="FFCC99"/>
            <w:noWrap/>
            <w:vAlign w:val="bottom"/>
            <w:hideMark/>
          </w:tcPr>
          <w:p w:rsidR="00AF688E" w:rsidRPr="00891CEC" w:rsidRDefault="00AF688E" w:rsidP="00AF688E">
            <w:pPr>
              <w:widowControl/>
              <w:autoSpaceDE/>
              <w:autoSpaceDN/>
              <w:adjustRightInd/>
              <w:jc w:val="center"/>
              <w:rPr>
                <w:b/>
              </w:rPr>
            </w:pPr>
            <w:r w:rsidRPr="00891CEC">
              <w:rPr>
                <w:b/>
              </w:rPr>
              <w:t>Amount</w:t>
            </w:r>
          </w:p>
        </w:tc>
      </w:tr>
      <w:tr w:rsidR="005B4DD7" w:rsidRPr="00AF688E" w:rsidTr="005B4DD7">
        <w:trPr>
          <w:trHeight w:val="323"/>
        </w:trPr>
        <w:tc>
          <w:tcPr>
            <w:tcW w:w="5958" w:type="dxa"/>
            <w:tcBorders>
              <w:top w:val="single" w:sz="4" w:space="0" w:color="auto"/>
              <w:left w:val="single" w:sz="12" w:space="0" w:color="000080"/>
              <w:bottom w:val="single" w:sz="4" w:space="0" w:color="auto"/>
              <w:right w:val="single" w:sz="4" w:space="0" w:color="auto"/>
            </w:tcBorders>
            <w:shd w:val="clear" w:color="000000" w:fill="FFFFFF"/>
            <w:noWrap/>
            <w:vAlign w:val="bottom"/>
            <w:hideMark/>
          </w:tcPr>
          <w:p w:rsidR="00AF688E" w:rsidRPr="00AF688E" w:rsidRDefault="00AF688E" w:rsidP="00AF688E">
            <w:pPr>
              <w:widowControl/>
              <w:autoSpaceDE/>
              <w:autoSpaceDN/>
              <w:adjustRightInd/>
            </w:pPr>
            <w:r w:rsidRPr="00AF688E">
              <w:t>201</w:t>
            </w:r>
            <w:r w:rsidR="00E67A4B">
              <w:t>2</w:t>
            </w:r>
            <w:r w:rsidRPr="00AF688E">
              <w:t xml:space="preserve"> Enacted</w:t>
            </w:r>
          </w:p>
        </w:tc>
        <w:tc>
          <w:tcPr>
            <w:tcW w:w="1170" w:type="dxa"/>
            <w:tcBorders>
              <w:top w:val="single" w:sz="4" w:space="0" w:color="auto"/>
              <w:left w:val="nil"/>
              <w:bottom w:val="single" w:sz="4" w:space="0" w:color="auto"/>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880</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AF688E" w:rsidRPr="00AF688E" w:rsidRDefault="00F00C41" w:rsidP="00AF688E">
            <w:pPr>
              <w:widowControl/>
              <w:autoSpaceDE/>
              <w:autoSpaceDN/>
              <w:adjustRightInd/>
              <w:jc w:val="right"/>
            </w:pPr>
            <w:r>
              <w:t>705</w:t>
            </w:r>
          </w:p>
        </w:tc>
        <w:tc>
          <w:tcPr>
            <w:tcW w:w="1728" w:type="dxa"/>
            <w:gridSpan w:val="2"/>
            <w:tcBorders>
              <w:top w:val="single" w:sz="4" w:space="0" w:color="auto"/>
              <w:left w:val="nil"/>
              <w:bottom w:val="single" w:sz="4" w:space="0" w:color="auto"/>
              <w:right w:val="single" w:sz="12" w:space="0" w:color="000080"/>
            </w:tcBorders>
            <w:shd w:val="clear" w:color="000000" w:fill="FFFFFF"/>
            <w:noWrap/>
            <w:vAlign w:val="bottom"/>
            <w:hideMark/>
          </w:tcPr>
          <w:p w:rsidR="00AF688E" w:rsidRPr="00AF688E" w:rsidRDefault="00E62AD5" w:rsidP="00AF688E">
            <w:pPr>
              <w:widowControl/>
              <w:autoSpaceDE/>
              <w:autoSpaceDN/>
              <w:adjustRightInd/>
              <w:jc w:val="right"/>
            </w:pPr>
            <w:r>
              <w:t>$1</w:t>
            </w:r>
            <w:r w:rsidR="00E67A4B">
              <w:t>59</w:t>
            </w:r>
            <w:r>
              <w:t>,</w:t>
            </w:r>
            <w:r w:rsidR="00E67A4B">
              <w:t>587</w:t>
            </w:r>
          </w:p>
        </w:tc>
      </w:tr>
      <w:tr w:rsidR="005B4DD7" w:rsidRPr="00971AA9" w:rsidTr="005B4DD7">
        <w:trPr>
          <w:trHeight w:val="323"/>
        </w:trPr>
        <w:tc>
          <w:tcPr>
            <w:tcW w:w="5958" w:type="dxa"/>
            <w:tcBorders>
              <w:top w:val="single" w:sz="4" w:space="0" w:color="auto"/>
              <w:left w:val="single" w:sz="12" w:space="0" w:color="000080"/>
              <w:bottom w:val="single" w:sz="4" w:space="0" w:color="auto"/>
              <w:right w:val="single" w:sz="4" w:space="0" w:color="auto"/>
            </w:tcBorders>
            <w:shd w:val="clear" w:color="000000" w:fill="FFFFFF"/>
            <w:noWrap/>
            <w:vAlign w:val="bottom"/>
            <w:hideMark/>
          </w:tcPr>
          <w:p w:rsidR="00971AA9" w:rsidRPr="00971AA9" w:rsidRDefault="00971AA9" w:rsidP="00E67A4B">
            <w:pPr>
              <w:widowControl/>
              <w:autoSpaceDE/>
              <w:autoSpaceDN/>
              <w:adjustRightInd/>
            </w:pPr>
            <w:r>
              <w:t>2013 Continuing Resolution 0.612% Increase</w:t>
            </w:r>
          </w:p>
        </w:tc>
        <w:tc>
          <w:tcPr>
            <w:tcW w:w="1170" w:type="dxa"/>
            <w:tcBorders>
              <w:top w:val="single" w:sz="4" w:space="0" w:color="auto"/>
              <w:left w:val="nil"/>
              <w:bottom w:val="single" w:sz="4" w:space="0" w:color="auto"/>
              <w:right w:val="single" w:sz="4" w:space="0" w:color="auto"/>
            </w:tcBorders>
            <w:shd w:val="clear" w:color="000000" w:fill="FFFFFF"/>
            <w:noWrap/>
            <w:vAlign w:val="bottom"/>
            <w:hideMark/>
          </w:tcPr>
          <w:p w:rsidR="00971AA9" w:rsidRPr="00AF688E" w:rsidRDefault="00F252FE" w:rsidP="00AF688E">
            <w:pPr>
              <w:widowControl/>
              <w:autoSpaceDE/>
              <w:autoSpaceDN/>
              <w:adjustRightInd/>
              <w:jc w:val="right"/>
            </w:pPr>
            <w:r>
              <w:t>880</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971AA9" w:rsidRPr="00AF688E" w:rsidRDefault="00F252FE" w:rsidP="00AF688E">
            <w:pPr>
              <w:widowControl/>
              <w:autoSpaceDE/>
              <w:autoSpaceDN/>
              <w:adjustRightInd/>
              <w:jc w:val="right"/>
            </w:pPr>
            <w:r>
              <w:t>676</w:t>
            </w:r>
          </w:p>
        </w:tc>
        <w:tc>
          <w:tcPr>
            <w:tcW w:w="1728" w:type="dxa"/>
            <w:gridSpan w:val="2"/>
            <w:tcBorders>
              <w:top w:val="single" w:sz="4" w:space="0" w:color="auto"/>
              <w:left w:val="nil"/>
              <w:bottom w:val="single" w:sz="4" w:space="0" w:color="auto"/>
              <w:right w:val="single" w:sz="12" w:space="0" w:color="000080"/>
            </w:tcBorders>
            <w:shd w:val="clear" w:color="000000" w:fill="FFFFFF"/>
            <w:noWrap/>
            <w:vAlign w:val="bottom"/>
            <w:hideMark/>
          </w:tcPr>
          <w:p w:rsidR="00971AA9" w:rsidRPr="00971AA9" w:rsidRDefault="00825969" w:rsidP="00AF688E">
            <w:pPr>
              <w:widowControl/>
              <w:autoSpaceDE/>
              <w:autoSpaceDN/>
              <w:adjustRightInd/>
              <w:jc w:val="right"/>
            </w:pPr>
            <w:r>
              <w:t>$</w:t>
            </w:r>
            <w:r w:rsidR="005B4DD7">
              <w:t>977</w:t>
            </w:r>
          </w:p>
        </w:tc>
      </w:tr>
      <w:tr w:rsidR="005B4DD7" w:rsidRPr="00971AA9" w:rsidTr="005B4DD7">
        <w:trPr>
          <w:trHeight w:val="323"/>
        </w:trPr>
        <w:tc>
          <w:tcPr>
            <w:tcW w:w="5958" w:type="dxa"/>
            <w:tcBorders>
              <w:top w:val="single" w:sz="4" w:space="0" w:color="auto"/>
              <w:left w:val="single" w:sz="12" w:space="0" w:color="000080"/>
              <w:bottom w:val="single" w:sz="4" w:space="0" w:color="000080"/>
              <w:right w:val="single" w:sz="4" w:space="0" w:color="auto"/>
            </w:tcBorders>
            <w:shd w:val="clear" w:color="000000" w:fill="FFFFFF"/>
            <w:noWrap/>
            <w:vAlign w:val="bottom"/>
            <w:hideMark/>
          </w:tcPr>
          <w:p w:rsidR="00AF688E" w:rsidRPr="00A16EDB" w:rsidRDefault="00AF688E" w:rsidP="00AF688E">
            <w:pPr>
              <w:widowControl/>
              <w:autoSpaceDE/>
              <w:autoSpaceDN/>
              <w:adjustRightInd/>
              <w:rPr>
                <w:bCs/>
              </w:rPr>
            </w:pPr>
            <w:r w:rsidRPr="00A16EDB">
              <w:rPr>
                <w:bCs/>
              </w:rPr>
              <w:t>Base and Technical Adjustments</w:t>
            </w:r>
          </w:p>
        </w:tc>
        <w:tc>
          <w:tcPr>
            <w:tcW w:w="1170" w:type="dxa"/>
            <w:tcBorders>
              <w:top w:val="single" w:sz="4" w:space="0" w:color="auto"/>
              <w:left w:val="nil"/>
              <w:bottom w:val="single" w:sz="4" w:space="0" w:color="auto"/>
              <w:right w:val="single" w:sz="4" w:space="0" w:color="auto"/>
            </w:tcBorders>
            <w:shd w:val="clear" w:color="000000" w:fill="FFFFFF"/>
            <w:noWrap/>
            <w:vAlign w:val="bottom"/>
            <w:hideMark/>
          </w:tcPr>
          <w:p w:rsidR="00AF688E" w:rsidRPr="00A16EDB" w:rsidRDefault="003853BD" w:rsidP="00AF688E">
            <w:pPr>
              <w:widowControl/>
              <w:autoSpaceDE/>
              <w:autoSpaceDN/>
              <w:adjustRightInd/>
              <w:jc w:val="right"/>
            </w:pPr>
            <w:r w:rsidRPr="00A16EDB">
              <w:t>0</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AF688E" w:rsidRPr="00A16EDB" w:rsidRDefault="003853BD" w:rsidP="00AF688E">
            <w:pPr>
              <w:widowControl/>
              <w:autoSpaceDE/>
              <w:autoSpaceDN/>
              <w:adjustRightInd/>
              <w:jc w:val="right"/>
            </w:pPr>
            <w:r w:rsidRPr="00A16EDB">
              <w:t>0</w:t>
            </w:r>
          </w:p>
        </w:tc>
        <w:tc>
          <w:tcPr>
            <w:tcW w:w="1728" w:type="dxa"/>
            <w:gridSpan w:val="2"/>
            <w:tcBorders>
              <w:top w:val="single" w:sz="4" w:space="0" w:color="auto"/>
              <w:left w:val="nil"/>
              <w:bottom w:val="single" w:sz="4" w:space="0" w:color="auto"/>
              <w:right w:val="single" w:sz="12" w:space="0" w:color="000080"/>
            </w:tcBorders>
            <w:shd w:val="clear" w:color="000000" w:fill="FFFFFF"/>
            <w:noWrap/>
            <w:vAlign w:val="bottom"/>
            <w:hideMark/>
          </w:tcPr>
          <w:p w:rsidR="00AF688E" w:rsidRPr="00971AA9" w:rsidRDefault="00A52609" w:rsidP="00AF688E">
            <w:pPr>
              <w:widowControl/>
              <w:autoSpaceDE/>
              <w:autoSpaceDN/>
              <w:adjustRightInd/>
              <w:jc w:val="right"/>
              <w:rPr>
                <w:bCs/>
              </w:rPr>
            </w:pPr>
            <w:r w:rsidRPr="00971AA9">
              <w:rPr>
                <w:bCs/>
              </w:rPr>
              <w:t>$</w:t>
            </w:r>
            <w:r w:rsidR="005B4DD7">
              <w:rPr>
                <w:bCs/>
              </w:rPr>
              <w:t>-154</w:t>
            </w:r>
          </w:p>
        </w:tc>
      </w:tr>
      <w:tr w:rsidR="005B4DD7" w:rsidRPr="00971AA9" w:rsidTr="005B4DD7">
        <w:trPr>
          <w:trHeight w:val="323"/>
        </w:trPr>
        <w:tc>
          <w:tcPr>
            <w:tcW w:w="5958" w:type="dxa"/>
            <w:tcBorders>
              <w:top w:val="single" w:sz="4" w:space="0" w:color="000080"/>
              <w:left w:val="single" w:sz="12" w:space="0" w:color="000080"/>
              <w:bottom w:val="single" w:sz="4" w:space="0" w:color="auto"/>
              <w:right w:val="single" w:sz="4" w:space="0" w:color="auto"/>
            </w:tcBorders>
            <w:shd w:val="clear" w:color="000000" w:fill="FFFFFF"/>
            <w:noWrap/>
            <w:vAlign w:val="bottom"/>
            <w:hideMark/>
          </w:tcPr>
          <w:p w:rsidR="00AF688E" w:rsidRPr="00AF688E" w:rsidRDefault="00AF688E" w:rsidP="00AF688E">
            <w:pPr>
              <w:widowControl/>
              <w:autoSpaceDE/>
              <w:autoSpaceDN/>
              <w:adjustRightInd/>
            </w:pPr>
            <w:r w:rsidRPr="00AF688E">
              <w:t>201</w:t>
            </w:r>
            <w:r w:rsidR="00E67A4B">
              <w:t>4</w:t>
            </w:r>
            <w:r w:rsidRPr="00AF688E">
              <w:t xml:space="preserve"> Current Services</w:t>
            </w:r>
          </w:p>
        </w:tc>
        <w:tc>
          <w:tcPr>
            <w:tcW w:w="1170" w:type="dxa"/>
            <w:tcBorders>
              <w:top w:val="nil"/>
              <w:left w:val="nil"/>
              <w:bottom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w:t>
            </w:r>
            <w:r w:rsidR="00A16EDB">
              <w:t>8</w:t>
            </w:r>
            <w:r w:rsidRPr="00AF688E">
              <w:t>0</w:t>
            </w:r>
          </w:p>
        </w:tc>
        <w:tc>
          <w:tcPr>
            <w:tcW w:w="1350" w:type="dxa"/>
            <w:tcBorders>
              <w:top w:val="nil"/>
              <w:left w:val="nil"/>
              <w:bottom w:val="nil"/>
              <w:right w:val="single" w:sz="4" w:space="0" w:color="auto"/>
            </w:tcBorders>
            <w:shd w:val="clear" w:color="000000" w:fill="FFFFFF"/>
            <w:noWrap/>
            <w:vAlign w:val="bottom"/>
            <w:hideMark/>
          </w:tcPr>
          <w:p w:rsidR="00AF688E" w:rsidRPr="00AF688E" w:rsidRDefault="005B4DD7" w:rsidP="00AF688E">
            <w:pPr>
              <w:widowControl/>
              <w:autoSpaceDE/>
              <w:autoSpaceDN/>
              <w:adjustRightInd/>
              <w:jc w:val="right"/>
            </w:pPr>
            <w:r>
              <w:t>676</w:t>
            </w:r>
          </w:p>
        </w:tc>
        <w:tc>
          <w:tcPr>
            <w:tcW w:w="1728" w:type="dxa"/>
            <w:gridSpan w:val="2"/>
            <w:tcBorders>
              <w:top w:val="nil"/>
              <w:left w:val="nil"/>
              <w:bottom w:val="nil"/>
              <w:right w:val="single" w:sz="12" w:space="0" w:color="000080"/>
            </w:tcBorders>
            <w:shd w:val="clear" w:color="000000" w:fill="FFFFFF"/>
            <w:noWrap/>
            <w:vAlign w:val="bottom"/>
            <w:hideMark/>
          </w:tcPr>
          <w:p w:rsidR="00AF688E" w:rsidRPr="00971AA9" w:rsidRDefault="00A52609" w:rsidP="00AF688E">
            <w:pPr>
              <w:widowControl/>
              <w:autoSpaceDE/>
              <w:autoSpaceDN/>
              <w:adjustRightInd/>
              <w:jc w:val="right"/>
            </w:pPr>
            <w:r w:rsidRPr="00971AA9">
              <w:t>$16</w:t>
            </w:r>
            <w:r w:rsidR="005B4DD7">
              <w:t>0</w:t>
            </w:r>
            <w:r w:rsidRPr="00971AA9">
              <w:t>,</w:t>
            </w:r>
            <w:r w:rsidR="005B4DD7">
              <w:t>410</w:t>
            </w:r>
          </w:p>
        </w:tc>
      </w:tr>
      <w:tr w:rsidR="005B4DD7" w:rsidRPr="00AF688E" w:rsidTr="005B4DD7">
        <w:trPr>
          <w:trHeight w:val="323"/>
        </w:trPr>
        <w:tc>
          <w:tcPr>
            <w:tcW w:w="5958" w:type="dxa"/>
            <w:tcBorders>
              <w:top w:val="single" w:sz="4" w:space="0" w:color="auto"/>
              <w:left w:val="single" w:sz="12" w:space="0" w:color="000080"/>
              <w:right w:val="single" w:sz="4" w:space="0" w:color="auto"/>
            </w:tcBorders>
            <w:shd w:val="clear" w:color="000000" w:fill="FFFFFF"/>
            <w:noWrap/>
            <w:vAlign w:val="bottom"/>
            <w:hideMark/>
          </w:tcPr>
          <w:p w:rsidR="00A16EDB" w:rsidRPr="00AF688E" w:rsidRDefault="00A16EDB" w:rsidP="00AF688E">
            <w:pPr>
              <w:widowControl/>
              <w:autoSpaceDE/>
              <w:autoSpaceDN/>
              <w:adjustRightInd/>
            </w:pPr>
            <w:r>
              <w:t>2014 Program Changes</w:t>
            </w:r>
          </w:p>
        </w:tc>
        <w:tc>
          <w:tcPr>
            <w:tcW w:w="1170" w:type="dxa"/>
            <w:tcBorders>
              <w:top w:val="single" w:sz="4" w:space="0" w:color="000080"/>
              <w:left w:val="nil"/>
              <w:right w:val="single" w:sz="4" w:space="0" w:color="auto"/>
            </w:tcBorders>
            <w:shd w:val="clear" w:color="000000" w:fill="FFFFFF"/>
            <w:noWrap/>
            <w:vAlign w:val="bottom"/>
            <w:hideMark/>
          </w:tcPr>
          <w:p w:rsidR="00A16EDB" w:rsidRPr="00AF688E" w:rsidRDefault="00A16EDB" w:rsidP="00AF688E">
            <w:pPr>
              <w:widowControl/>
              <w:autoSpaceDE/>
              <w:autoSpaceDN/>
              <w:adjustRightInd/>
              <w:jc w:val="right"/>
            </w:pPr>
            <w:r>
              <w:t>-50</w:t>
            </w:r>
          </w:p>
        </w:tc>
        <w:tc>
          <w:tcPr>
            <w:tcW w:w="1350" w:type="dxa"/>
            <w:tcBorders>
              <w:top w:val="single" w:sz="4" w:space="0" w:color="000080"/>
              <w:left w:val="nil"/>
              <w:right w:val="single" w:sz="4" w:space="0" w:color="auto"/>
            </w:tcBorders>
            <w:shd w:val="clear" w:color="000000" w:fill="FFFFFF"/>
            <w:noWrap/>
            <w:vAlign w:val="bottom"/>
            <w:hideMark/>
          </w:tcPr>
          <w:p w:rsidR="00A16EDB" w:rsidRPr="00AF688E" w:rsidRDefault="005B4DD7" w:rsidP="00AF688E">
            <w:pPr>
              <w:widowControl/>
              <w:autoSpaceDE/>
              <w:autoSpaceDN/>
              <w:adjustRightInd/>
              <w:jc w:val="right"/>
            </w:pPr>
            <w:r>
              <w:t>0</w:t>
            </w:r>
          </w:p>
        </w:tc>
        <w:tc>
          <w:tcPr>
            <w:tcW w:w="1728" w:type="dxa"/>
            <w:gridSpan w:val="2"/>
            <w:tcBorders>
              <w:top w:val="single" w:sz="4" w:space="0" w:color="000080"/>
              <w:left w:val="nil"/>
              <w:right w:val="single" w:sz="12" w:space="0" w:color="000080"/>
            </w:tcBorders>
            <w:shd w:val="clear" w:color="000000" w:fill="FFFFFF"/>
            <w:noWrap/>
            <w:vAlign w:val="bottom"/>
            <w:hideMark/>
          </w:tcPr>
          <w:p w:rsidR="00A16EDB" w:rsidRPr="00A16EDB" w:rsidRDefault="00A16EDB" w:rsidP="00AF688E">
            <w:pPr>
              <w:widowControl/>
              <w:autoSpaceDE/>
              <w:autoSpaceDN/>
              <w:adjustRightInd/>
              <w:jc w:val="right"/>
              <w:rPr>
                <w:bCs/>
              </w:rPr>
            </w:pPr>
            <w:r w:rsidRPr="00A16EDB">
              <w:rPr>
                <w:bCs/>
              </w:rPr>
              <w:t>$0</w:t>
            </w:r>
          </w:p>
        </w:tc>
      </w:tr>
      <w:tr w:rsidR="005B4DD7" w:rsidRPr="00AF688E" w:rsidTr="005B4DD7">
        <w:trPr>
          <w:trHeight w:val="323"/>
        </w:trPr>
        <w:tc>
          <w:tcPr>
            <w:tcW w:w="5958" w:type="dxa"/>
            <w:tcBorders>
              <w:top w:val="single" w:sz="4" w:space="0" w:color="auto"/>
              <w:left w:val="single" w:sz="12" w:space="0" w:color="000080"/>
              <w:right w:val="single" w:sz="4" w:space="0" w:color="auto"/>
            </w:tcBorders>
            <w:shd w:val="clear" w:color="000000" w:fill="FFFFFF"/>
            <w:noWrap/>
            <w:vAlign w:val="bottom"/>
            <w:hideMark/>
          </w:tcPr>
          <w:p w:rsidR="00AF688E" w:rsidRPr="00AF688E" w:rsidRDefault="00AF688E" w:rsidP="00AF688E">
            <w:pPr>
              <w:widowControl/>
              <w:autoSpaceDE/>
              <w:autoSpaceDN/>
              <w:adjustRightInd/>
            </w:pPr>
            <w:r w:rsidRPr="00AF688E">
              <w:t>201</w:t>
            </w:r>
            <w:r w:rsidR="00E67A4B">
              <w:t>4</w:t>
            </w:r>
            <w:r w:rsidRPr="00AF688E">
              <w:t xml:space="preserve"> Request</w:t>
            </w:r>
          </w:p>
        </w:tc>
        <w:tc>
          <w:tcPr>
            <w:tcW w:w="1170" w:type="dxa"/>
            <w:tcBorders>
              <w:top w:val="single" w:sz="4" w:space="0" w:color="000080"/>
              <w:left w:val="nil"/>
              <w:right w:val="single" w:sz="4" w:space="0" w:color="auto"/>
            </w:tcBorders>
            <w:shd w:val="clear" w:color="000000" w:fill="FFFFFF"/>
            <w:noWrap/>
            <w:vAlign w:val="bottom"/>
            <w:hideMark/>
          </w:tcPr>
          <w:p w:rsidR="00AF688E" w:rsidRPr="00AF688E" w:rsidRDefault="00AF688E" w:rsidP="00AF688E">
            <w:pPr>
              <w:widowControl/>
              <w:autoSpaceDE/>
              <w:autoSpaceDN/>
              <w:adjustRightInd/>
              <w:jc w:val="right"/>
            </w:pPr>
            <w:r w:rsidRPr="00AF688E">
              <w:t>8</w:t>
            </w:r>
            <w:r w:rsidR="003853BD">
              <w:t>3</w:t>
            </w:r>
            <w:r w:rsidRPr="00AF688E">
              <w:t>0</w:t>
            </w:r>
          </w:p>
        </w:tc>
        <w:tc>
          <w:tcPr>
            <w:tcW w:w="1350" w:type="dxa"/>
            <w:tcBorders>
              <w:top w:val="single" w:sz="4" w:space="0" w:color="000080"/>
              <w:left w:val="nil"/>
              <w:right w:val="single" w:sz="4" w:space="0" w:color="auto"/>
            </w:tcBorders>
            <w:shd w:val="clear" w:color="000000" w:fill="FFFFFF"/>
            <w:noWrap/>
            <w:vAlign w:val="center"/>
            <w:hideMark/>
          </w:tcPr>
          <w:p w:rsidR="007E37AD" w:rsidRDefault="005B4DD7">
            <w:pPr>
              <w:widowControl/>
              <w:autoSpaceDE/>
              <w:autoSpaceDN/>
              <w:adjustRightInd/>
              <w:jc w:val="right"/>
            </w:pPr>
            <w:r>
              <w:t>676</w:t>
            </w:r>
          </w:p>
        </w:tc>
        <w:tc>
          <w:tcPr>
            <w:tcW w:w="1728" w:type="dxa"/>
            <w:gridSpan w:val="2"/>
            <w:tcBorders>
              <w:top w:val="single" w:sz="4" w:space="0" w:color="000080"/>
              <w:left w:val="nil"/>
              <w:right w:val="single" w:sz="12" w:space="0" w:color="000080"/>
            </w:tcBorders>
            <w:shd w:val="clear" w:color="000000" w:fill="FFFFFF"/>
            <w:noWrap/>
            <w:vAlign w:val="bottom"/>
            <w:hideMark/>
          </w:tcPr>
          <w:p w:rsidR="00AF688E" w:rsidRPr="00AF688E" w:rsidRDefault="00AF688E" w:rsidP="00AF688E">
            <w:pPr>
              <w:widowControl/>
              <w:autoSpaceDE/>
              <w:autoSpaceDN/>
              <w:adjustRightInd/>
              <w:jc w:val="right"/>
              <w:rPr>
                <w:b/>
                <w:bCs/>
              </w:rPr>
            </w:pPr>
            <w:r w:rsidRPr="00AF688E">
              <w:rPr>
                <w:b/>
                <w:bCs/>
              </w:rPr>
              <w:t>$1</w:t>
            </w:r>
            <w:r w:rsidR="005B4DD7">
              <w:rPr>
                <w:b/>
                <w:bCs/>
              </w:rPr>
              <w:t>60</w:t>
            </w:r>
            <w:r w:rsidRPr="00AF688E">
              <w:rPr>
                <w:b/>
                <w:bCs/>
              </w:rPr>
              <w:t>,</w:t>
            </w:r>
            <w:r w:rsidR="005B4DD7">
              <w:rPr>
                <w:b/>
                <w:bCs/>
              </w:rPr>
              <w:t>410</w:t>
            </w:r>
          </w:p>
        </w:tc>
      </w:tr>
      <w:tr w:rsidR="005B4DD7" w:rsidRPr="00AF688E" w:rsidTr="005B4DD7">
        <w:trPr>
          <w:trHeight w:val="337"/>
        </w:trPr>
        <w:tc>
          <w:tcPr>
            <w:tcW w:w="5958" w:type="dxa"/>
            <w:tcBorders>
              <w:top w:val="nil"/>
              <w:left w:val="single" w:sz="12" w:space="0" w:color="000080"/>
              <w:bottom w:val="single" w:sz="18" w:space="0" w:color="auto"/>
              <w:right w:val="single" w:sz="4" w:space="0" w:color="auto"/>
            </w:tcBorders>
            <w:shd w:val="clear" w:color="000000" w:fill="FFCC99"/>
            <w:noWrap/>
            <w:vAlign w:val="bottom"/>
            <w:hideMark/>
          </w:tcPr>
          <w:p w:rsidR="00AF688E" w:rsidRPr="00AF688E" w:rsidRDefault="00AF688E" w:rsidP="00AF688E">
            <w:pPr>
              <w:widowControl/>
              <w:autoSpaceDE/>
              <w:autoSpaceDN/>
              <w:adjustRightInd/>
              <w:rPr>
                <w:b/>
                <w:bCs/>
              </w:rPr>
            </w:pPr>
            <w:r w:rsidRPr="00AF688E">
              <w:rPr>
                <w:b/>
                <w:bCs/>
              </w:rPr>
              <w:t>Total Change  201</w:t>
            </w:r>
            <w:r w:rsidR="00971AA9">
              <w:rPr>
                <w:b/>
                <w:bCs/>
              </w:rPr>
              <w:t>2</w:t>
            </w:r>
            <w:r w:rsidRPr="00AF688E">
              <w:rPr>
                <w:b/>
                <w:bCs/>
              </w:rPr>
              <w:t xml:space="preserve"> - 201</w:t>
            </w:r>
            <w:r w:rsidR="00E67A4B">
              <w:rPr>
                <w:b/>
                <w:bCs/>
              </w:rPr>
              <w:t>4</w:t>
            </w:r>
          </w:p>
        </w:tc>
        <w:tc>
          <w:tcPr>
            <w:tcW w:w="1170" w:type="dxa"/>
            <w:tcBorders>
              <w:top w:val="nil"/>
              <w:left w:val="nil"/>
              <w:bottom w:val="single" w:sz="18" w:space="0" w:color="auto"/>
              <w:right w:val="single" w:sz="4" w:space="0" w:color="auto"/>
            </w:tcBorders>
            <w:shd w:val="clear" w:color="000000" w:fill="FFCC99"/>
            <w:noWrap/>
            <w:vAlign w:val="bottom"/>
            <w:hideMark/>
          </w:tcPr>
          <w:p w:rsidR="00AF688E" w:rsidRPr="00AF688E" w:rsidRDefault="00F57805" w:rsidP="00AF688E">
            <w:pPr>
              <w:widowControl/>
              <w:autoSpaceDE/>
              <w:autoSpaceDN/>
              <w:adjustRightInd/>
              <w:jc w:val="right"/>
              <w:rPr>
                <w:b/>
                <w:bCs/>
              </w:rPr>
            </w:pPr>
            <w:r>
              <w:rPr>
                <w:b/>
                <w:bCs/>
              </w:rPr>
              <w:t>-50</w:t>
            </w:r>
          </w:p>
        </w:tc>
        <w:tc>
          <w:tcPr>
            <w:tcW w:w="1350" w:type="dxa"/>
            <w:tcBorders>
              <w:top w:val="nil"/>
              <w:left w:val="nil"/>
              <w:bottom w:val="single" w:sz="18" w:space="0" w:color="auto"/>
              <w:right w:val="single" w:sz="4" w:space="0" w:color="auto"/>
            </w:tcBorders>
            <w:shd w:val="clear" w:color="000000" w:fill="FFCC99"/>
            <w:noWrap/>
            <w:vAlign w:val="bottom"/>
            <w:hideMark/>
          </w:tcPr>
          <w:p w:rsidR="00AF688E" w:rsidRPr="00AF688E" w:rsidRDefault="00F57805" w:rsidP="00AF688E">
            <w:pPr>
              <w:widowControl/>
              <w:autoSpaceDE/>
              <w:autoSpaceDN/>
              <w:adjustRightInd/>
              <w:jc w:val="right"/>
              <w:rPr>
                <w:b/>
                <w:bCs/>
              </w:rPr>
            </w:pPr>
            <w:r>
              <w:rPr>
                <w:b/>
                <w:bCs/>
              </w:rPr>
              <w:t>-</w:t>
            </w:r>
            <w:r w:rsidR="00F00C41">
              <w:rPr>
                <w:b/>
                <w:bCs/>
              </w:rPr>
              <w:t>29</w:t>
            </w:r>
          </w:p>
        </w:tc>
        <w:tc>
          <w:tcPr>
            <w:tcW w:w="1728" w:type="dxa"/>
            <w:gridSpan w:val="2"/>
            <w:tcBorders>
              <w:top w:val="nil"/>
              <w:left w:val="nil"/>
              <w:bottom w:val="single" w:sz="18" w:space="0" w:color="auto"/>
              <w:right w:val="single" w:sz="12" w:space="0" w:color="000080"/>
            </w:tcBorders>
            <w:shd w:val="clear" w:color="000000" w:fill="FFCC99"/>
            <w:noWrap/>
            <w:vAlign w:val="bottom"/>
            <w:hideMark/>
          </w:tcPr>
          <w:p w:rsidR="00AF688E" w:rsidRPr="00AF688E" w:rsidRDefault="00AF688E" w:rsidP="00AF688E">
            <w:pPr>
              <w:widowControl/>
              <w:autoSpaceDE/>
              <w:autoSpaceDN/>
              <w:adjustRightInd/>
              <w:jc w:val="right"/>
              <w:rPr>
                <w:b/>
                <w:bCs/>
              </w:rPr>
            </w:pPr>
            <w:r w:rsidRPr="00AF688E">
              <w:rPr>
                <w:b/>
                <w:bCs/>
              </w:rPr>
              <w:t>$</w:t>
            </w:r>
            <w:r w:rsidR="00415C91">
              <w:rPr>
                <w:b/>
                <w:bCs/>
              </w:rPr>
              <w:t>823</w:t>
            </w:r>
          </w:p>
        </w:tc>
      </w:tr>
      <w:tr w:rsidR="005B4DD7" w:rsidRPr="00AF688E" w:rsidTr="005B4DD7">
        <w:trPr>
          <w:trHeight w:val="337"/>
        </w:trPr>
        <w:tc>
          <w:tcPr>
            <w:tcW w:w="5958" w:type="dxa"/>
            <w:tcBorders>
              <w:top w:val="single" w:sz="18" w:space="0" w:color="auto"/>
              <w:left w:val="single" w:sz="12" w:space="0" w:color="000080"/>
              <w:bottom w:val="single" w:sz="4" w:space="0" w:color="auto"/>
              <w:right w:val="single" w:sz="4" w:space="0" w:color="auto"/>
            </w:tcBorders>
            <w:shd w:val="clear" w:color="000000" w:fill="FFCC99"/>
            <w:noWrap/>
            <w:vAlign w:val="bottom"/>
            <w:hideMark/>
          </w:tcPr>
          <w:p w:rsidR="00891CEC" w:rsidRPr="00891CEC" w:rsidRDefault="00891CEC" w:rsidP="00AF688E">
            <w:pPr>
              <w:widowControl/>
              <w:autoSpaceDE/>
              <w:autoSpaceDN/>
              <w:adjustRightInd/>
              <w:rPr>
                <w:b/>
                <w:bCs/>
              </w:rPr>
            </w:pPr>
            <w:r w:rsidRPr="00891CEC">
              <w:rPr>
                <w:b/>
                <w:bCs/>
              </w:rPr>
              <w:t>Antitrust Division – Information Technology Breakout (of Decision Unit Total)</w:t>
            </w:r>
          </w:p>
        </w:tc>
        <w:tc>
          <w:tcPr>
            <w:tcW w:w="1170" w:type="dxa"/>
            <w:tcBorders>
              <w:top w:val="single" w:sz="18" w:space="0" w:color="auto"/>
              <w:left w:val="nil"/>
              <w:bottom w:val="single" w:sz="4" w:space="0" w:color="auto"/>
              <w:right w:val="single" w:sz="4" w:space="0" w:color="auto"/>
            </w:tcBorders>
            <w:shd w:val="clear" w:color="000000" w:fill="FFCC99"/>
            <w:noWrap/>
            <w:vAlign w:val="bottom"/>
            <w:hideMark/>
          </w:tcPr>
          <w:p w:rsidR="00891CEC" w:rsidRPr="00AF688E" w:rsidRDefault="00891CEC" w:rsidP="00AF688E">
            <w:pPr>
              <w:widowControl/>
              <w:autoSpaceDE/>
              <w:autoSpaceDN/>
              <w:adjustRightInd/>
              <w:jc w:val="right"/>
              <w:rPr>
                <w:b/>
                <w:bCs/>
              </w:rPr>
            </w:pPr>
          </w:p>
        </w:tc>
        <w:tc>
          <w:tcPr>
            <w:tcW w:w="1350" w:type="dxa"/>
            <w:tcBorders>
              <w:top w:val="single" w:sz="18" w:space="0" w:color="auto"/>
              <w:left w:val="nil"/>
              <w:bottom w:val="single" w:sz="4" w:space="0" w:color="auto"/>
              <w:right w:val="single" w:sz="4" w:space="0" w:color="auto"/>
            </w:tcBorders>
            <w:shd w:val="clear" w:color="000000" w:fill="FFCC99"/>
            <w:noWrap/>
            <w:vAlign w:val="bottom"/>
            <w:hideMark/>
          </w:tcPr>
          <w:p w:rsidR="00891CEC" w:rsidRPr="00AF688E" w:rsidRDefault="00891CEC" w:rsidP="00AF688E">
            <w:pPr>
              <w:widowControl/>
              <w:autoSpaceDE/>
              <w:autoSpaceDN/>
              <w:adjustRightInd/>
              <w:jc w:val="right"/>
              <w:rPr>
                <w:b/>
                <w:bCs/>
              </w:rPr>
            </w:pPr>
          </w:p>
        </w:tc>
        <w:tc>
          <w:tcPr>
            <w:tcW w:w="1728" w:type="dxa"/>
            <w:gridSpan w:val="2"/>
            <w:tcBorders>
              <w:top w:val="single" w:sz="18" w:space="0" w:color="auto"/>
              <w:left w:val="nil"/>
              <w:bottom w:val="single" w:sz="4" w:space="0" w:color="auto"/>
              <w:right w:val="single" w:sz="12" w:space="0" w:color="000080"/>
            </w:tcBorders>
            <w:shd w:val="clear" w:color="000000" w:fill="FFCC99"/>
            <w:noWrap/>
            <w:vAlign w:val="bottom"/>
            <w:hideMark/>
          </w:tcPr>
          <w:p w:rsidR="00891CEC" w:rsidRPr="00AF688E" w:rsidRDefault="00891CEC" w:rsidP="00AF688E">
            <w:pPr>
              <w:widowControl/>
              <w:autoSpaceDE/>
              <w:autoSpaceDN/>
              <w:adjustRightInd/>
              <w:jc w:val="right"/>
              <w:rPr>
                <w:b/>
                <w:bCs/>
              </w:rPr>
            </w:pPr>
          </w:p>
        </w:tc>
      </w:tr>
      <w:tr w:rsidR="005B4DD7" w:rsidRPr="00AF688E" w:rsidTr="005B4DD7">
        <w:trPr>
          <w:trHeight w:val="337"/>
        </w:trPr>
        <w:tc>
          <w:tcPr>
            <w:tcW w:w="5958" w:type="dxa"/>
            <w:tcBorders>
              <w:top w:val="single" w:sz="4" w:space="0" w:color="auto"/>
              <w:left w:val="single" w:sz="12" w:space="0" w:color="000080"/>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rPr>
                <w:bCs/>
              </w:rPr>
            </w:pPr>
            <w:r w:rsidRPr="00891CEC">
              <w:t>2012 Enacted</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jc w:val="right"/>
              <w:rPr>
                <w:b/>
                <w:bCs/>
              </w:rPr>
            </w:pPr>
            <w:r w:rsidRPr="00891CEC">
              <w:t>38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jc w:val="right"/>
              <w:rPr>
                <w:b/>
                <w:bCs/>
              </w:rPr>
            </w:pPr>
            <w:r w:rsidRPr="00891CEC">
              <w:t>36</w:t>
            </w:r>
          </w:p>
        </w:tc>
        <w:tc>
          <w:tcPr>
            <w:tcW w:w="1728" w:type="dxa"/>
            <w:gridSpan w:val="2"/>
            <w:tcBorders>
              <w:top w:val="single" w:sz="4" w:space="0" w:color="auto"/>
              <w:left w:val="nil"/>
              <w:bottom w:val="single" w:sz="4" w:space="0" w:color="auto"/>
              <w:right w:val="single" w:sz="12" w:space="0" w:color="000080"/>
            </w:tcBorders>
            <w:shd w:val="clear" w:color="auto" w:fill="auto"/>
            <w:noWrap/>
            <w:vAlign w:val="bottom"/>
            <w:hideMark/>
          </w:tcPr>
          <w:p w:rsidR="00891CEC" w:rsidRPr="00891CEC" w:rsidRDefault="00891CEC" w:rsidP="00891CEC">
            <w:pPr>
              <w:widowControl/>
              <w:autoSpaceDE/>
              <w:autoSpaceDN/>
              <w:adjustRightInd/>
              <w:jc w:val="right"/>
              <w:rPr>
                <w:bCs/>
              </w:rPr>
            </w:pPr>
            <w:r w:rsidRPr="00891CEC">
              <w:rPr>
                <w:bCs/>
              </w:rPr>
              <w:t>$24,678</w:t>
            </w:r>
          </w:p>
        </w:tc>
      </w:tr>
      <w:tr w:rsidR="00825969" w:rsidRPr="00AF688E" w:rsidTr="005B4DD7">
        <w:trPr>
          <w:trHeight w:val="337"/>
        </w:trPr>
        <w:tc>
          <w:tcPr>
            <w:tcW w:w="5958" w:type="dxa"/>
            <w:tcBorders>
              <w:top w:val="single" w:sz="4" w:space="0" w:color="auto"/>
              <w:left w:val="single" w:sz="12" w:space="0" w:color="000080"/>
              <w:bottom w:val="single" w:sz="4" w:space="0" w:color="auto"/>
              <w:right w:val="single" w:sz="4" w:space="0" w:color="auto"/>
            </w:tcBorders>
            <w:shd w:val="clear" w:color="auto" w:fill="auto"/>
            <w:noWrap/>
            <w:vAlign w:val="bottom"/>
            <w:hideMark/>
          </w:tcPr>
          <w:p w:rsidR="00825969" w:rsidRPr="00891CEC" w:rsidRDefault="00825969" w:rsidP="00AF688E">
            <w:pPr>
              <w:widowControl/>
              <w:autoSpaceDE/>
              <w:autoSpaceDN/>
              <w:adjustRightInd/>
            </w:pPr>
            <w:r>
              <w:t>2013 Continuing Resolution 0.612% Increase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25969" w:rsidRPr="00891CEC" w:rsidRDefault="00F00C41" w:rsidP="00AF688E">
            <w:pPr>
              <w:widowControl/>
              <w:autoSpaceDE/>
              <w:autoSpaceDN/>
              <w:adjustRightInd/>
              <w:jc w:val="right"/>
            </w:pPr>
            <w:r>
              <w:t>35</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825969" w:rsidRPr="00891CEC" w:rsidRDefault="00F00C41" w:rsidP="00AF688E">
            <w:pPr>
              <w:widowControl/>
              <w:autoSpaceDE/>
              <w:autoSpaceDN/>
              <w:adjustRightInd/>
              <w:jc w:val="right"/>
            </w:pPr>
            <w:r>
              <w:t>33</w:t>
            </w:r>
          </w:p>
        </w:tc>
        <w:tc>
          <w:tcPr>
            <w:tcW w:w="1728" w:type="dxa"/>
            <w:gridSpan w:val="2"/>
            <w:tcBorders>
              <w:top w:val="single" w:sz="4" w:space="0" w:color="auto"/>
              <w:left w:val="nil"/>
              <w:bottom w:val="single" w:sz="4" w:space="0" w:color="auto"/>
              <w:right w:val="single" w:sz="12" w:space="0" w:color="000080"/>
            </w:tcBorders>
            <w:shd w:val="clear" w:color="auto" w:fill="auto"/>
            <w:noWrap/>
            <w:vAlign w:val="bottom"/>
            <w:hideMark/>
          </w:tcPr>
          <w:p w:rsidR="00825969" w:rsidRPr="00506ECA" w:rsidRDefault="00F252FE" w:rsidP="00AF688E">
            <w:pPr>
              <w:widowControl/>
              <w:autoSpaceDE/>
              <w:autoSpaceDN/>
              <w:adjustRightInd/>
              <w:jc w:val="right"/>
              <w:rPr>
                <w:bCs/>
                <w:highlight w:val="yellow"/>
              </w:rPr>
            </w:pPr>
            <w:r w:rsidRPr="00F252FE">
              <w:rPr>
                <w:bCs/>
              </w:rPr>
              <w:t>$151</w:t>
            </w:r>
          </w:p>
        </w:tc>
      </w:tr>
      <w:tr w:rsidR="005B4DD7" w:rsidRPr="00AF688E" w:rsidTr="00F252FE">
        <w:trPr>
          <w:trHeight w:val="337"/>
        </w:trPr>
        <w:tc>
          <w:tcPr>
            <w:tcW w:w="5958" w:type="dxa"/>
            <w:tcBorders>
              <w:top w:val="single" w:sz="4" w:space="0" w:color="auto"/>
              <w:left w:val="single" w:sz="12" w:space="0" w:color="000080"/>
              <w:bottom w:val="single" w:sz="4" w:space="0" w:color="auto"/>
              <w:right w:val="single" w:sz="4" w:space="0" w:color="auto"/>
            </w:tcBorders>
            <w:shd w:val="clear" w:color="auto" w:fill="auto"/>
            <w:noWrap/>
            <w:vAlign w:val="bottom"/>
            <w:hideMark/>
          </w:tcPr>
          <w:p w:rsidR="00891CEC" w:rsidRPr="00A16EDB" w:rsidRDefault="00891CEC" w:rsidP="00AF688E">
            <w:pPr>
              <w:widowControl/>
              <w:autoSpaceDE/>
              <w:autoSpaceDN/>
              <w:adjustRightInd/>
              <w:rPr>
                <w:bCs/>
              </w:rPr>
            </w:pPr>
            <w:r w:rsidRPr="00A16EDB">
              <w:rPr>
                <w:bCs/>
              </w:rPr>
              <w:t>Base and Technical Adjustments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91CEC" w:rsidRPr="00A16EDB" w:rsidRDefault="00891CEC" w:rsidP="00AF688E">
            <w:pPr>
              <w:widowControl/>
              <w:autoSpaceDE/>
              <w:autoSpaceDN/>
              <w:adjustRightInd/>
              <w:jc w:val="right"/>
              <w:rPr>
                <w:bCs/>
              </w:rPr>
            </w:pPr>
            <w:r w:rsidRPr="00A16EDB">
              <w:t>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891CEC" w:rsidRPr="00A16EDB" w:rsidRDefault="00891CEC" w:rsidP="00AF688E">
            <w:pPr>
              <w:widowControl/>
              <w:autoSpaceDE/>
              <w:autoSpaceDN/>
              <w:adjustRightInd/>
              <w:jc w:val="right"/>
              <w:rPr>
                <w:bCs/>
              </w:rPr>
            </w:pPr>
            <w:r w:rsidRPr="00A16EDB">
              <w:t>0</w:t>
            </w:r>
          </w:p>
        </w:tc>
        <w:tc>
          <w:tcPr>
            <w:tcW w:w="1728" w:type="dxa"/>
            <w:gridSpan w:val="2"/>
            <w:tcBorders>
              <w:top w:val="single" w:sz="4" w:space="0" w:color="auto"/>
              <w:left w:val="nil"/>
              <w:bottom w:val="single" w:sz="4" w:space="0" w:color="auto"/>
              <w:right w:val="single" w:sz="12" w:space="0" w:color="000080"/>
            </w:tcBorders>
            <w:shd w:val="clear" w:color="auto" w:fill="auto"/>
            <w:noWrap/>
            <w:vAlign w:val="center"/>
            <w:hideMark/>
          </w:tcPr>
          <w:p w:rsidR="00891CEC" w:rsidRPr="00506ECA" w:rsidRDefault="00F252FE" w:rsidP="00F252FE">
            <w:pPr>
              <w:widowControl/>
              <w:autoSpaceDE/>
              <w:autoSpaceDN/>
              <w:adjustRightInd/>
              <w:jc w:val="right"/>
              <w:rPr>
                <w:bCs/>
                <w:highlight w:val="yellow"/>
              </w:rPr>
            </w:pPr>
            <w:r w:rsidRPr="00F252FE">
              <w:rPr>
                <w:bCs/>
              </w:rPr>
              <w:t>$-28</w:t>
            </w:r>
          </w:p>
        </w:tc>
      </w:tr>
      <w:tr w:rsidR="005B4DD7" w:rsidRPr="00AF688E" w:rsidTr="005B4DD7">
        <w:trPr>
          <w:trHeight w:val="337"/>
        </w:trPr>
        <w:tc>
          <w:tcPr>
            <w:tcW w:w="5958" w:type="dxa"/>
            <w:tcBorders>
              <w:top w:val="single" w:sz="4" w:space="0" w:color="auto"/>
              <w:left w:val="single" w:sz="12" w:space="0" w:color="000080"/>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rPr>
                <w:bCs/>
              </w:rPr>
            </w:pPr>
            <w:r w:rsidRPr="00891CEC">
              <w:t>2014 Current Services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jc w:val="right"/>
              <w:rPr>
                <w:b/>
                <w:bCs/>
              </w:rPr>
            </w:pPr>
            <w:r w:rsidRPr="00891CEC">
              <w:t>35</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jc w:val="right"/>
              <w:rPr>
                <w:b/>
                <w:bCs/>
              </w:rPr>
            </w:pPr>
            <w:r w:rsidRPr="00891CEC">
              <w:t>33</w:t>
            </w:r>
          </w:p>
        </w:tc>
        <w:tc>
          <w:tcPr>
            <w:tcW w:w="1728" w:type="dxa"/>
            <w:gridSpan w:val="2"/>
            <w:tcBorders>
              <w:top w:val="single" w:sz="4" w:space="0" w:color="auto"/>
              <w:left w:val="nil"/>
              <w:bottom w:val="single" w:sz="4" w:space="0" w:color="auto"/>
              <w:right w:val="single" w:sz="12" w:space="0" w:color="000080"/>
            </w:tcBorders>
            <w:shd w:val="clear" w:color="auto" w:fill="auto"/>
            <w:noWrap/>
            <w:vAlign w:val="bottom"/>
            <w:hideMark/>
          </w:tcPr>
          <w:p w:rsidR="00891CEC" w:rsidRPr="00891CEC" w:rsidRDefault="00891CEC" w:rsidP="00AF688E">
            <w:pPr>
              <w:widowControl/>
              <w:autoSpaceDE/>
              <w:autoSpaceDN/>
              <w:adjustRightInd/>
              <w:jc w:val="right"/>
              <w:rPr>
                <w:bCs/>
              </w:rPr>
            </w:pPr>
            <w:r w:rsidRPr="00891CEC">
              <w:t>$</w:t>
            </w:r>
            <w:r w:rsidR="00465759">
              <w:t>2</w:t>
            </w:r>
            <w:r w:rsidR="009809E6">
              <w:t>4,801</w:t>
            </w:r>
          </w:p>
        </w:tc>
      </w:tr>
      <w:tr w:rsidR="005B4DD7" w:rsidRPr="00AF688E" w:rsidTr="005B4DD7">
        <w:trPr>
          <w:trHeight w:val="337"/>
        </w:trPr>
        <w:tc>
          <w:tcPr>
            <w:tcW w:w="5958" w:type="dxa"/>
            <w:tcBorders>
              <w:top w:val="single" w:sz="4" w:space="0" w:color="auto"/>
              <w:left w:val="single" w:sz="12" w:space="0" w:color="000080"/>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rPr>
                <w:bCs/>
              </w:rPr>
            </w:pPr>
            <w:r w:rsidRPr="00891CEC">
              <w:t>2014 Request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jc w:val="right"/>
              <w:rPr>
                <w:b/>
                <w:bCs/>
              </w:rPr>
            </w:pPr>
            <w:r w:rsidRPr="00891CEC">
              <w:t>35</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891CEC" w:rsidRPr="00891CEC" w:rsidRDefault="00891CEC" w:rsidP="00AF688E">
            <w:pPr>
              <w:widowControl/>
              <w:autoSpaceDE/>
              <w:autoSpaceDN/>
              <w:adjustRightInd/>
              <w:jc w:val="right"/>
              <w:rPr>
                <w:b/>
                <w:bCs/>
              </w:rPr>
            </w:pPr>
            <w:r w:rsidRPr="00891CEC">
              <w:t>33</w:t>
            </w:r>
          </w:p>
        </w:tc>
        <w:tc>
          <w:tcPr>
            <w:tcW w:w="1728" w:type="dxa"/>
            <w:gridSpan w:val="2"/>
            <w:tcBorders>
              <w:top w:val="single" w:sz="4" w:space="0" w:color="auto"/>
              <w:left w:val="nil"/>
              <w:bottom w:val="single" w:sz="4" w:space="0" w:color="auto"/>
              <w:right w:val="single" w:sz="12" w:space="0" w:color="000080"/>
            </w:tcBorders>
            <w:shd w:val="clear" w:color="auto" w:fill="auto"/>
            <w:noWrap/>
            <w:vAlign w:val="bottom"/>
            <w:hideMark/>
          </w:tcPr>
          <w:p w:rsidR="00891CEC" w:rsidRPr="00604CB7" w:rsidRDefault="00891CEC" w:rsidP="00AF688E">
            <w:pPr>
              <w:widowControl/>
              <w:autoSpaceDE/>
              <w:autoSpaceDN/>
              <w:adjustRightInd/>
              <w:jc w:val="right"/>
              <w:rPr>
                <w:b/>
                <w:bCs/>
              </w:rPr>
            </w:pPr>
            <w:r w:rsidRPr="00604CB7">
              <w:rPr>
                <w:b/>
                <w:bCs/>
              </w:rPr>
              <w:t>$</w:t>
            </w:r>
            <w:r w:rsidR="00465759">
              <w:rPr>
                <w:b/>
                <w:bCs/>
              </w:rPr>
              <w:t>2</w:t>
            </w:r>
            <w:r w:rsidR="009809E6">
              <w:rPr>
                <w:b/>
                <w:bCs/>
              </w:rPr>
              <w:t>4,801</w:t>
            </w:r>
          </w:p>
        </w:tc>
      </w:tr>
      <w:tr w:rsidR="005B4DD7" w:rsidRPr="00AF688E" w:rsidTr="005B4DD7">
        <w:trPr>
          <w:trHeight w:val="337"/>
        </w:trPr>
        <w:tc>
          <w:tcPr>
            <w:tcW w:w="5958" w:type="dxa"/>
            <w:tcBorders>
              <w:top w:val="single" w:sz="4" w:space="0" w:color="auto"/>
              <w:left w:val="single" w:sz="12" w:space="0" w:color="000080"/>
              <w:bottom w:val="single" w:sz="8" w:space="0" w:color="auto"/>
              <w:right w:val="single" w:sz="4" w:space="0" w:color="auto"/>
            </w:tcBorders>
            <w:shd w:val="clear" w:color="auto" w:fill="F9B47B"/>
            <w:noWrap/>
            <w:vAlign w:val="bottom"/>
            <w:hideMark/>
          </w:tcPr>
          <w:p w:rsidR="005D03B9" w:rsidRPr="00891CEC" w:rsidRDefault="005D03B9" w:rsidP="00AF688E">
            <w:pPr>
              <w:widowControl/>
              <w:autoSpaceDE/>
              <w:autoSpaceDN/>
              <w:adjustRightInd/>
            </w:pPr>
            <w:r w:rsidRPr="00AF688E">
              <w:rPr>
                <w:b/>
                <w:bCs/>
              </w:rPr>
              <w:t>Total Change  201</w:t>
            </w:r>
            <w:r w:rsidR="00825969">
              <w:rPr>
                <w:b/>
                <w:bCs/>
              </w:rPr>
              <w:t>2</w:t>
            </w:r>
            <w:r w:rsidRPr="00AF688E">
              <w:rPr>
                <w:b/>
                <w:bCs/>
              </w:rPr>
              <w:t xml:space="preserve"> - 201</w:t>
            </w:r>
            <w:r>
              <w:rPr>
                <w:b/>
                <w:bCs/>
              </w:rPr>
              <w:t>4</w:t>
            </w:r>
          </w:p>
        </w:tc>
        <w:tc>
          <w:tcPr>
            <w:tcW w:w="1170" w:type="dxa"/>
            <w:tcBorders>
              <w:top w:val="single" w:sz="4" w:space="0" w:color="auto"/>
              <w:left w:val="nil"/>
              <w:bottom w:val="single" w:sz="8" w:space="0" w:color="auto"/>
              <w:right w:val="single" w:sz="4" w:space="0" w:color="auto"/>
            </w:tcBorders>
            <w:shd w:val="clear" w:color="auto" w:fill="F9B47B"/>
            <w:noWrap/>
            <w:vAlign w:val="bottom"/>
            <w:hideMark/>
          </w:tcPr>
          <w:p w:rsidR="005D03B9" w:rsidRPr="005D03B9" w:rsidRDefault="005D03B9" w:rsidP="00AF688E">
            <w:pPr>
              <w:widowControl/>
              <w:autoSpaceDE/>
              <w:autoSpaceDN/>
              <w:adjustRightInd/>
              <w:jc w:val="right"/>
              <w:rPr>
                <w:b/>
              </w:rPr>
            </w:pPr>
            <w:r w:rsidRPr="005D03B9">
              <w:rPr>
                <w:b/>
              </w:rPr>
              <w:t>0</w:t>
            </w:r>
          </w:p>
        </w:tc>
        <w:tc>
          <w:tcPr>
            <w:tcW w:w="1350" w:type="dxa"/>
            <w:tcBorders>
              <w:top w:val="single" w:sz="4" w:space="0" w:color="auto"/>
              <w:left w:val="nil"/>
              <w:bottom w:val="single" w:sz="8" w:space="0" w:color="auto"/>
              <w:right w:val="single" w:sz="4" w:space="0" w:color="auto"/>
            </w:tcBorders>
            <w:shd w:val="clear" w:color="auto" w:fill="F9B47B"/>
            <w:noWrap/>
            <w:vAlign w:val="bottom"/>
            <w:hideMark/>
          </w:tcPr>
          <w:p w:rsidR="005D03B9" w:rsidRPr="005D03B9" w:rsidRDefault="00F00C41" w:rsidP="00AF688E">
            <w:pPr>
              <w:widowControl/>
              <w:autoSpaceDE/>
              <w:autoSpaceDN/>
              <w:adjustRightInd/>
              <w:jc w:val="right"/>
              <w:rPr>
                <w:b/>
              </w:rPr>
            </w:pPr>
            <w:r>
              <w:rPr>
                <w:b/>
              </w:rPr>
              <w:t>-3</w:t>
            </w:r>
          </w:p>
        </w:tc>
        <w:tc>
          <w:tcPr>
            <w:tcW w:w="1728" w:type="dxa"/>
            <w:gridSpan w:val="2"/>
            <w:tcBorders>
              <w:top w:val="single" w:sz="4" w:space="0" w:color="auto"/>
              <w:left w:val="nil"/>
              <w:bottom w:val="single" w:sz="8" w:space="0" w:color="auto"/>
              <w:right w:val="single" w:sz="12" w:space="0" w:color="000080"/>
            </w:tcBorders>
            <w:shd w:val="clear" w:color="auto" w:fill="F9B47B"/>
            <w:noWrap/>
            <w:vAlign w:val="bottom"/>
            <w:hideMark/>
          </w:tcPr>
          <w:p w:rsidR="005D03B9" w:rsidRPr="005D03B9" w:rsidRDefault="005D03B9" w:rsidP="001A33F9">
            <w:pPr>
              <w:widowControl/>
              <w:autoSpaceDE/>
              <w:autoSpaceDN/>
              <w:adjustRightInd/>
              <w:jc w:val="right"/>
              <w:rPr>
                <w:b/>
                <w:bCs/>
              </w:rPr>
            </w:pPr>
            <w:r>
              <w:rPr>
                <w:b/>
                <w:bCs/>
              </w:rPr>
              <w:t>$</w:t>
            </w:r>
            <w:r w:rsidR="00F252FE">
              <w:rPr>
                <w:b/>
                <w:bCs/>
              </w:rPr>
              <w:t>123</w:t>
            </w:r>
          </w:p>
        </w:tc>
      </w:tr>
    </w:tbl>
    <w:p w:rsidR="00A424A0" w:rsidRPr="00506ECA" w:rsidRDefault="00A424A0">
      <w:pPr>
        <w:rPr>
          <w:sz w:val="16"/>
          <w:szCs w:val="16"/>
        </w:rPr>
      </w:pPr>
    </w:p>
    <w:p w:rsidR="003B05E5" w:rsidRDefault="003B05E5" w:rsidP="00506916">
      <w:pPr>
        <w:pStyle w:val="TOC4"/>
      </w:pPr>
      <w:bookmarkStart w:id="179" w:name="_Toc349640469"/>
      <w:r>
        <w:t>1.  Program Description</w:t>
      </w:r>
      <w:bookmarkEnd w:id="179"/>
    </w:p>
    <w:p w:rsidR="003B05E5" w:rsidRPr="00506ECA" w:rsidRDefault="003B05E5">
      <w:pPr>
        <w:rPr>
          <w:sz w:val="16"/>
          <w:szCs w:val="16"/>
        </w:rPr>
      </w:pPr>
    </w:p>
    <w:p w:rsidR="003B05E5" w:rsidRDefault="003B05E5">
      <w:pPr>
        <w:ind w:left="720"/>
      </w:pPr>
      <w:r>
        <w:t xml:space="preserve">The Antitrust Division promotes competition and protects consumers from economic harm by enforcing the Nation’s antitrust laws.  Free and open competition benefits consumers by ensuring lower prices and new and better products.  </w:t>
      </w:r>
      <w:proofErr w:type="gramStart"/>
      <w:r>
        <w:t>The perception and reality among consumers and entrepreneurs that the antitrust laws will be enforced fairly and fully is critical to the economic freedom of all Americans.</w:t>
      </w:r>
      <w:proofErr w:type="gramEnd"/>
      <w:r>
        <w:t xml:space="preserve">  Vigorous competition is also critical to assure the rapid innovation that generates continued advances in our standard of living and our competitiveness in world markets.</w:t>
      </w:r>
    </w:p>
    <w:p w:rsidR="003B05E5" w:rsidRPr="00506ECA" w:rsidRDefault="003B05E5">
      <w:pPr>
        <w:ind w:left="720"/>
        <w:rPr>
          <w:sz w:val="16"/>
          <w:szCs w:val="16"/>
        </w:rPr>
      </w:pPr>
    </w:p>
    <w:p w:rsidR="00AF688E" w:rsidRDefault="003B05E5">
      <w:pPr>
        <w:ind w:left="720"/>
        <w:sectPr w:rsidR="00AF688E" w:rsidSect="00506ECA">
          <w:footerReference w:type="default" r:id="rId33"/>
          <w:endnotePr>
            <w:numFmt w:val="decimal"/>
          </w:endnotePr>
          <w:pgSz w:w="12240" w:h="15840" w:code="1"/>
          <w:pgMar w:top="245" w:right="1440" w:bottom="245" w:left="1440" w:header="0" w:footer="288" w:gutter="0"/>
          <w:cols w:space="720"/>
          <w:noEndnote/>
        </w:sectPr>
      </w:pPr>
      <w:r>
        <w:t xml:space="preserve">At its highest level, the Division has two main strategies - Criminal and Civil.  All of the Division’s activities can be attributed to these two strategies and each strategy includes elements related to investigation, prosecution, and competition advocacy.  To direct its day-to-day activities, the Division has established five supervisory Deputy Assistant Attorney General (DAAG) positions reporting directly to the Assistant Attorney General. Each of these DAAGs has oversight of a specific program including Civil Enforcement, </w:t>
      </w:r>
      <w:r w:rsidR="005E5D71">
        <w:t xml:space="preserve">Criminal Enforcement, </w:t>
      </w:r>
      <w:r>
        <w:t>Litigation,</w:t>
      </w:r>
      <w:r w:rsidR="005E5D71">
        <w:t xml:space="preserve"> Operations, and </w:t>
      </w:r>
      <w:r>
        <w:t xml:space="preserve">Economic Analysis.  </w:t>
      </w:r>
    </w:p>
    <w:p w:rsidR="003B05E5" w:rsidRDefault="003B05E5"/>
    <w:p w:rsidR="00B52D43" w:rsidRDefault="00B41A4D">
      <w:pPr>
        <w:ind w:left="720"/>
        <w:rPr>
          <w:u w:val="single"/>
        </w:rPr>
      </w:pPr>
      <w:r w:rsidRPr="00DD5825">
        <w:rPr>
          <w:u w:val="single"/>
        </w:rPr>
        <w:pict>
          <v:shape id="_x0000_i1027" type="#_x0000_t75" alt="Image of the Robert F. Kennedy - Department of Justice building.  Facade of building with engraved quote from Daniel Webster speech of Sep 12, 1845, &quot;Justice is the great interest of man on earth.....Wherever her temple stands...there is a foundation for social security, general happiness, and the improvement and progress of our race&quot;." style="width:416.4pt;height:118.85pt">
            <v:imagedata r:id="rId34" o:title="665c0350_edited-1"/>
          </v:shape>
        </w:pict>
      </w:r>
    </w:p>
    <w:p w:rsidR="00B52D43" w:rsidRDefault="00B52D43">
      <w:pPr>
        <w:ind w:left="720"/>
        <w:rPr>
          <w:u w:val="single"/>
        </w:rPr>
      </w:pPr>
    </w:p>
    <w:p w:rsidR="00B52D43" w:rsidRDefault="00B52D43">
      <w:pPr>
        <w:ind w:left="720"/>
        <w:rPr>
          <w:u w:val="single"/>
        </w:rPr>
      </w:pPr>
    </w:p>
    <w:p w:rsidR="00C122AA" w:rsidRDefault="00C122AA">
      <w:pPr>
        <w:ind w:left="720"/>
        <w:rPr>
          <w:u w:val="single"/>
        </w:rPr>
      </w:pPr>
    </w:p>
    <w:p w:rsidR="00C122AA" w:rsidRDefault="003B05E5" w:rsidP="00C122AA">
      <w:pPr>
        <w:ind w:left="720"/>
        <w:rPr>
          <w:u w:val="single"/>
        </w:rPr>
      </w:pPr>
      <w:r w:rsidRPr="00C122AA">
        <w:rPr>
          <w:b/>
          <w:u w:val="single"/>
        </w:rPr>
        <w:t>Criminal Enforcement</w:t>
      </w:r>
      <w:r>
        <w:t xml:space="preserve"> - Within the Criminal strategy, the Antitrust Division must address the increased globalization of markets, constant technological change, and a large number of massive criminal conspiracies the Division is encountering.  These matters transcend national boundaries, involve more technologically advanced and subtle forms of criminal behavior, and impact more </w:t>
      </w:r>
      <w:smartTag w:uri="urn:schemas-microsoft-com:office:smarttags" w:element="country-region">
        <w:smartTag w:uri="urn:schemas-microsoft-com:office:smarttags" w:element="place">
          <w:r>
            <w:t>U.S.</w:t>
          </w:r>
        </w:smartTag>
      </w:smartTag>
      <w:r>
        <w:t xml:space="preserve"> businesses and consumers than ever before.  The requirements -- whether in terms of staff time, travel and translation costs, or automated litigation support -- of fighting massive criminal conspiracies effectively is great.  </w:t>
      </w:r>
      <w:r w:rsidR="00886DAA" w:rsidRPr="00017BC4">
        <w:t xml:space="preserve">Matters such as the Division’s </w:t>
      </w:r>
      <w:r w:rsidR="00017BC4" w:rsidRPr="00017BC4">
        <w:t>ongoing investigations in the municipal bond investments market and real estate foreclosure auc</w:t>
      </w:r>
      <w:r w:rsidR="00017BC4" w:rsidRPr="00EA7F90">
        <w:t>tion</w:t>
      </w:r>
      <w:r w:rsidR="003B175D" w:rsidRPr="00EA7F90">
        <w:t xml:space="preserve">s </w:t>
      </w:r>
      <w:r w:rsidR="007E37AD" w:rsidRPr="00706ACF">
        <w:t xml:space="preserve">(page </w:t>
      </w:r>
      <w:r w:rsidR="005206D0">
        <w:t>36</w:t>
      </w:r>
      <w:r w:rsidR="007E37AD" w:rsidRPr="00706ACF">
        <w:t>)</w:t>
      </w:r>
      <w:r w:rsidR="00E60E74" w:rsidRPr="00017BC4">
        <w:t xml:space="preserve"> exemplify</w:t>
      </w:r>
      <w:r w:rsidR="00E60E74" w:rsidRPr="00E60E74">
        <w:t xml:space="preserve"> the increasingly complex nature of Division workload in</w:t>
      </w:r>
      <w:r>
        <w:t xml:space="preserve"> the criminal area and demonstrate that successful pursuit of such matters takes time and resources. </w:t>
      </w:r>
    </w:p>
    <w:p w:rsidR="00C122AA" w:rsidRDefault="00C122AA" w:rsidP="00C122AA">
      <w:pPr>
        <w:ind w:left="720"/>
        <w:rPr>
          <w:u w:val="single"/>
        </w:rPr>
      </w:pPr>
    </w:p>
    <w:p w:rsidR="003B05E5" w:rsidRDefault="003B05E5" w:rsidP="00C122AA">
      <w:pPr>
        <w:ind w:left="720"/>
      </w:pPr>
      <w:r w:rsidRPr="00C122AA">
        <w:rPr>
          <w:b/>
          <w:u w:val="single"/>
        </w:rPr>
        <w:t>Civil Enforcement</w:t>
      </w:r>
      <w:r>
        <w:t xml:space="preserve"> - Under the Civil strategy, the Division seeks to promote competition by blocking potentially anticompetitive mergers before they are consummated and pursuing non-criminal anticompetitive behavior such as group boycotts and exclusive dealing.  The Division’s Civil strategy seeks to maintain the competitive structure of the national economy through investigation and litigation of instances in which monopoly power is sought, attained, or maintained through anticompetitive conduct and by seeking injunctive relief against mergers and acquisitions that may tend substantially to lessen competition. The Division’s Merger Review work can be divided into roughly three categories:</w:t>
      </w:r>
    </w:p>
    <w:p w:rsidR="009D6644" w:rsidRDefault="009D6644" w:rsidP="00C122AA">
      <w:pPr>
        <w:ind w:left="720"/>
      </w:pPr>
    </w:p>
    <w:p w:rsidR="003B05E5" w:rsidRDefault="003B05E5">
      <w:pPr>
        <w:pStyle w:val="a"/>
        <w:widowControl/>
        <w:numPr>
          <w:ilvl w:val="0"/>
          <w:numId w:val="3"/>
        </w:numPr>
        <w:tabs>
          <w:tab w:val="left" w:pos="-621"/>
          <w:tab w:val="left" w:pos="-281"/>
          <w:tab w:val="left" w:pos="259"/>
          <w:tab w:val="left" w:pos="720"/>
          <w:tab w:val="left" w:pos="1440"/>
          <w:tab w:val="left" w:pos="6199"/>
          <w:tab w:val="left" w:pos="6919"/>
          <w:tab w:val="left" w:pos="7639"/>
          <w:tab w:val="left" w:pos="8359"/>
          <w:tab w:val="left" w:pos="9079"/>
          <w:tab w:val="left" w:pos="9799"/>
          <w:tab w:val="left" w:pos="10519"/>
          <w:tab w:val="left" w:pos="11239"/>
          <w:tab w:val="left" w:pos="11970"/>
          <w:tab w:val="left" w:pos="12060"/>
        </w:tabs>
        <w:ind w:right="24"/>
      </w:pPr>
      <w:r>
        <w:t xml:space="preserve">Review of HSR transactions brought to our attention by statutorily mandated filings </w:t>
      </w:r>
    </w:p>
    <w:p w:rsidR="00C122AA" w:rsidRDefault="00C122AA" w:rsidP="00C122AA">
      <w:pPr>
        <w:pStyle w:val="a"/>
        <w:widowControl/>
        <w:tabs>
          <w:tab w:val="left" w:pos="-621"/>
          <w:tab w:val="left" w:pos="-281"/>
          <w:tab w:val="left" w:pos="259"/>
          <w:tab w:val="left" w:pos="720"/>
          <w:tab w:val="left" w:pos="6199"/>
          <w:tab w:val="left" w:pos="6919"/>
          <w:tab w:val="left" w:pos="7639"/>
          <w:tab w:val="left" w:pos="8359"/>
          <w:tab w:val="left" w:pos="9079"/>
          <w:tab w:val="left" w:pos="9799"/>
          <w:tab w:val="left" w:pos="10519"/>
          <w:tab w:val="left" w:pos="11239"/>
          <w:tab w:val="left" w:pos="11970"/>
          <w:tab w:val="left" w:pos="12060"/>
        </w:tabs>
        <w:ind w:left="1080" w:right="24" w:firstLine="0"/>
      </w:pPr>
    </w:p>
    <w:p w:rsidR="003B05E5" w:rsidRDefault="003B05E5">
      <w:pPr>
        <w:pStyle w:val="a"/>
        <w:widowControl/>
        <w:numPr>
          <w:ilvl w:val="0"/>
          <w:numId w:val="3"/>
        </w:numPr>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right="24"/>
      </w:pPr>
      <w:r>
        <w:t>Review of non</w:t>
      </w:r>
      <w:r>
        <w:noBreakHyphen/>
        <w:t xml:space="preserve">HSR transactions (those not subject to HSR reporting   thresholds); and </w:t>
      </w:r>
    </w:p>
    <w:p w:rsidR="00C122AA" w:rsidRDefault="00C122AA" w:rsidP="00C122AA">
      <w:pPr>
        <w:pStyle w:val="a"/>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1080" w:right="24" w:firstLine="0"/>
      </w:pPr>
    </w:p>
    <w:p w:rsidR="00C122AA" w:rsidRDefault="003B05E5" w:rsidP="00F15034">
      <w:pPr>
        <w:numPr>
          <w:ilvl w:val="0"/>
          <w:numId w:val="3"/>
        </w:numPr>
        <w:sectPr w:rsidR="00C122AA" w:rsidSect="00C122AA">
          <w:endnotePr>
            <w:numFmt w:val="decimal"/>
          </w:endnotePr>
          <w:pgSz w:w="12240" w:h="15840" w:code="1"/>
          <w:pgMar w:top="1440" w:right="1440" w:bottom="864" w:left="1440" w:header="0" w:footer="288" w:gutter="0"/>
          <w:cols w:space="720"/>
          <w:noEndnote/>
        </w:sectPr>
      </w:pPr>
      <w:r>
        <w:t>Review of bank merger applications.</w:t>
      </w:r>
    </w:p>
    <w:p w:rsidR="00F15034" w:rsidRPr="00F15034" w:rsidRDefault="00F15034" w:rsidP="00C122AA">
      <w:pPr>
        <w:ind w:left="1080"/>
        <w:rPr>
          <w:u w:val="single"/>
        </w:rPr>
      </w:pPr>
    </w:p>
    <w:p w:rsidR="00F15034" w:rsidRDefault="00F15034">
      <w:pPr>
        <w:rPr>
          <w:u w:val="single"/>
        </w:rPr>
      </w:pPr>
    </w:p>
    <w:p w:rsidR="003B05E5" w:rsidRDefault="003B05E5">
      <w:pPr>
        <w:ind w:left="720"/>
      </w:pPr>
      <w:r w:rsidRPr="00C122AA">
        <w:rPr>
          <w:b/>
          <w:u w:val="single"/>
        </w:rPr>
        <w:t>Competition Advocacy</w:t>
      </w:r>
      <w:r>
        <w:t xml:space="preserve"> - As an advocate of competition, the Antitrust Division seeks the elimination of unnecessary regulation and the adoption of the most competitive means of achieving a sound economy through a variety of activities on the national and international stages.  Areas in which the Division pursues competition advocacy initiatives include:</w:t>
      </w:r>
      <w:r w:rsidR="0061565A" w:rsidRPr="0061565A">
        <w:t xml:space="preserve"> </w:t>
      </w:r>
    </w:p>
    <w:p w:rsidR="003B05E5" w:rsidRDefault="003B05E5">
      <w:pPr>
        <w:ind w:left="720"/>
      </w:pPr>
    </w:p>
    <w:p w:rsidR="00F15034" w:rsidRDefault="00EA64C2">
      <w:pPr>
        <w:ind w:left="720"/>
        <w:rPr>
          <w:i/>
          <w:iCs/>
        </w:rPr>
      </w:pPr>
      <w:r>
        <w:rPr>
          <w:i/>
          <w:iCs/>
          <w:noProof/>
        </w:rPr>
        <w:drawing>
          <wp:anchor distT="0" distB="0" distL="114300" distR="114300" simplePos="0" relativeHeight="251705856" behindDoc="0" locked="0" layoutInCell="1" allowOverlap="1">
            <wp:simplePos x="0" y="0"/>
            <wp:positionH relativeFrom="margin">
              <wp:posOffset>3072130</wp:posOffset>
            </wp:positionH>
            <wp:positionV relativeFrom="margin">
              <wp:posOffset>3288030</wp:posOffset>
            </wp:positionV>
            <wp:extent cx="2824480" cy="3950970"/>
            <wp:effectExtent l="19050" t="0" r="0" b="0"/>
            <wp:wrapSquare wrapText="bothSides"/>
            <wp:docPr id="53" name="Picture 53" descr="Nighttime view of Capitol Building,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tr-lsb-nas05\ISG-SectDrive\ISG02-DATA1\MIS\WCLS\ThinkStockImages\capitol\Nighttime view of Capitol Building, Washington D.C._stk211416rke.jpg"/>
                    <pic:cNvPicPr>
                      <a:picLocks noChangeAspect="1" noChangeArrowheads="1"/>
                    </pic:cNvPicPr>
                  </pic:nvPicPr>
                  <pic:blipFill>
                    <a:blip r:embed="rId35" cstate="print"/>
                    <a:srcRect/>
                    <a:stretch>
                      <a:fillRect/>
                    </a:stretch>
                  </pic:blipFill>
                  <pic:spPr bwMode="auto">
                    <a:xfrm>
                      <a:off x="0" y="0"/>
                      <a:ext cx="2824480" cy="3950970"/>
                    </a:xfrm>
                    <a:prstGeom prst="rect">
                      <a:avLst/>
                    </a:prstGeom>
                    <a:noFill/>
                    <a:ln w="9525">
                      <a:noFill/>
                      <a:miter lim="800000"/>
                      <a:headEnd/>
                      <a:tailEnd/>
                    </a:ln>
                  </pic:spPr>
                </pic:pic>
              </a:graphicData>
            </a:graphic>
          </wp:anchor>
        </w:drawing>
      </w:r>
      <w:r w:rsidR="003B05E5">
        <w:rPr>
          <w:i/>
          <w:iCs/>
        </w:rPr>
        <w:t>Regulatory Issues</w:t>
      </w:r>
      <w:r w:rsidR="003B05E5">
        <w:t xml:space="preserve"> - The Antitrust Division actively monitors the pending actions of federal, state, and local regulatory agencies </w:t>
      </w:r>
      <w:proofErr w:type="gramStart"/>
      <w:r w:rsidR="003B05E5">
        <w:t>either as</w:t>
      </w:r>
      <w:proofErr w:type="gramEnd"/>
      <w:r w:rsidR="003B05E5">
        <w:t xml:space="preserve"> statutorily mandated, as in the case of telecommunication and banking markets, or through review of those agencies’ dockets and industry or other publications and through personal contacts in the industries and in the agencies.  Articulation of a pro-competitive position may make the difference between regulations that effectively do no antitrust harm and actively promote competitive regulatory solutions and those that may negatively impact the competitiveness of an industry.  Examples of regulatory agencies before which the Division has presented an antitrust viewpoint include the Federal Communications Commission, Securities and Exchange Commission and the Federal Energy Regulatory Commission. </w:t>
      </w:r>
    </w:p>
    <w:p w:rsidR="00F15034" w:rsidRDefault="00F15034">
      <w:pPr>
        <w:ind w:left="720"/>
        <w:rPr>
          <w:i/>
          <w:iCs/>
        </w:rPr>
      </w:pPr>
    </w:p>
    <w:p w:rsidR="00561E6D" w:rsidRDefault="003B05E5">
      <w:pPr>
        <w:ind w:left="720"/>
      </w:pPr>
      <w:r>
        <w:rPr>
          <w:i/>
          <w:iCs/>
        </w:rPr>
        <w:t>Review of New and Existing Laws</w:t>
      </w:r>
      <w:r>
        <w:t xml:space="preserve"> - Given the dynamic environment in which the Antitrust Division must apply antitrust laws, refinements to existing law and enforcement policy are a constant consideration.  Division </w:t>
      </w:r>
      <w:proofErr w:type="gramStart"/>
      <w:r>
        <w:t>staff analyze</w:t>
      </w:r>
      <w:proofErr w:type="gramEnd"/>
      <w:r>
        <w:t xml:space="preserve"> proposed legislation and draft proposals to amend antitrust laws or other statutes affecting competition. Many of the hundreds of legislative proposals considered by the Department each year have profound impacts on competition and innovation in the </w:t>
      </w:r>
      <w:smartTag w:uri="urn:schemas-microsoft-com:office:smarttags" w:element="country-region">
        <w:smartTag w:uri="urn:schemas-microsoft-com:office:smarttags" w:element="place">
          <w:r>
            <w:t>U.S.</w:t>
          </w:r>
        </w:smartTag>
      </w:smartTag>
      <w:r>
        <w:t xml:space="preserve"> economy.  Because the Division is the Department’s sole resource for dealing with competition issues, it significantly contributes to legislative development in areas where antitrust law may be at issue.  </w:t>
      </w:r>
    </w:p>
    <w:p w:rsidR="00561E6D" w:rsidRDefault="00561E6D">
      <w:pPr>
        <w:ind w:left="720"/>
      </w:pPr>
    </w:p>
    <w:p w:rsidR="00E65ACC" w:rsidRDefault="00E65ACC">
      <w:pPr>
        <w:ind w:left="720"/>
        <w:sectPr w:rsidR="00E65ACC" w:rsidSect="0054642A">
          <w:endnotePr>
            <w:numFmt w:val="decimal"/>
          </w:endnotePr>
          <w:pgSz w:w="12240" w:h="15840" w:code="1"/>
          <w:pgMar w:top="1440" w:right="1440" w:bottom="576" w:left="1440" w:header="0" w:footer="288" w:gutter="0"/>
          <w:cols w:space="720"/>
          <w:noEndnote/>
        </w:sectPr>
      </w:pPr>
      <w:r>
        <w:t>F</w:t>
      </w:r>
      <w:r w:rsidR="003B05E5">
        <w:t xml:space="preserve">or example, the Division has filed numerous comments and provided testimony before state legislatures and real estate commissions against proposed legislation and regulations that forbid buyers’ brokers from rebating a portion of the sales commission to the consumer or that require consumers to buy more services from sellers’ brokers than they may want, with no option to waive the extra items.  </w:t>
      </w:r>
    </w:p>
    <w:p w:rsidR="008973B8" w:rsidRDefault="003B05E5" w:rsidP="008973B8">
      <w:pPr>
        <w:ind w:left="720"/>
      </w:pPr>
      <w:r>
        <w:rPr>
          <w:i/>
          <w:iCs/>
        </w:rPr>
        <w:t xml:space="preserve">Education, Speeches, and Outreach – </w:t>
      </w:r>
      <w:r>
        <w:t>The Division seeks to reach the broadest audience in raising awareness of competition issues and</w:t>
      </w:r>
      <w:r w:rsidR="001C0C75">
        <w:t>, to do so,</w:t>
      </w:r>
      <w:r>
        <w:t xml:space="preserve"> provides guidance through its business review program, outreach efforts to business groups and consumers, and the publication of antitrust guidelines and policy statements aimed at particular industries or issues.  </w:t>
      </w:r>
      <w:r w:rsidR="008973B8">
        <w:t>Division personnel routinely give speec</w:t>
      </w:r>
      <w:r w:rsidR="00A84E8D">
        <w:t xml:space="preserve">hes addressing these guidelines </w:t>
      </w:r>
      <w:r w:rsidR="008973B8">
        <w:t>and policy statements to a wide variety of audiences including industry groups, professional associations, and antitrust enforcers from international, state, and local agencies.</w:t>
      </w:r>
    </w:p>
    <w:p w:rsidR="008973B8" w:rsidRDefault="008973B8" w:rsidP="008973B8">
      <w:pPr>
        <w:ind w:left="720"/>
      </w:pPr>
    </w:p>
    <w:p w:rsidR="008973B8" w:rsidRDefault="003B05E5" w:rsidP="00761242">
      <w:pPr>
        <w:ind w:left="720"/>
      </w:pPr>
      <w:r>
        <w:t xml:space="preserve">In addition, </w:t>
      </w:r>
      <w:r w:rsidR="008973B8">
        <w:t>the Division seeks opportunities to deploy its employees to serve the needs of the federal government for a broad variety of policy matters that involve competition policy to include:</w:t>
      </w:r>
    </w:p>
    <w:p w:rsidR="007631C5" w:rsidRDefault="007631C5">
      <w:pPr>
        <w:ind w:left="720"/>
      </w:pPr>
    </w:p>
    <w:p w:rsidR="008973B8" w:rsidRDefault="008973B8" w:rsidP="007631C5">
      <w:pPr>
        <w:numPr>
          <w:ilvl w:val="0"/>
          <w:numId w:val="56"/>
        </w:numPr>
        <w:tabs>
          <w:tab w:val="left" w:pos="1890"/>
        </w:tabs>
        <w:ind w:firstLine="0"/>
      </w:pPr>
      <w:r>
        <w:t>Detailing Division employees to Congressional committees, federal agencies and other parts of the Administration</w:t>
      </w:r>
      <w:r w:rsidR="007631C5">
        <w:t xml:space="preserve"> and</w:t>
      </w:r>
    </w:p>
    <w:p w:rsidR="007631C5" w:rsidRDefault="007631C5" w:rsidP="007631C5">
      <w:pPr>
        <w:tabs>
          <w:tab w:val="left" w:pos="1890"/>
        </w:tabs>
        <w:ind w:left="1080"/>
      </w:pPr>
    </w:p>
    <w:p w:rsidR="008973B8" w:rsidRDefault="008973B8" w:rsidP="007631C5">
      <w:pPr>
        <w:numPr>
          <w:ilvl w:val="0"/>
          <w:numId w:val="56"/>
        </w:numPr>
        <w:tabs>
          <w:tab w:val="left" w:pos="1890"/>
        </w:tabs>
        <w:ind w:firstLine="0"/>
      </w:pPr>
      <w:r>
        <w:t xml:space="preserve">Actively participating in White House interagency task forces in areas such as Internet Policy Principles, standard setting, </w:t>
      </w:r>
      <w:r w:rsidR="00A84E8D">
        <w:t xml:space="preserve">and </w:t>
      </w:r>
      <w:r>
        <w:t>Accountable Care Organization (ACO)</w:t>
      </w:r>
      <w:r w:rsidR="007631C5">
        <w:t xml:space="preserve"> implementation.</w:t>
      </w:r>
    </w:p>
    <w:p w:rsidR="00DA46B1" w:rsidRDefault="00DA46B1" w:rsidP="007631C5">
      <w:pPr>
        <w:ind w:left="1440"/>
      </w:pPr>
    </w:p>
    <w:p w:rsidR="00FD010C" w:rsidRDefault="00DD5825" w:rsidP="00BF69EA">
      <w:pPr>
        <w:tabs>
          <w:tab w:val="num" w:pos="720"/>
        </w:tabs>
        <w:ind w:left="720"/>
      </w:pPr>
      <w:r>
        <w:rPr>
          <w:noProof/>
        </w:rPr>
        <w:pict>
          <v:shape id="_x0000_s1279" type="#_x0000_t75" alt="Image of the International Competition Network logo." style="position:absolute;left:0;text-align:left;margin-left:39pt;margin-top:64.05pt;width:164.45pt;height:117.15pt;z-index:-251643392;mso-wrap-distance-left:21.6pt;mso-wrap-distance-right:21.6pt" wrapcoords="-115 0 -115 21384 21600 21384 21600 0 -115 0" o:allowoverlap="f">
            <v:imagedata r:id="rId36" o:title="ICN_edited-1"/>
            <w10:wrap type="tight"/>
          </v:shape>
        </w:pict>
      </w:r>
      <w:r w:rsidR="003B05E5">
        <w:rPr>
          <w:i/>
          <w:iCs/>
        </w:rPr>
        <w:t>International Advocacy</w:t>
      </w:r>
      <w:r w:rsidR="003B05E5">
        <w:t xml:space="preserve"> – The Antitrust Division continues to </w:t>
      </w:r>
      <w:r w:rsidR="00320C97">
        <w:t xml:space="preserve">work toward bringing greater cooperation to international enforcement, promoting procedural fairness and transparency both at home and abroad, and achieving greater convergence, where appropriate, to the substantive antitrust standards used by agencies around the world.  The Division </w:t>
      </w:r>
      <w:r w:rsidR="003B05E5">
        <w:t xml:space="preserve">pursues these goals by working closely with multilateral organizations, strengthening its bilateral ties with antitrust agencies worldwide, and working with countries that are in the process of adopting antitrust laws.  </w:t>
      </w:r>
      <w:r w:rsidR="003B05E5" w:rsidRPr="00734223">
        <w:t xml:space="preserve">One of the most notable examples of the Division’s international efforts includes its participation in the International Competition Network (ICN).  </w:t>
      </w:r>
      <w:r w:rsidR="00C66655" w:rsidRPr="00E71D9A">
        <w:t xml:space="preserve">In </w:t>
      </w:r>
      <w:r w:rsidR="00E71D9A" w:rsidRPr="00E71D9A">
        <w:t>April</w:t>
      </w:r>
      <w:r w:rsidR="00C66655" w:rsidRPr="00E71D9A">
        <w:t xml:space="preserve"> 201</w:t>
      </w:r>
      <w:r w:rsidR="00E71D9A" w:rsidRPr="00E71D9A">
        <w:t>2</w:t>
      </w:r>
      <w:r w:rsidR="00C66655" w:rsidRPr="00E71D9A">
        <w:t>, at its 1</w:t>
      </w:r>
      <w:r w:rsidR="00E71D9A" w:rsidRPr="00E71D9A">
        <w:t>1</w:t>
      </w:r>
      <w:r w:rsidR="00C66655" w:rsidRPr="00E71D9A">
        <w:t xml:space="preserve">th annual conference in </w:t>
      </w:r>
      <w:r w:rsidR="00E71D9A" w:rsidRPr="00E71D9A">
        <w:t>Rio de Janeiro, Brazil</w:t>
      </w:r>
      <w:r w:rsidR="00E71D9A">
        <w:t xml:space="preserve"> </w:t>
      </w:r>
      <w:r w:rsidR="00C66655" w:rsidRPr="00E71D9A">
        <w:t xml:space="preserve">with </w:t>
      </w:r>
      <w:r w:rsidR="00E71D9A">
        <w:t>more than 450</w:t>
      </w:r>
      <w:r w:rsidR="00C66655" w:rsidRPr="00E71D9A">
        <w:t xml:space="preserve"> delegates and competition experts from more than </w:t>
      </w:r>
      <w:r w:rsidR="00E71D9A">
        <w:t>8</w:t>
      </w:r>
      <w:r w:rsidR="00C66655" w:rsidRPr="00E71D9A">
        <w:t xml:space="preserve">0 antitrust agencies in attendance, the ICN </w:t>
      </w:r>
      <w:r w:rsidR="00B667DB">
        <w:t>launched and approved three new initiatives on international enforcement cooperation, the investigative process in competition cases and working with the courts.  The ICN also adopted new materials on unilateral conduct investigations, raising anti-cartel awareness and explaining the benefits of competition.</w:t>
      </w:r>
      <w:r w:rsidR="00FD010C">
        <w:t xml:space="preserve">  </w:t>
      </w:r>
    </w:p>
    <w:p w:rsidR="00BF69EA" w:rsidRDefault="00BF69EA">
      <w:pPr>
        <w:tabs>
          <w:tab w:val="num" w:pos="720"/>
        </w:tabs>
        <w:ind w:left="720"/>
      </w:pPr>
    </w:p>
    <w:p w:rsidR="001548B5" w:rsidRDefault="003B05E5">
      <w:pPr>
        <w:tabs>
          <w:tab w:val="num" w:pos="720"/>
        </w:tabs>
        <w:ind w:left="720"/>
        <w:rPr>
          <w:color w:val="000000"/>
        </w:rPr>
      </w:pPr>
      <w:r>
        <w:t xml:space="preserve">With support from the Antitrust Division, the Organization for Economic Cooperation and Development (OECD) and the International Competition Network (ICN) are assisting substantially in Division efforts to achieve a more </w:t>
      </w:r>
      <w:r w:rsidR="00320C97">
        <w:t xml:space="preserve">transparent, and where appropriate, </w:t>
      </w:r>
      <w:r>
        <w:t>uniform worldwide application of central antitrust enforcement principles.</w:t>
      </w:r>
      <w:r w:rsidR="001548B5" w:rsidRPr="001548B5">
        <w:rPr>
          <w:color w:val="000000"/>
        </w:rPr>
        <w:t xml:space="preserve"> </w:t>
      </w:r>
    </w:p>
    <w:p w:rsidR="001C7276" w:rsidRDefault="001C7276">
      <w:pPr>
        <w:tabs>
          <w:tab w:val="num" w:pos="720"/>
        </w:tabs>
        <w:ind w:left="720"/>
        <w:rPr>
          <w:color w:val="000000"/>
        </w:rPr>
      </w:pPr>
    </w:p>
    <w:p w:rsidR="001C7276" w:rsidRDefault="001C7276">
      <w:pPr>
        <w:tabs>
          <w:tab w:val="num" w:pos="720"/>
        </w:tabs>
        <w:ind w:left="720"/>
        <w:rPr>
          <w:color w:val="000000"/>
        </w:rPr>
      </w:pPr>
    </w:p>
    <w:p w:rsidR="00734223" w:rsidRDefault="00734223" w:rsidP="001548B5">
      <w:pPr>
        <w:tabs>
          <w:tab w:val="num" w:pos="0"/>
        </w:tabs>
        <w:sectPr w:rsidR="00734223" w:rsidSect="0054642A">
          <w:endnotePr>
            <w:numFmt w:val="decimal"/>
          </w:endnotePr>
          <w:pgSz w:w="12240" w:h="15840" w:code="1"/>
          <w:pgMar w:top="1584" w:right="1440" w:bottom="576" w:left="1440" w:header="0" w:footer="288" w:gutter="0"/>
          <w:cols w:space="720"/>
          <w:noEndnote/>
        </w:sectPr>
      </w:pPr>
    </w:p>
    <w:p w:rsidR="003B05E5" w:rsidRDefault="003B05E5">
      <w:pPr>
        <w:ind w:left="720"/>
      </w:pPr>
      <w:r w:rsidRPr="00C122AA">
        <w:rPr>
          <w:b/>
          <w:u w:val="single"/>
        </w:rPr>
        <w:t>Laws Enforced:</w:t>
      </w:r>
      <w:r>
        <w:t xml:space="preserve">  There are three major federal antitrust laws: the Sherman Antitrust Act</w:t>
      </w:r>
      <w:r w:rsidR="0085104C">
        <w:t xml:space="preserve"> (pictured below)</w:t>
      </w:r>
      <w:r>
        <w:t xml:space="preserve">, the Clayton Act and the Federal Trade Commission Act.  The Sherman Antitrust Act has stood since 1890 as the principal law expressing the </w:t>
      </w:r>
      <w:smartTag w:uri="urn:schemas-microsoft-com:office:smarttags" w:element="country-region">
        <w:smartTag w:uri="urn:schemas-microsoft-com:office:smarttags" w:element="place">
          <w:r>
            <w:t>United States</w:t>
          </w:r>
        </w:smartTag>
      </w:smartTag>
      <w:r>
        <w:t>’ commitment to a free market economy. The Sherman Act outlaws all contracts, combinations and conspiracies that unreasonably restrain interstate and foreign trade.  The Department of Justice alone is empowered to bring criminal prosecutions under the Sherman Act.  The Clayton Act is a civil statute (carrying no criminal penalties) that was passed in 1914 and significantly amended in 1950.  The Clayton Act prohibits mergers or acquisitions that are likely to lessen competition.  The Federal Trade Commission Act prohibits unfair methods of competition in interstate commerce, but carries no criminal penalties.</w:t>
      </w:r>
    </w:p>
    <w:p w:rsidR="003B05E5" w:rsidRDefault="003B05E5">
      <w:pPr>
        <w:tabs>
          <w:tab w:val="left" w:pos="1440"/>
          <w:tab w:val="left" w:pos="2160"/>
          <w:tab w:val="left" w:pos="3600"/>
          <w:tab w:val="left" w:pos="4320"/>
          <w:tab w:val="left" w:pos="5040"/>
          <w:tab w:val="left" w:pos="5760"/>
          <w:tab w:val="left" w:pos="6480"/>
          <w:tab w:val="left" w:pos="7200"/>
          <w:tab w:val="left" w:pos="7920"/>
        </w:tabs>
      </w:pPr>
      <w:bookmarkStart w:id="180" w:name="a__"/>
      <w:bookmarkEnd w:id="180"/>
    </w:p>
    <w:p w:rsidR="003B05E5" w:rsidRDefault="00DD5825">
      <w:pPr>
        <w:ind w:left="1080"/>
      </w:pPr>
      <w:r>
        <w:rPr>
          <w:noProof/>
        </w:rPr>
        <w:pict>
          <v:shape id="_x0000_s1280" type="#_x0000_t75" alt="Image of page 1 of the Sherman Antitrust Act, July 2, 1890, P.L. 190." style="position:absolute;left:0;text-align:left;margin-left:-24pt;margin-top:18pt;width:237pt;height:343.2pt;z-index:251674112;mso-position-horizontal-relative:margin">
            <v:imagedata r:id="rId37" o:title="07672_2002_001_PR"/>
            <w10:wrap type="square" side="right" anchorx="margin"/>
          </v:shape>
        </w:pict>
      </w:r>
      <w:r>
        <w:rPr>
          <w:noProof/>
        </w:rPr>
        <w:pict>
          <v:shape id="_x0000_s1281" type="#_x0000_t75" alt="Image of page 2 of the Sherman Antitrust Act, July 2, 1890, P.L. 190." style="position:absolute;left:0;text-align:left;margin-left:230.25pt;margin-top:18pt;width:252pt;height:343.2pt;z-index:251675136;mso-position-horizontal-relative:margin">
            <v:imagedata r:id="rId38" o:title="07672_2002_002_PR"/>
            <w10:wrap type="square" anchorx="margin"/>
          </v:shape>
        </w:pict>
      </w:r>
    </w:p>
    <w:p w:rsidR="0085104C" w:rsidRDefault="00206AC6" w:rsidP="004E02B1">
      <w:pPr>
        <w:ind w:left="-450"/>
        <w:jc w:val="both"/>
      </w:pPr>
      <w:r>
        <w:rPr>
          <w:noProof/>
        </w:rPr>
        <w:t>(An Act to protect trade and commerce against unlawful restraints and monopolies ("Sherman Antitrust Act"), July 2, 1890; 51st Congress, 1st Session, Public Law #190; Record Group 11, General Records of the U.S.)</w:t>
      </w:r>
    </w:p>
    <w:p w:rsidR="0085104C" w:rsidRDefault="0085104C" w:rsidP="004E02B1">
      <w:pPr>
        <w:ind w:right="-270"/>
        <w:sectPr w:rsidR="0085104C" w:rsidSect="0054642A">
          <w:endnotePr>
            <w:numFmt w:val="decimal"/>
          </w:endnotePr>
          <w:pgSz w:w="12240" w:h="15840" w:code="1"/>
          <w:pgMar w:top="1584" w:right="1440" w:bottom="288" w:left="1440" w:header="0" w:footer="288" w:gutter="0"/>
          <w:cols w:space="720"/>
          <w:noEndnote/>
        </w:sectPr>
      </w:pPr>
    </w:p>
    <w:tbl>
      <w:tblPr>
        <w:tblW w:w="14211"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000"/>
      </w:tblPr>
      <w:tblGrid>
        <w:gridCol w:w="450"/>
        <w:gridCol w:w="37"/>
        <w:gridCol w:w="504"/>
        <w:gridCol w:w="3060"/>
        <w:gridCol w:w="28"/>
        <w:gridCol w:w="451"/>
        <w:gridCol w:w="1099"/>
        <w:gridCol w:w="460"/>
        <w:gridCol w:w="42"/>
        <w:gridCol w:w="1100"/>
        <w:gridCol w:w="17"/>
        <w:gridCol w:w="460"/>
        <w:gridCol w:w="195"/>
        <w:gridCol w:w="1708"/>
        <w:gridCol w:w="30"/>
        <w:gridCol w:w="422"/>
        <w:gridCol w:w="95"/>
        <w:gridCol w:w="1497"/>
        <w:gridCol w:w="459"/>
        <w:gridCol w:w="105"/>
        <w:gridCol w:w="1555"/>
        <w:gridCol w:w="418"/>
        <w:gridCol w:w="19"/>
      </w:tblGrid>
      <w:tr w:rsidR="003B05E5" w:rsidTr="001C4AF1">
        <w:trPr>
          <w:gridBefore w:val="1"/>
          <w:gridAfter w:val="1"/>
          <w:wBefore w:w="451" w:type="dxa"/>
          <w:wAfter w:w="12" w:type="dxa"/>
          <w:trHeight w:val="576"/>
          <w:jc w:val="center"/>
        </w:trPr>
        <w:tc>
          <w:tcPr>
            <w:tcW w:w="13748" w:type="dxa"/>
            <w:gridSpan w:val="21"/>
            <w:tcBorders>
              <w:top w:val="single" w:sz="24" w:space="0" w:color="000000"/>
              <w:bottom w:val="single" w:sz="6" w:space="0" w:color="000000"/>
            </w:tcBorders>
            <w:shd w:val="clear" w:color="auto" w:fill="auto"/>
          </w:tcPr>
          <w:p w:rsidR="003B05E5" w:rsidRDefault="003B05E5" w:rsidP="0054505E">
            <w:pPr>
              <w:pStyle w:val="TOC3"/>
            </w:pPr>
            <w:r>
              <w:t xml:space="preserve"> </w:t>
            </w:r>
          </w:p>
          <w:p w:rsidR="003B05E5" w:rsidRPr="00506916" w:rsidRDefault="003B05E5" w:rsidP="00506916">
            <w:pPr>
              <w:pStyle w:val="TOC4"/>
            </w:pPr>
            <w:r>
              <w:t xml:space="preserve"> </w:t>
            </w:r>
            <w:bookmarkStart w:id="181" w:name="_Toc349640470"/>
            <w:r w:rsidRPr="00506916">
              <w:t>2.  Performance and Resource Tables</w:t>
            </w:r>
            <w:bookmarkEnd w:id="181"/>
          </w:p>
        </w:tc>
      </w:tr>
      <w:tr w:rsidR="003B05E5" w:rsidTr="001C4AF1">
        <w:trPr>
          <w:gridBefore w:val="1"/>
          <w:gridAfter w:val="1"/>
          <w:wBefore w:w="451" w:type="dxa"/>
          <w:wAfter w:w="12" w:type="dxa"/>
          <w:trHeight w:val="576"/>
          <w:jc w:val="center"/>
        </w:trPr>
        <w:tc>
          <w:tcPr>
            <w:tcW w:w="13748" w:type="dxa"/>
            <w:gridSpan w:val="21"/>
            <w:tcBorders>
              <w:top w:val="single" w:sz="6" w:space="0" w:color="000000"/>
              <w:bottom w:val="single" w:sz="6" w:space="0" w:color="000000"/>
            </w:tcBorders>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15"/>
                <w:szCs w:val="15"/>
              </w:rPr>
            </w:pPr>
          </w:p>
          <w:p w:rsidR="003B05E5" w:rsidRPr="00506916"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20"/>
                <w:szCs w:val="20"/>
              </w:rPr>
            </w:pPr>
            <w:r w:rsidRPr="00506916">
              <w:rPr>
                <w:rFonts w:ascii="Arial" w:hAnsi="Arial" w:cs="Arial"/>
                <w:b/>
                <w:bCs/>
                <w:sz w:val="20"/>
                <w:szCs w:val="20"/>
              </w:rPr>
              <w:t xml:space="preserve">Decision Unit/Program: Antitrust </w:t>
            </w:r>
          </w:p>
        </w:tc>
      </w:tr>
      <w:tr w:rsidR="003B05E5" w:rsidTr="001C4AF1">
        <w:trPr>
          <w:gridBefore w:val="1"/>
          <w:gridAfter w:val="1"/>
          <w:wBefore w:w="451" w:type="dxa"/>
          <w:wAfter w:w="12" w:type="dxa"/>
          <w:trHeight w:val="390"/>
          <w:jc w:val="center"/>
        </w:trPr>
        <w:tc>
          <w:tcPr>
            <w:tcW w:w="13748" w:type="dxa"/>
            <w:gridSpan w:val="21"/>
            <w:tcBorders>
              <w:top w:val="single" w:sz="6" w:space="0" w:color="000000"/>
            </w:tcBorders>
            <w:shd w:val="clear" w:color="auto" w:fill="auto"/>
          </w:tcPr>
          <w:p w:rsidR="003B05E5" w:rsidRDefault="003B05E5">
            <w:pPr>
              <w:spacing w:line="14" w:lineRule="exact"/>
              <w:rPr>
                <w:rFonts w:ascii="Arial" w:hAnsi="Arial" w:cs="Arial"/>
                <w:b/>
                <w:bCs/>
                <w:sz w:val="15"/>
                <w:szCs w:val="15"/>
              </w:rPr>
            </w:pPr>
          </w:p>
          <w:p w:rsidR="003B05E5" w:rsidRPr="00506916"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b/>
                <w:bCs/>
                <w:sz w:val="20"/>
                <w:szCs w:val="20"/>
              </w:rPr>
            </w:pPr>
            <w:r w:rsidRPr="00506916">
              <w:rPr>
                <w:rFonts w:ascii="Arial" w:hAnsi="Arial" w:cs="Arial"/>
                <w:b/>
                <w:bCs/>
                <w:sz w:val="20"/>
                <w:szCs w:val="20"/>
              </w:rPr>
              <w:t>DOJ Strategic Goal</w:t>
            </w:r>
            <w:r w:rsidR="002A173F">
              <w:rPr>
                <w:rFonts w:ascii="Arial" w:hAnsi="Arial" w:cs="Arial"/>
                <w:b/>
                <w:bCs/>
                <w:sz w:val="20"/>
                <w:szCs w:val="20"/>
              </w:rPr>
              <w:t xml:space="preserve"> II:  Strategic </w:t>
            </w:r>
            <w:r w:rsidRPr="00506916">
              <w:rPr>
                <w:rFonts w:ascii="Arial" w:hAnsi="Arial" w:cs="Arial"/>
                <w:b/>
                <w:bCs/>
                <w:sz w:val="20"/>
                <w:szCs w:val="20"/>
              </w:rPr>
              <w:t>Objective</w:t>
            </w:r>
            <w:r w:rsidR="002A173F">
              <w:rPr>
                <w:rFonts w:ascii="Arial" w:hAnsi="Arial" w:cs="Arial"/>
                <w:b/>
                <w:bCs/>
                <w:sz w:val="20"/>
                <w:szCs w:val="20"/>
              </w:rPr>
              <w:t xml:space="preserve"> 2.6</w:t>
            </w:r>
            <w:r w:rsidRPr="00506916">
              <w:rPr>
                <w:rFonts w:ascii="Arial" w:hAnsi="Arial" w:cs="Arial"/>
                <w:b/>
                <w:bCs/>
                <w:sz w:val="20"/>
                <w:szCs w:val="20"/>
              </w:rPr>
              <w:t>: Criminal, Civil</w:t>
            </w:r>
          </w:p>
        </w:tc>
      </w:tr>
      <w:tr w:rsidR="008879F6" w:rsidTr="001C4AF1">
        <w:trPr>
          <w:gridBefore w:val="2"/>
          <w:wBefore w:w="489" w:type="dxa"/>
          <w:cantSplit/>
          <w:trHeight w:val="576"/>
          <w:jc w:val="center"/>
        </w:trPr>
        <w:tc>
          <w:tcPr>
            <w:tcW w:w="4043" w:type="dxa"/>
            <w:gridSpan w:val="4"/>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Pr="00601CE2" w:rsidRDefault="003B05E5">
            <w:pPr>
              <w:jc w:val="center"/>
              <w:rPr>
                <w:rFonts w:ascii="Arial" w:hAnsi="Arial" w:cs="Arial"/>
                <w:b/>
                <w:bCs/>
                <w:sz w:val="20"/>
                <w:szCs w:val="20"/>
              </w:rPr>
            </w:pPr>
            <w:r w:rsidRPr="00601CE2">
              <w:rPr>
                <w:rFonts w:ascii="Arial" w:hAnsi="Arial" w:cs="Arial"/>
                <w:b/>
                <w:bCs/>
                <w:sz w:val="20"/>
                <w:szCs w:val="20"/>
              </w:rPr>
              <w:t>WORKLOAD/RESOURCES</w:t>
            </w:r>
          </w:p>
        </w:tc>
        <w:tc>
          <w:tcPr>
            <w:tcW w:w="1560" w:type="dxa"/>
            <w:gridSpan w:val="2"/>
            <w:vAlign w:val="center"/>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r>
              <w:rPr>
                <w:rFonts w:ascii="Arial" w:hAnsi="Arial" w:cs="Arial"/>
                <w:b/>
                <w:bCs/>
                <w:sz w:val="15"/>
                <w:szCs w:val="15"/>
              </w:rPr>
              <w:t>Target</w:t>
            </w:r>
          </w:p>
        </w:tc>
        <w:tc>
          <w:tcPr>
            <w:tcW w:w="1620" w:type="dxa"/>
            <w:gridSpan w:val="4"/>
            <w:tcBorders>
              <w:bottom w:val="single" w:sz="6" w:space="0" w:color="000000"/>
            </w:tcBorders>
            <w:shd w:val="clear" w:color="auto" w:fill="auto"/>
          </w:tcPr>
          <w:p w:rsidR="003B05E5" w:rsidRDefault="003B05E5">
            <w:pPr>
              <w:rPr>
                <w:rFonts w:ascii="Arial" w:hAnsi="Arial" w:cs="Arial"/>
                <w:b/>
                <w:bCs/>
                <w:sz w:val="15"/>
              </w:rPr>
            </w:pPr>
            <w:r>
              <w:rPr>
                <w:rFonts w:ascii="Arial" w:hAnsi="Arial" w:cs="Arial"/>
                <w:b/>
                <w:bCs/>
                <w:sz w:val="15"/>
              </w:rPr>
              <w:t xml:space="preserve"> </w:t>
            </w:r>
          </w:p>
          <w:p w:rsidR="003B05E5" w:rsidRDefault="000467C1" w:rsidP="00286196">
            <w:pPr>
              <w:tabs>
                <w:tab w:val="left" w:pos="370"/>
                <w:tab w:val="center" w:pos="793"/>
              </w:tabs>
              <w:jc w:val="center"/>
              <w:rPr>
                <w:rFonts w:ascii="Arial" w:hAnsi="Arial" w:cs="Arial"/>
                <w:b/>
                <w:bCs/>
                <w:sz w:val="15"/>
              </w:rPr>
            </w:pPr>
            <w:r w:rsidRPr="00D006C8">
              <w:rPr>
                <w:rFonts w:ascii="Arial" w:hAnsi="Arial" w:cs="Arial"/>
                <w:b/>
                <w:bCs/>
                <w:sz w:val="15"/>
              </w:rPr>
              <w:t>Actual</w:t>
            </w:r>
          </w:p>
        </w:tc>
        <w:tc>
          <w:tcPr>
            <w:tcW w:w="2356" w:type="dxa"/>
            <w:gridSpan w:val="4"/>
            <w:tcBorders>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Projected</w:t>
            </w:r>
          </w:p>
        </w:tc>
        <w:tc>
          <w:tcPr>
            <w:tcW w:w="2052" w:type="dxa"/>
            <w:gridSpan w:val="3"/>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Changes</w:t>
            </w:r>
          </w:p>
        </w:tc>
        <w:tc>
          <w:tcPr>
            <w:tcW w:w="2091" w:type="dxa"/>
            <w:gridSpan w:val="4"/>
            <w:shd w:val="clear" w:color="auto" w:fill="auto"/>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Requested</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(Total)</w:t>
            </w:r>
          </w:p>
        </w:tc>
      </w:tr>
      <w:tr w:rsidR="008879F6" w:rsidRPr="00D91234" w:rsidTr="001C4AF1">
        <w:trPr>
          <w:gridAfter w:val="2"/>
          <w:wAfter w:w="430" w:type="dxa"/>
          <w:cantSplit/>
          <w:trHeight w:val="576"/>
          <w:jc w:val="center"/>
        </w:trPr>
        <w:tc>
          <w:tcPr>
            <w:tcW w:w="4081" w:type="dxa"/>
            <w:gridSpan w:val="5"/>
          </w:tcPr>
          <w:p w:rsidR="003B05E5" w:rsidRDefault="003B05E5">
            <w:pPr>
              <w:spacing w:line="14"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1551" w:type="dxa"/>
            <w:gridSpan w:val="2"/>
            <w:vAlign w:val="center"/>
          </w:tcPr>
          <w:p w:rsidR="003B05E5" w:rsidRDefault="003B05E5" w:rsidP="006D1F95">
            <w:pPr>
              <w:spacing w:line="14" w:lineRule="exact"/>
              <w:jc w:val="center"/>
              <w:rPr>
                <w:rFonts w:ascii="Arial" w:hAnsi="Arial" w:cs="Arial"/>
                <w:b/>
                <w:bCs/>
                <w:sz w:val="15"/>
                <w:szCs w:val="15"/>
              </w:rPr>
            </w:pPr>
          </w:p>
          <w:p w:rsidR="003B05E5" w:rsidRDefault="003B05E5" w:rsidP="006D1F9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rsidP="006D1F9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1444D1">
              <w:rPr>
                <w:rFonts w:ascii="Arial" w:hAnsi="Arial" w:cs="Arial"/>
                <w:b/>
                <w:bCs/>
                <w:sz w:val="15"/>
                <w:szCs w:val="15"/>
              </w:rPr>
              <w:t>1</w:t>
            </w:r>
            <w:r w:rsidR="00601CE2">
              <w:rPr>
                <w:rFonts w:ascii="Arial" w:hAnsi="Arial" w:cs="Arial"/>
                <w:b/>
                <w:bCs/>
                <w:sz w:val="15"/>
                <w:szCs w:val="15"/>
              </w:rPr>
              <w:t>2</w:t>
            </w:r>
          </w:p>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tc>
        <w:tc>
          <w:tcPr>
            <w:tcW w:w="1620" w:type="dxa"/>
            <w:gridSpan w:val="4"/>
            <w:tcBorders>
              <w:top w:val="single" w:sz="6" w:space="0" w:color="000000"/>
              <w:bottom w:val="single" w:sz="6" w:space="0" w:color="000000"/>
            </w:tcBorders>
            <w:shd w:val="clear" w:color="auto" w:fill="auto"/>
            <w:vAlign w:val="center"/>
          </w:tcPr>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7E37AD" w:rsidRDefault="003B05E5" w:rsidP="007E37A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1444D1">
              <w:rPr>
                <w:rFonts w:ascii="Arial" w:hAnsi="Arial" w:cs="Arial"/>
                <w:b/>
                <w:bCs/>
                <w:sz w:val="15"/>
                <w:szCs w:val="15"/>
              </w:rPr>
              <w:t>1</w:t>
            </w:r>
            <w:r w:rsidR="00601CE2">
              <w:rPr>
                <w:rFonts w:ascii="Arial" w:hAnsi="Arial" w:cs="Arial"/>
                <w:b/>
                <w:bCs/>
                <w:sz w:val="15"/>
                <w:szCs w:val="15"/>
              </w:rPr>
              <w:t>2</w:t>
            </w:r>
          </w:p>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tc>
        <w:tc>
          <w:tcPr>
            <w:tcW w:w="2364" w:type="dxa"/>
            <w:gridSpan w:val="3"/>
            <w:tcBorders>
              <w:top w:val="single" w:sz="6" w:space="0" w:color="000000"/>
              <w:bottom w:val="single" w:sz="6" w:space="0" w:color="000000"/>
            </w:tcBorders>
            <w:shd w:val="clear" w:color="auto" w:fill="auto"/>
            <w:vAlign w:val="center"/>
          </w:tcPr>
          <w:p w:rsidR="006D1F95" w:rsidRDefault="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Pr="00D006C8" w:rsidRDefault="00F36DC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sidRPr="00D006C8">
              <w:rPr>
                <w:rFonts w:ascii="Arial" w:hAnsi="Arial" w:cs="Arial"/>
                <w:b/>
                <w:bCs/>
                <w:sz w:val="15"/>
                <w:szCs w:val="15"/>
              </w:rPr>
              <w:t>FY 201</w:t>
            </w:r>
            <w:r w:rsidR="00601CE2">
              <w:rPr>
                <w:rFonts w:ascii="Arial" w:hAnsi="Arial" w:cs="Arial"/>
                <w:b/>
                <w:bCs/>
                <w:sz w:val="15"/>
                <w:szCs w:val="15"/>
              </w:rPr>
              <w:t>3</w:t>
            </w:r>
            <w:r w:rsidR="006532CB">
              <w:rPr>
                <w:rFonts w:ascii="Arial" w:hAnsi="Arial" w:cs="Arial"/>
                <w:b/>
                <w:bCs/>
                <w:sz w:val="15"/>
                <w:szCs w:val="15"/>
              </w:rPr>
              <w:t xml:space="preserve"> CR</w:t>
            </w:r>
          </w:p>
          <w:p w:rsidR="003B05E5" w:rsidRDefault="003B05E5" w:rsidP="006D1F9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b/>
                <w:bCs/>
                <w:sz w:val="15"/>
                <w:szCs w:val="15"/>
              </w:rPr>
            </w:pPr>
          </w:p>
        </w:tc>
        <w:tc>
          <w:tcPr>
            <w:tcW w:w="2045" w:type="dxa"/>
            <w:gridSpan w:val="4"/>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jc w:val="center"/>
              <w:rPr>
                <w:rFonts w:ascii="Arial" w:hAnsi="Arial" w:cs="Arial"/>
                <w:b/>
                <w:bCs/>
                <w:sz w:val="15"/>
              </w:rPr>
            </w:pPr>
            <w:r>
              <w:rPr>
                <w:rFonts w:ascii="Arial" w:hAnsi="Arial" w:cs="Arial"/>
                <w:b/>
                <w:bCs/>
                <w:sz w:val="15"/>
              </w:rPr>
              <w:t>Current</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Services</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Adjustments and FY 201</w:t>
            </w:r>
            <w:r w:rsidR="00601CE2">
              <w:rPr>
                <w:rFonts w:ascii="Arial" w:hAnsi="Arial" w:cs="Arial"/>
                <w:b/>
                <w:bCs/>
                <w:sz w:val="15"/>
                <w:szCs w:val="15"/>
              </w:rPr>
              <w:t>4</w:t>
            </w:r>
            <w:r>
              <w:rPr>
                <w:rFonts w:ascii="Arial" w:hAnsi="Arial" w:cs="Arial"/>
                <w:b/>
                <w:bCs/>
                <w:sz w:val="15"/>
                <w:szCs w:val="15"/>
              </w:rPr>
              <w:t xml:space="preserve"> Program Changes</w:t>
            </w:r>
          </w:p>
        </w:tc>
        <w:tc>
          <w:tcPr>
            <w:tcW w:w="2120" w:type="dxa"/>
            <w:gridSpan w:val="3"/>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201</w:t>
            </w:r>
            <w:r w:rsidR="00601CE2">
              <w:rPr>
                <w:rFonts w:ascii="Arial" w:hAnsi="Arial" w:cs="Arial"/>
                <w:b/>
                <w:bCs/>
                <w:sz w:val="15"/>
                <w:szCs w:val="15"/>
              </w:rPr>
              <w:t>4</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Request</w:t>
            </w:r>
          </w:p>
        </w:tc>
      </w:tr>
      <w:tr w:rsidR="008879F6" w:rsidTr="001C4AF1">
        <w:trPr>
          <w:gridAfter w:val="2"/>
          <w:wAfter w:w="437" w:type="dxa"/>
          <w:cantSplit/>
          <w:trHeight w:val="576"/>
          <w:jc w:val="center"/>
        </w:trPr>
        <w:tc>
          <w:tcPr>
            <w:tcW w:w="4053" w:type="dxa"/>
            <w:gridSpan w:val="4"/>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 xml:space="preserve">Workload  - </w:t>
            </w:r>
            <w:r w:rsidRPr="005713E8">
              <w:rPr>
                <w:rFonts w:ascii="Arial" w:hAnsi="Arial" w:cs="Arial"/>
                <w:bCs/>
                <w:sz w:val="18"/>
                <w:szCs w:val="18"/>
              </w:rPr>
              <w:t>Number of HSR Transactions Received</w:t>
            </w: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p>
        </w:tc>
        <w:tc>
          <w:tcPr>
            <w:tcW w:w="1579" w:type="dxa"/>
            <w:gridSpan w:val="3"/>
            <w:tcBorders>
              <w:top w:val="single" w:sz="6" w:space="0" w:color="000000"/>
              <w:bottom w:val="single" w:sz="6" w:space="0" w:color="000000"/>
            </w:tcBorders>
            <w:vAlign w:val="center"/>
          </w:tcPr>
          <w:p w:rsidR="003B05E5" w:rsidRDefault="003B05E5">
            <w:pPr>
              <w:spacing w:line="14" w:lineRule="exact"/>
              <w:jc w:val="center"/>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c>
          <w:tcPr>
            <w:tcW w:w="1603" w:type="dxa"/>
            <w:gridSpan w:val="3"/>
            <w:tcBorders>
              <w:top w:val="single" w:sz="6" w:space="0" w:color="000000"/>
              <w:bottom w:val="single" w:sz="6" w:space="0" w:color="000000"/>
            </w:tcBorders>
            <w:shd w:val="clear" w:color="auto" w:fill="auto"/>
            <w:vAlign w:val="center"/>
          </w:tcPr>
          <w:p w:rsidR="007E37AD" w:rsidRDefault="00771661" w:rsidP="007E37A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1,436</w:t>
            </w:r>
          </w:p>
        </w:tc>
        <w:tc>
          <w:tcPr>
            <w:tcW w:w="2411" w:type="dxa"/>
            <w:gridSpan w:val="5"/>
            <w:tcBorders>
              <w:top w:val="single" w:sz="6" w:space="0" w:color="000000"/>
              <w:bottom w:val="single" w:sz="6" w:space="0" w:color="000000"/>
            </w:tcBorders>
            <w:shd w:val="clear" w:color="auto" w:fill="auto"/>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c>
          <w:tcPr>
            <w:tcW w:w="2011" w:type="dxa"/>
            <w:gridSpan w:val="3"/>
            <w:shd w:val="clear" w:color="auto" w:fill="auto"/>
            <w:vAlign w:val="center"/>
          </w:tcPr>
          <w:p w:rsidR="003B05E5" w:rsidRDefault="00C342E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cyan"/>
              </w:rPr>
            </w:pPr>
            <w:r>
              <w:rPr>
                <w:rFonts w:ascii="Arial" w:hAnsi="Arial" w:cs="Arial"/>
                <w:sz w:val="15"/>
                <w:szCs w:val="15"/>
              </w:rPr>
              <w:t>0</w:t>
            </w:r>
          </w:p>
        </w:tc>
        <w:tc>
          <w:tcPr>
            <w:tcW w:w="2117" w:type="dxa"/>
            <w:gridSpan w:val="3"/>
            <w:shd w:val="clear" w:color="auto" w:fill="auto"/>
            <w:vAlign w:val="center"/>
          </w:tcPr>
          <w:p w:rsidR="003B05E5" w:rsidRDefault="001444D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1,635</w:t>
            </w:r>
          </w:p>
        </w:tc>
      </w:tr>
      <w:tr w:rsidR="00F4784E" w:rsidTr="001C4AF1">
        <w:trPr>
          <w:gridAfter w:val="2"/>
          <w:wAfter w:w="437" w:type="dxa"/>
          <w:cantSplit/>
          <w:trHeight w:val="576"/>
          <w:jc w:val="center"/>
        </w:trPr>
        <w:tc>
          <w:tcPr>
            <w:tcW w:w="4053" w:type="dxa"/>
            <w:gridSpan w:val="4"/>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r w:rsidRPr="00914B73">
              <w:rPr>
                <w:rFonts w:ascii="Arial" w:hAnsi="Arial" w:cs="Arial"/>
                <w:b/>
                <w:bCs/>
                <w:sz w:val="20"/>
                <w:szCs w:val="20"/>
              </w:rPr>
              <w:t>Total Costs and FTE</w:t>
            </w:r>
          </w:p>
        </w:tc>
        <w:tc>
          <w:tcPr>
            <w:tcW w:w="479" w:type="dxa"/>
            <w:gridSpan w:val="2"/>
            <w:tcBorders>
              <w:top w:val="single" w:sz="6" w:space="0" w:color="000000"/>
            </w:tcBorders>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100" w:type="dxa"/>
            <w:tcBorders>
              <w:top w:val="single" w:sz="6" w:space="0" w:color="000000"/>
            </w:tcBorders>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502" w:type="dxa"/>
            <w:gridSpan w:val="2"/>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101" w:type="dxa"/>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672" w:type="dxa"/>
            <w:gridSpan w:val="3"/>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739" w:type="dxa"/>
            <w:gridSpan w:val="2"/>
            <w:tcBorders>
              <w:top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517"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494"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c>
          <w:tcPr>
            <w:tcW w:w="564"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FTE</w:t>
            </w:r>
          </w:p>
        </w:tc>
        <w:tc>
          <w:tcPr>
            <w:tcW w:w="1553"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$000</w:t>
            </w:r>
          </w:p>
        </w:tc>
      </w:tr>
      <w:tr w:rsidR="00F4784E" w:rsidTr="00F00C41">
        <w:trPr>
          <w:gridAfter w:val="2"/>
          <w:wAfter w:w="437" w:type="dxa"/>
          <w:cantSplit/>
          <w:trHeight w:val="576"/>
          <w:jc w:val="center"/>
        </w:trPr>
        <w:tc>
          <w:tcPr>
            <w:tcW w:w="4053" w:type="dxa"/>
            <w:gridSpan w:val="4"/>
            <w:vAlign w:val="center"/>
          </w:tcPr>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r w:rsidRPr="00914B73">
              <w:rPr>
                <w:rFonts w:ascii="Arial" w:hAnsi="Arial" w:cs="Arial"/>
                <w:b/>
                <w:bCs/>
                <w:sz w:val="20"/>
                <w:szCs w:val="20"/>
              </w:rPr>
              <w:t>Antitrust</w:t>
            </w:r>
          </w:p>
        </w:tc>
        <w:tc>
          <w:tcPr>
            <w:tcW w:w="479" w:type="dxa"/>
            <w:gridSpan w:val="2"/>
            <w:vAlign w:val="center"/>
          </w:tcPr>
          <w:p w:rsidR="003B05E5" w:rsidRDefault="000467C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rPr>
            </w:pPr>
            <w:r w:rsidRPr="00BF5914">
              <w:rPr>
                <w:rFonts w:ascii="Arial" w:hAnsi="Arial" w:cs="Arial"/>
                <w:sz w:val="15"/>
                <w:szCs w:val="15"/>
              </w:rPr>
              <w:t>851</w:t>
            </w:r>
          </w:p>
        </w:tc>
        <w:tc>
          <w:tcPr>
            <w:tcW w:w="1100" w:type="dxa"/>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w:t>
            </w:r>
            <w:r w:rsidR="00601CE2">
              <w:rPr>
                <w:rFonts w:ascii="Arial" w:hAnsi="Arial" w:cs="Arial"/>
                <w:sz w:val="15"/>
                <w:szCs w:val="15"/>
              </w:rPr>
              <w:t>59,587</w:t>
            </w:r>
            <w:r w:rsidR="001444D1">
              <w:rPr>
                <w:rFonts w:ascii="Arial" w:hAnsi="Arial" w:cs="Arial"/>
                <w:sz w:val="15"/>
                <w:szCs w:val="15"/>
              </w:rPr>
              <w:t xml:space="preserve"> </w:t>
            </w:r>
          </w:p>
        </w:tc>
        <w:tc>
          <w:tcPr>
            <w:tcW w:w="502" w:type="dxa"/>
            <w:gridSpan w:val="2"/>
            <w:tcBorders>
              <w:top w:val="single" w:sz="6" w:space="0" w:color="000000"/>
              <w:bottom w:val="single" w:sz="6" w:space="0" w:color="000000"/>
            </w:tcBorders>
            <w:shd w:val="clear" w:color="auto" w:fill="auto"/>
            <w:vAlign w:val="center"/>
          </w:tcPr>
          <w:p w:rsidR="003B05E5" w:rsidRDefault="00F00C41" w:rsidP="00F00C4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lightGray"/>
              </w:rPr>
            </w:pPr>
            <w:r w:rsidRPr="00F00C41">
              <w:rPr>
                <w:rFonts w:ascii="Arial" w:hAnsi="Arial" w:cs="Arial"/>
                <w:sz w:val="15"/>
                <w:szCs w:val="15"/>
              </w:rPr>
              <w:t>705</w:t>
            </w:r>
          </w:p>
        </w:tc>
        <w:tc>
          <w:tcPr>
            <w:tcW w:w="1101" w:type="dxa"/>
            <w:tcBorders>
              <w:top w:val="single" w:sz="6" w:space="0" w:color="000000"/>
              <w:bottom w:val="single" w:sz="6" w:space="0" w:color="000000"/>
            </w:tcBorders>
            <w:shd w:val="clear" w:color="auto" w:fill="auto"/>
            <w:vAlign w:val="center"/>
          </w:tcPr>
          <w:p w:rsidR="003B05E5" w:rsidRDefault="003B7D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$165,459</w:t>
            </w:r>
          </w:p>
        </w:tc>
        <w:tc>
          <w:tcPr>
            <w:tcW w:w="672" w:type="dxa"/>
            <w:gridSpan w:val="3"/>
            <w:shd w:val="clear" w:color="auto" w:fill="auto"/>
            <w:vAlign w:val="center"/>
          </w:tcPr>
          <w:p w:rsidR="003B05E5" w:rsidRDefault="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rPr>
            </w:pPr>
            <w:r>
              <w:rPr>
                <w:rFonts w:ascii="Arial" w:hAnsi="Arial" w:cs="Arial"/>
                <w:sz w:val="15"/>
                <w:szCs w:val="15"/>
              </w:rPr>
              <w:t>676</w:t>
            </w:r>
          </w:p>
        </w:tc>
        <w:tc>
          <w:tcPr>
            <w:tcW w:w="1739" w:type="dxa"/>
            <w:gridSpan w:val="2"/>
            <w:shd w:val="clear" w:color="auto" w:fill="auto"/>
            <w:vAlign w:val="center"/>
          </w:tcPr>
          <w:p w:rsidR="007E37AD" w:rsidRDefault="00E3256B"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$1</w:t>
            </w:r>
            <w:r w:rsidR="00F4784E">
              <w:rPr>
                <w:rFonts w:ascii="Arial" w:hAnsi="Arial" w:cs="Arial"/>
                <w:sz w:val="15"/>
                <w:szCs w:val="15"/>
              </w:rPr>
              <w:t>6</w:t>
            </w:r>
            <w:r w:rsidR="001C4AF1">
              <w:rPr>
                <w:rFonts w:ascii="Arial" w:hAnsi="Arial" w:cs="Arial"/>
                <w:sz w:val="15"/>
                <w:szCs w:val="15"/>
              </w:rPr>
              <w:t>0</w:t>
            </w:r>
            <w:r w:rsidR="00F4784E">
              <w:rPr>
                <w:rFonts w:ascii="Arial" w:hAnsi="Arial" w:cs="Arial"/>
                <w:sz w:val="15"/>
                <w:szCs w:val="15"/>
              </w:rPr>
              <w:t>,</w:t>
            </w:r>
            <w:r w:rsidR="001C4AF1">
              <w:rPr>
                <w:rFonts w:ascii="Arial" w:hAnsi="Arial" w:cs="Arial"/>
                <w:sz w:val="15"/>
                <w:szCs w:val="15"/>
              </w:rPr>
              <w:t>564</w:t>
            </w:r>
          </w:p>
        </w:tc>
        <w:tc>
          <w:tcPr>
            <w:tcW w:w="517" w:type="dxa"/>
            <w:gridSpan w:val="2"/>
            <w:shd w:val="clear" w:color="auto" w:fill="auto"/>
            <w:vAlign w:val="center"/>
          </w:tcPr>
          <w:p w:rsidR="002E0153" w:rsidRDefault="00E3256B"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yellow"/>
              </w:rPr>
            </w:pPr>
            <w:r w:rsidRPr="00BF5914">
              <w:rPr>
                <w:rFonts w:ascii="Arial" w:hAnsi="Arial" w:cs="Arial"/>
                <w:sz w:val="15"/>
                <w:szCs w:val="15"/>
              </w:rPr>
              <w:t>0</w:t>
            </w:r>
          </w:p>
        </w:tc>
        <w:tc>
          <w:tcPr>
            <w:tcW w:w="1494" w:type="dxa"/>
            <w:shd w:val="clear" w:color="auto" w:fill="auto"/>
            <w:vAlign w:val="center"/>
          </w:tcPr>
          <w:p w:rsidR="007E37AD" w:rsidRDefault="0004225D"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w:t>
            </w:r>
            <w:r w:rsidR="001C4AF1">
              <w:rPr>
                <w:rFonts w:ascii="Arial" w:hAnsi="Arial" w:cs="Arial"/>
                <w:sz w:val="15"/>
                <w:szCs w:val="15"/>
              </w:rPr>
              <w:t>-15</w:t>
            </w:r>
            <w:r w:rsidR="00DF5C10">
              <w:rPr>
                <w:rFonts w:ascii="Arial" w:hAnsi="Arial" w:cs="Arial"/>
                <w:sz w:val="15"/>
                <w:szCs w:val="15"/>
              </w:rPr>
              <w:t>4</w:t>
            </w:r>
          </w:p>
        </w:tc>
        <w:tc>
          <w:tcPr>
            <w:tcW w:w="564" w:type="dxa"/>
            <w:gridSpan w:val="2"/>
            <w:shd w:val="clear" w:color="auto" w:fill="auto"/>
            <w:vAlign w:val="center"/>
          </w:tcPr>
          <w:p w:rsidR="002E0153" w:rsidRDefault="001C4AF1" w:rsidP="002E015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line="120" w:lineRule="exact"/>
              <w:jc w:val="center"/>
              <w:rPr>
                <w:rFonts w:ascii="Arial" w:hAnsi="Arial" w:cs="Arial"/>
                <w:sz w:val="15"/>
                <w:szCs w:val="15"/>
                <w:highlight w:val="yellow"/>
              </w:rPr>
            </w:pPr>
            <w:r>
              <w:rPr>
                <w:rFonts w:ascii="Arial" w:hAnsi="Arial" w:cs="Arial"/>
                <w:sz w:val="15"/>
                <w:szCs w:val="15"/>
              </w:rPr>
              <w:t>676</w:t>
            </w:r>
          </w:p>
        </w:tc>
        <w:tc>
          <w:tcPr>
            <w:tcW w:w="1553" w:type="dxa"/>
            <w:shd w:val="clear" w:color="auto" w:fill="auto"/>
            <w:vAlign w:val="center"/>
          </w:tcPr>
          <w:p w:rsidR="007E37AD" w:rsidRDefault="00E3256B"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627757">
              <w:rPr>
                <w:rFonts w:ascii="Arial" w:hAnsi="Arial" w:cs="Arial"/>
                <w:sz w:val="15"/>
                <w:szCs w:val="15"/>
              </w:rPr>
              <w:t>$16</w:t>
            </w:r>
            <w:r w:rsidR="001C4AF1">
              <w:rPr>
                <w:rFonts w:ascii="Arial" w:hAnsi="Arial" w:cs="Arial"/>
                <w:sz w:val="15"/>
                <w:szCs w:val="15"/>
              </w:rPr>
              <w:t>0,410</w:t>
            </w:r>
          </w:p>
        </w:tc>
      </w:tr>
      <w:tr w:rsidR="008879F6" w:rsidTr="001C4AF1">
        <w:trPr>
          <w:gridAfter w:val="2"/>
          <w:wAfter w:w="437" w:type="dxa"/>
          <w:cantSplit/>
          <w:trHeight w:val="576"/>
          <w:jc w:val="center"/>
        </w:trPr>
        <w:tc>
          <w:tcPr>
            <w:tcW w:w="993" w:type="dxa"/>
            <w:gridSpan w:val="3"/>
            <w:tcBorders>
              <w:bottom w:val="single" w:sz="6" w:space="0" w:color="000000"/>
            </w:tcBorders>
          </w:tcPr>
          <w:p w:rsidR="003B05E5" w:rsidRDefault="003B05E5">
            <w:pPr>
              <w:jc w:val="center"/>
              <w:rPr>
                <w:rFonts w:ascii="Arial" w:hAnsi="Arial" w:cs="Arial"/>
                <w:b/>
                <w:bCs/>
                <w:sz w:val="15"/>
              </w:rPr>
            </w:pPr>
          </w:p>
          <w:p w:rsidR="005713E8" w:rsidRDefault="005713E8">
            <w:pPr>
              <w:jc w:val="center"/>
              <w:rPr>
                <w:rFonts w:ascii="Arial" w:hAnsi="Arial" w:cs="Arial"/>
                <w:b/>
                <w:bCs/>
                <w:sz w:val="15"/>
              </w:rPr>
            </w:pPr>
          </w:p>
          <w:p w:rsidR="003B05E5" w:rsidRPr="00506916" w:rsidRDefault="003B05E5">
            <w:pPr>
              <w:jc w:val="center"/>
              <w:rPr>
                <w:rFonts w:ascii="Arial" w:hAnsi="Arial" w:cs="Arial"/>
                <w:b/>
                <w:bCs/>
                <w:sz w:val="18"/>
                <w:szCs w:val="18"/>
              </w:rPr>
            </w:pPr>
            <w:r w:rsidRPr="00506916">
              <w:rPr>
                <w:rFonts w:ascii="Arial" w:hAnsi="Arial" w:cs="Arial"/>
                <w:b/>
                <w:bCs/>
                <w:sz w:val="18"/>
                <w:szCs w:val="18"/>
              </w:rPr>
              <w:t>TYPE/ Strategic Objective</w:t>
            </w:r>
          </w:p>
        </w:tc>
        <w:tc>
          <w:tcPr>
            <w:tcW w:w="3060" w:type="dxa"/>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5713E8" w:rsidRDefault="005713E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20"/>
                <w:szCs w:val="20"/>
              </w:rPr>
            </w:pPr>
          </w:p>
          <w:p w:rsidR="003B05E5" w:rsidRPr="00914B73"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20"/>
                <w:szCs w:val="20"/>
              </w:rPr>
            </w:pPr>
            <w:r w:rsidRPr="00914B73">
              <w:rPr>
                <w:rFonts w:ascii="Arial" w:hAnsi="Arial" w:cs="Arial"/>
                <w:b/>
                <w:bCs/>
                <w:sz w:val="20"/>
                <w:szCs w:val="20"/>
              </w:rPr>
              <w:t>PERFORMANCE</w:t>
            </w:r>
            <w:r w:rsidRPr="00914B73">
              <w:rPr>
                <w:rFonts w:ascii="Arial" w:hAnsi="Arial" w:cs="Arial"/>
                <w:sz w:val="20"/>
                <w:szCs w:val="20"/>
              </w:rPr>
              <w:t>/</w:t>
            </w:r>
            <w:r w:rsidRPr="00914B73">
              <w:rPr>
                <w:rFonts w:ascii="Arial" w:hAnsi="Arial" w:cs="Arial"/>
                <w:b/>
                <w:bCs/>
                <w:sz w:val="20"/>
                <w:szCs w:val="20"/>
              </w:rPr>
              <w:t>RESOURCES</w:t>
            </w:r>
          </w:p>
        </w:tc>
        <w:tc>
          <w:tcPr>
            <w:tcW w:w="1579" w:type="dxa"/>
            <w:gridSpan w:val="3"/>
            <w:vAlign w:val="center"/>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5713E8" w:rsidRDefault="005713E8">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C32099">
              <w:rPr>
                <w:rFonts w:ascii="Arial" w:hAnsi="Arial" w:cs="Arial"/>
                <w:b/>
                <w:bCs/>
                <w:sz w:val="15"/>
                <w:szCs w:val="15"/>
              </w:rPr>
              <w:t>1</w:t>
            </w:r>
            <w:r w:rsidR="00601CE2">
              <w:rPr>
                <w:rFonts w:ascii="Arial" w:hAnsi="Arial" w:cs="Arial"/>
                <w:b/>
                <w:bCs/>
                <w:sz w:val="15"/>
                <w:szCs w:val="15"/>
              </w:rPr>
              <w:t>2</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1603" w:type="dxa"/>
            <w:gridSpan w:val="3"/>
            <w:tcBorders>
              <w:top w:val="single" w:sz="6" w:space="0" w:color="000000"/>
              <w:bottom w:val="single" w:sz="6" w:space="0" w:color="000000"/>
            </w:tcBorders>
            <w:shd w:val="clear" w:color="auto" w:fill="auto"/>
            <w:vAlign w:val="center"/>
          </w:tcPr>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spacing w:line="14" w:lineRule="exact"/>
              <w:jc w:val="center"/>
              <w:rPr>
                <w:rFonts w:ascii="Arial" w:hAnsi="Arial" w:cs="Arial"/>
                <w:b/>
                <w:bCs/>
                <w:sz w:val="15"/>
                <w:szCs w:val="15"/>
                <w:highlight w:val="lightGray"/>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w:t>
            </w:r>
            <w:r w:rsidR="00C32099">
              <w:rPr>
                <w:rFonts w:ascii="Arial" w:hAnsi="Arial" w:cs="Arial"/>
                <w:b/>
                <w:bCs/>
                <w:sz w:val="15"/>
                <w:szCs w:val="15"/>
              </w:rPr>
              <w:t>1</w:t>
            </w:r>
            <w:r w:rsidR="00601CE2">
              <w:rPr>
                <w:rFonts w:ascii="Arial" w:hAnsi="Arial" w:cs="Arial"/>
                <w:b/>
                <w:bCs/>
                <w:sz w:val="15"/>
                <w:szCs w:val="15"/>
              </w:rPr>
              <w:t>2</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highlight w:val="lightGray"/>
              </w:rPr>
            </w:pPr>
          </w:p>
        </w:tc>
        <w:tc>
          <w:tcPr>
            <w:tcW w:w="2411" w:type="dxa"/>
            <w:gridSpan w:val="5"/>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FY 201</w:t>
            </w:r>
            <w:r w:rsidR="00F4784E">
              <w:rPr>
                <w:rFonts w:ascii="Arial" w:hAnsi="Arial" w:cs="Arial"/>
                <w:b/>
                <w:bCs/>
                <w:sz w:val="15"/>
                <w:szCs w:val="15"/>
              </w:rPr>
              <w:t>3</w:t>
            </w:r>
            <w:r w:rsidR="001C4AF1">
              <w:rPr>
                <w:rFonts w:ascii="Arial" w:hAnsi="Arial" w:cs="Arial"/>
                <w:b/>
                <w:bCs/>
                <w:sz w:val="15"/>
                <w:szCs w:val="15"/>
              </w:rPr>
              <w:t xml:space="preserve"> CR</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2011" w:type="dxa"/>
            <w:gridSpan w:val="3"/>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jc w:val="center"/>
              <w:rPr>
                <w:rFonts w:ascii="Arial" w:hAnsi="Arial" w:cs="Arial"/>
                <w:b/>
                <w:bCs/>
                <w:sz w:val="15"/>
              </w:rPr>
            </w:pPr>
            <w:r>
              <w:rPr>
                <w:rFonts w:ascii="Arial" w:hAnsi="Arial" w:cs="Arial"/>
                <w:b/>
                <w:bCs/>
                <w:sz w:val="15"/>
              </w:rPr>
              <w:t>Current</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Services</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Adjustments and FY 201</w:t>
            </w:r>
            <w:r w:rsidR="00F4784E">
              <w:rPr>
                <w:rFonts w:ascii="Arial" w:hAnsi="Arial" w:cs="Arial"/>
                <w:b/>
                <w:bCs/>
                <w:sz w:val="15"/>
                <w:szCs w:val="15"/>
              </w:rPr>
              <w:t>4</w:t>
            </w:r>
            <w:r>
              <w:rPr>
                <w:rFonts w:ascii="Arial" w:hAnsi="Arial" w:cs="Arial"/>
                <w:b/>
                <w:bCs/>
                <w:sz w:val="15"/>
                <w:szCs w:val="15"/>
              </w:rPr>
              <w:t xml:space="preserve"> Program Changes</w:t>
            </w:r>
          </w:p>
        </w:tc>
        <w:tc>
          <w:tcPr>
            <w:tcW w:w="2117" w:type="dxa"/>
            <w:gridSpan w:val="3"/>
            <w:shd w:val="clear" w:color="auto" w:fill="auto"/>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15"/>
                <w:szCs w:val="15"/>
              </w:rPr>
            </w:pPr>
            <w:r>
              <w:rPr>
                <w:rFonts w:ascii="Arial" w:hAnsi="Arial" w:cs="Arial"/>
                <w:b/>
                <w:bCs/>
                <w:sz w:val="15"/>
                <w:szCs w:val="15"/>
              </w:rPr>
              <w:t>FY 201</w:t>
            </w:r>
            <w:r w:rsidR="00F4784E">
              <w:rPr>
                <w:rFonts w:ascii="Arial" w:hAnsi="Arial" w:cs="Arial"/>
                <w:b/>
                <w:bCs/>
                <w:sz w:val="15"/>
                <w:szCs w:val="15"/>
              </w:rPr>
              <w:t>4</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b/>
                <w:bCs/>
                <w:sz w:val="15"/>
                <w:szCs w:val="15"/>
              </w:rPr>
              <w:t>Request</w:t>
            </w:r>
          </w:p>
        </w:tc>
      </w:tr>
      <w:tr w:rsidR="00F4784E" w:rsidTr="001C4AF1">
        <w:trPr>
          <w:gridAfter w:val="2"/>
          <w:wAfter w:w="437" w:type="dxa"/>
          <w:cantSplit/>
          <w:trHeight w:val="576"/>
          <w:jc w:val="center"/>
        </w:trPr>
        <w:tc>
          <w:tcPr>
            <w:tcW w:w="993" w:type="dxa"/>
            <w:gridSpan w:val="3"/>
            <w:tcBorders>
              <w:top w:val="single" w:sz="6" w:space="0" w:color="000000"/>
              <w:bottom w:val="nil"/>
              <w:right w:val="single" w:sz="2" w:space="0" w:color="000000"/>
            </w:tcBorders>
            <w:vAlign w:val="bottom"/>
          </w:tcPr>
          <w:p w:rsidR="003B05E5" w:rsidRDefault="003B05E5" w:rsidP="00914B73">
            <w:pPr>
              <w:spacing w:line="14" w:lineRule="exact"/>
              <w:jc w:val="center"/>
              <w:rPr>
                <w:rFonts w:ascii="Arial" w:hAnsi="Arial" w:cs="Arial"/>
                <w:b/>
                <w:bCs/>
                <w:sz w:val="15"/>
                <w:szCs w:val="15"/>
              </w:rPr>
            </w:pPr>
          </w:p>
          <w:p w:rsidR="003B05E5"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3B05E5" w:rsidRPr="00914B73"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Program Activity</w:t>
            </w:r>
          </w:p>
          <w:p w:rsidR="003B05E5" w:rsidRDefault="003B05E5" w:rsidP="00914B73">
            <w:pPr>
              <w:spacing w:line="14" w:lineRule="exact"/>
              <w:jc w:val="center"/>
              <w:rPr>
                <w:rFonts w:ascii="Arial" w:hAnsi="Arial" w:cs="Arial"/>
                <w:sz w:val="15"/>
                <w:szCs w:val="15"/>
              </w:rPr>
            </w:pPr>
          </w:p>
          <w:p w:rsidR="003B05E5" w:rsidRDefault="003B05E5" w:rsidP="00914B7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3060" w:type="dxa"/>
            <w:vMerge w:val="restart"/>
            <w:tcBorders>
              <w:left w:val="single" w:sz="2" w:space="0" w:color="000000"/>
            </w:tcBorders>
            <w:vAlign w:val="center"/>
          </w:tcPr>
          <w:p w:rsidR="003B05E5" w:rsidRDefault="003B05E5">
            <w:pPr>
              <w:spacing w:line="14" w:lineRule="exact"/>
              <w:jc w:val="center"/>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3B05E5" w:rsidRPr="00914B73"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1.  Criminal</w:t>
            </w:r>
          </w:p>
          <w:p w:rsidR="003B05E5" w:rsidRDefault="003B05E5">
            <w:pPr>
              <w:spacing w:line="14" w:lineRule="exact"/>
              <w:jc w:val="center"/>
              <w:rPr>
                <w:rFonts w:ascii="Arial" w:hAnsi="Arial" w:cs="Arial"/>
                <w:sz w:val="15"/>
                <w:szCs w:val="15"/>
              </w:rPr>
            </w:pPr>
          </w:p>
          <w:p w:rsidR="003B05E5" w:rsidRDefault="003B05E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479" w:type="dxa"/>
            <w:gridSpan w:val="2"/>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100" w:type="dxa"/>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02" w:type="dxa"/>
            <w:gridSpan w:val="2"/>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101" w:type="dxa"/>
            <w:tcBorders>
              <w:top w:val="single" w:sz="6" w:space="0" w:color="000000"/>
              <w:bottom w:val="single" w:sz="6" w:space="0" w:color="000000"/>
            </w:tcBorders>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672" w:type="dxa"/>
            <w:gridSpan w:val="3"/>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739"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17"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494"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64" w:type="dxa"/>
            <w:gridSpan w:val="2"/>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553" w:type="dxa"/>
            <w:shd w:val="clear" w:color="auto" w:fill="auto"/>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r>
      <w:tr w:rsidR="00F4784E" w:rsidTr="001C4AF1">
        <w:trPr>
          <w:gridAfter w:val="2"/>
          <w:wAfter w:w="437" w:type="dxa"/>
          <w:cantSplit/>
          <w:trHeight w:val="576"/>
          <w:jc w:val="center"/>
        </w:trPr>
        <w:tc>
          <w:tcPr>
            <w:tcW w:w="993" w:type="dxa"/>
            <w:gridSpan w:val="3"/>
            <w:tcBorders>
              <w:top w:val="nil"/>
              <w:bottom w:val="single" w:sz="6" w:space="0" w:color="000000"/>
              <w:right w:val="single" w:sz="2" w:space="0" w:color="000000"/>
            </w:tcBorders>
            <w:vAlign w:val="center"/>
          </w:tcPr>
          <w:p w:rsidR="003B05E5" w:rsidRDefault="003B05E5" w:rsidP="00914B7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3060" w:type="dxa"/>
            <w:vMerge/>
            <w:tcBorders>
              <w:left w:val="single" w:sz="2" w:space="0" w:color="000000"/>
            </w:tcBorders>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479" w:type="dxa"/>
            <w:gridSpan w:val="2"/>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340</w:t>
            </w:r>
          </w:p>
        </w:tc>
        <w:tc>
          <w:tcPr>
            <w:tcW w:w="1100" w:type="dxa"/>
          </w:tcPr>
          <w:p w:rsidR="003B05E5" w:rsidRDefault="003B05E5">
            <w:pPr>
              <w:spacing w:line="14" w:lineRule="exact"/>
              <w:rPr>
                <w:rFonts w:ascii="Arial" w:hAnsi="Arial" w:cs="Arial"/>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$6</w:t>
            </w:r>
            <w:r w:rsidR="00F4784E">
              <w:rPr>
                <w:rFonts w:ascii="Arial" w:hAnsi="Arial" w:cs="Arial"/>
                <w:sz w:val="15"/>
                <w:szCs w:val="15"/>
              </w:rPr>
              <w:t>3,835</w:t>
            </w:r>
          </w:p>
        </w:tc>
        <w:tc>
          <w:tcPr>
            <w:tcW w:w="502" w:type="dxa"/>
            <w:gridSpan w:val="2"/>
            <w:tcBorders>
              <w:top w:val="single" w:sz="6" w:space="0" w:color="000000"/>
              <w:bottom w:val="single" w:sz="6"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3B05E5" w:rsidRDefault="00DA00C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282</w:t>
            </w:r>
          </w:p>
        </w:tc>
        <w:tc>
          <w:tcPr>
            <w:tcW w:w="1101" w:type="dxa"/>
            <w:tcBorders>
              <w:top w:val="single" w:sz="6" w:space="0" w:color="000000"/>
              <w:bottom w:val="single" w:sz="6" w:space="0" w:color="000000"/>
            </w:tcBorders>
            <w:shd w:val="clear" w:color="auto" w:fill="auto"/>
          </w:tcPr>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p w:rsidR="003B05E5" w:rsidRDefault="003B7D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$66,184</w:t>
            </w:r>
          </w:p>
        </w:tc>
        <w:tc>
          <w:tcPr>
            <w:tcW w:w="672" w:type="dxa"/>
            <w:gridSpan w:val="3"/>
            <w:shd w:val="clear" w:color="auto" w:fill="auto"/>
          </w:tcPr>
          <w:p w:rsidR="003B05E5" w:rsidRPr="007357BD" w:rsidRDefault="003B05E5">
            <w:pPr>
              <w:spacing w:line="14" w:lineRule="exact"/>
              <w:rPr>
                <w:rFonts w:ascii="Arial" w:hAnsi="Arial" w:cs="Arial"/>
                <w:b/>
                <w:bCs/>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highlight w:val="yellow"/>
              </w:rPr>
            </w:pPr>
          </w:p>
          <w:p w:rsidR="003B05E5" w:rsidRPr="007357BD" w:rsidRDefault="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Pr>
                <w:rFonts w:ascii="Arial" w:hAnsi="Arial" w:cs="Arial"/>
                <w:sz w:val="15"/>
                <w:szCs w:val="15"/>
              </w:rPr>
              <w:t>284</w:t>
            </w:r>
          </w:p>
        </w:tc>
        <w:tc>
          <w:tcPr>
            <w:tcW w:w="1739" w:type="dxa"/>
            <w:gridSpan w:val="2"/>
            <w:shd w:val="clear" w:color="auto" w:fill="auto"/>
          </w:tcPr>
          <w:p w:rsidR="003B05E5" w:rsidRPr="007357BD" w:rsidRDefault="003B05E5">
            <w:pPr>
              <w:spacing w:line="14" w:lineRule="exact"/>
              <w:rPr>
                <w:rFonts w:ascii="Arial" w:hAnsi="Arial" w:cs="Arial"/>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7E37AD" w:rsidRDefault="00E3256B"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highlight w:val="yellow"/>
              </w:rPr>
            </w:pPr>
            <w:r w:rsidRPr="00BF5914">
              <w:rPr>
                <w:rFonts w:ascii="Arial" w:hAnsi="Arial" w:cs="Arial"/>
                <w:sz w:val="15"/>
                <w:szCs w:val="15"/>
              </w:rPr>
              <w:t>$6</w:t>
            </w:r>
            <w:r w:rsidR="001C4AF1">
              <w:rPr>
                <w:rFonts w:ascii="Arial" w:hAnsi="Arial" w:cs="Arial"/>
                <w:sz w:val="15"/>
                <w:szCs w:val="15"/>
              </w:rPr>
              <w:t>4,226</w:t>
            </w:r>
          </w:p>
        </w:tc>
        <w:tc>
          <w:tcPr>
            <w:tcW w:w="517" w:type="dxa"/>
            <w:gridSpan w:val="2"/>
            <w:shd w:val="clear" w:color="auto" w:fill="auto"/>
          </w:tcPr>
          <w:p w:rsidR="003B05E5" w:rsidRPr="007357BD" w:rsidRDefault="003B05E5">
            <w:pPr>
              <w:spacing w:line="14" w:lineRule="exact"/>
              <w:rPr>
                <w:rFonts w:ascii="Arial" w:hAnsi="Arial" w:cs="Arial"/>
                <w:b/>
                <w:bCs/>
                <w:sz w:val="15"/>
                <w:szCs w:val="15"/>
                <w:highlight w:val="yellow"/>
              </w:rPr>
            </w:pPr>
          </w:p>
          <w:p w:rsidR="003B05E5" w:rsidRPr="007357BD"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3B05E5"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0</w:t>
            </w:r>
          </w:p>
        </w:tc>
        <w:tc>
          <w:tcPr>
            <w:tcW w:w="1494" w:type="dxa"/>
            <w:shd w:val="clear" w:color="auto" w:fill="auto"/>
          </w:tcPr>
          <w:p w:rsidR="003B05E5" w:rsidRPr="00123927" w:rsidRDefault="003B05E5">
            <w:pPr>
              <w:spacing w:line="14" w:lineRule="exact"/>
              <w:rPr>
                <w:rFonts w:ascii="Arial" w:hAnsi="Arial" w:cs="Arial"/>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7E37AD" w:rsidRDefault="0004225D"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sidRPr="00123927">
              <w:rPr>
                <w:rFonts w:ascii="Arial" w:hAnsi="Arial" w:cs="Arial"/>
                <w:sz w:val="15"/>
                <w:szCs w:val="15"/>
              </w:rPr>
              <w:t>$</w:t>
            </w:r>
            <w:r w:rsidR="001C4AF1">
              <w:rPr>
                <w:rFonts w:ascii="Arial" w:hAnsi="Arial" w:cs="Arial"/>
                <w:sz w:val="15"/>
                <w:szCs w:val="15"/>
              </w:rPr>
              <w:t>-62</w:t>
            </w:r>
          </w:p>
        </w:tc>
        <w:tc>
          <w:tcPr>
            <w:tcW w:w="564" w:type="dxa"/>
            <w:gridSpan w:val="2"/>
            <w:shd w:val="clear" w:color="auto" w:fill="auto"/>
          </w:tcPr>
          <w:p w:rsidR="003B05E5" w:rsidRPr="00123927" w:rsidRDefault="003B05E5">
            <w:pPr>
              <w:spacing w:line="14" w:lineRule="exact"/>
              <w:rPr>
                <w:rFonts w:ascii="Arial" w:hAnsi="Arial" w:cs="Arial"/>
                <w:b/>
                <w:bCs/>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3B05E5" w:rsidRPr="00123927" w:rsidRDefault="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284</w:t>
            </w:r>
          </w:p>
        </w:tc>
        <w:tc>
          <w:tcPr>
            <w:tcW w:w="1553" w:type="dxa"/>
            <w:shd w:val="clear" w:color="auto" w:fill="FFFFFF" w:themeFill="background1"/>
          </w:tcPr>
          <w:p w:rsidR="003B05E5" w:rsidRPr="00123927" w:rsidRDefault="003B05E5">
            <w:pPr>
              <w:spacing w:line="14" w:lineRule="exact"/>
              <w:rPr>
                <w:rFonts w:ascii="Arial" w:hAnsi="Arial" w:cs="Arial"/>
                <w:sz w:val="15"/>
                <w:szCs w:val="15"/>
              </w:rPr>
            </w:pPr>
          </w:p>
          <w:p w:rsidR="003B05E5" w:rsidRPr="00123927"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7E37AD" w:rsidRDefault="00C46692"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r>
              <w:rPr>
                <w:rFonts w:ascii="Arial" w:hAnsi="Arial" w:cs="Arial"/>
                <w:sz w:val="15"/>
                <w:szCs w:val="15"/>
              </w:rPr>
              <w:t>$</w:t>
            </w:r>
            <w:r w:rsidR="00123927" w:rsidRPr="00123927">
              <w:rPr>
                <w:rFonts w:ascii="Arial" w:hAnsi="Arial" w:cs="Arial"/>
                <w:sz w:val="15"/>
                <w:szCs w:val="15"/>
              </w:rPr>
              <w:t>6</w:t>
            </w:r>
            <w:r w:rsidR="001C4AF1">
              <w:rPr>
                <w:rFonts w:ascii="Arial" w:hAnsi="Arial" w:cs="Arial"/>
                <w:sz w:val="15"/>
                <w:szCs w:val="15"/>
              </w:rPr>
              <w:t>4,164</w:t>
            </w:r>
          </w:p>
        </w:tc>
      </w:tr>
      <w:tr w:rsidR="008879F6" w:rsidTr="001C4AF1">
        <w:trPr>
          <w:gridAfter w:val="2"/>
          <w:wAfter w:w="437" w:type="dxa"/>
          <w:cantSplit/>
          <w:trHeight w:val="435"/>
          <w:jc w:val="center"/>
        </w:trPr>
        <w:tc>
          <w:tcPr>
            <w:tcW w:w="993" w:type="dxa"/>
            <w:gridSpan w:val="3"/>
            <w:tcBorders>
              <w:top w:val="single" w:sz="6" w:space="0" w:color="000000"/>
              <w:bottom w:val="nil"/>
            </w:tcBorders>
          </w:tcPr>
          <w:p w:rsidR="00C167E1" w:rsidRDefault="00C167E1">
            <w:pPr>
              <w:spacing w:line="14" w:lineRule="exact"/>
              <w:rPr>
                <w:rFonts w:ascii="Arial" w:hAnsi="Arial" w:cs="Arial"/>
                <w:b/>
                <w:bCs/>
                <w:sz w:val="15"/>
                <w:szCs w:val="15"/>
              </w:rPr>
            </w:pPr>
          </w:p>
          <w:p w:rsidR="00C167E1" w:rsidRDefault="00C167E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b/>
                <w:bCs/>
                <w:sz w:val="15"/>
                <w:szCs w:val="15"/>
              </w:rPr>
            </w:pPr>
            <w:r>
              <w:rPr>
                <w:rFonts w:ascii="Arial" w:hAnsi="Arial" w:cs="Arial"/>
                <w:b/>
                <w:bCs/>
                <w:sz w:val="15"/>
                <w:szCs w:val="15"/>
              </w:rPr>
              <w:t>Performance Measure – Criminal</w:t>
            </w:r>
          </w:p>
        </w:tc>
        <w:tc>
          <w:tcPr>
            <w:tcW w:w="3060" w:type="dxa"/>
            <w:vAlign w:val="bottom"/>
          </w:tcPr>
          <w:p w:rsidR="00C167E1" w:rsidRDefault="00C167E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sz w:val="15"/>
                <w:szCs w:val="15"/>
              </w:rPr>
            </w:pPr>
            <w:r>
              <w:rPr>
                <w:rFonts w:ascii="Arial" w:hAnsi="Arial" w:cs="Arial"/>
                <w:sz w:val="15"/>
                <w:szCs w:val="15"/>
              </w:rPr>
              <w:t>Number of Active Grand Juries</w:t>
            </w:r>
          </w:p>
          <w:p w:rsidR="00C167E1" w:rsidRDefault="00C167E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ind w:left="396"/>
              <w:rPr>
                <w:rFonts w:ascii="Arial" w:hAnsi="Arial" w:cs="Arial"/>
                <w:sz w:val="15"/>
                <w:szCs w:val="15"/>
              </w:rPr>
            </w:pPr>
          </w:p>
        </w:tc>
        <w:tc>
          <w:tcPr>
            <w:tcW w:w="1579" w:type="dxa"/>
            <w:gridSpan w:val="3"/>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95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1603" w:type="dxa"/>
            <w:gridSpan w:val="3"/>
            <w:tcBorders>
              <w:top w:val="single" w:sz="6" w:space="0" w:color="000000"/>
            </w:tcBorders>
            <w:shd w:val="clear" w:color="auto" w:fill="auto"/>
            <w:vAlign w:val="bottom"/>
          </w:tcPr>
          <w:p w:rsidR="00C167E1" w:rsidRDefault="003F604C"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87</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2411" w:type="dxa"/>
            <w:gridSpan w:val="5"/>
            <w:shd w:val="clear" w:color="auto" w:fill="auto"/>
            <w:vAlign w:val="bottom"/>
          </w:tcPr>
          <w:p w:rsidR="00C167E1" w:rsidRDefault="003F604C"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7</w:t>
            </w:r>
            <w:r w:rsidR="00C167E1">
              <w:rPr>
                <w:rFonts w:ascii="Arial" w:hAnsi="Arial" w:cs="Arial"/>
                <w:sz w:val="15"/>
                <w:szCs w:val="15"/>
              </w:rPr>
              <w:t>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2011" w:type="dxa"/>
            <w:gridSpan w:val="3"/>
            <w:shd w:val="clear" w:color="auto" w:fill="auto"/>
            <w:vAlign w:val="bottom"/>
          </w:tcPr>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c>
          <w:tcPr>
            <w:tcW w:w="2117" w:type="dxa"/>
            <w:gridSpan w:val="3"/>
            <w:shd w:val="clear" w:color="auto" w:fill="auto"/>
            <w:vAlign w:val="bottom"/>
          </w:tcPr>
          <w:p w:rsidR="00C167E1" w:rsidRDefault="003F604C"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7</w:t>
            </w:r>
            <w:r w:rsidR="00C167E1">
              <w:rPr>
                <w:rFonts w:ascii="Arial" w:hAnsi="Arial" w:cs="Arial"/>
                <w:sz w:val="15"/>
                <w:szCs w:val="15"/>
              </w:rPr>
              <w:t>5</w:t>
            </w:r>
          </w:p>
          <w:p w:rsidR="00C167E1" w:rsidRDefault="00C167E1" w:rsidP="00C167E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p>
        </w:tc>
      </w:tr>
      <w:tr w:rsidR="008879F6" w:rsidTr="001C4AF1">
        <w:trPr>
          <w:gridAfter w:val="2"/>
          <w:wAfter w:w="437" w:type="dxa"/>
          <w:cantSplit/>
          <w:trHeight w:val="435"/>
          <w:jc w:val="center"/>
        </w:trPr>
        <w:tc>
          <w:tcPr>
            <w:tcW w:w="993" w:type="dxa"/>
            <w:gridSpan w:val="3"/>
            <w:tcBorders>
              <w:top w:val="nil"/>
              <w:bottom w:val="single" w:sz="6" w:space="0" w:color="000000"/>
            </w:tcBorders>
          </w:tcPr>
          <w:p w:rsidR="00152731" w:rsidRDefault="00152731">
            <w:pPr>
              <w:spacing w:line="14" w:lineRule="exact"/>
              <w:rPr>
                <w:rFonts w:ascii="Arial" w:hAnsi="Arial" w:cs="Arial"/>
                <w:b/>
                <w:bCs/>
                <w:sz w:val="15"/>
                <w:szCs w:val="15"/>
              </w:rPr>
            </w:pPr>
          </w:p>
        </w:tc>
        <w:tc>
          <w:tcPr>
            <w:tcW w:w="3060" w:type="dxa"/>
            <w:tcBorders>
              <w:bottom w:val="single" w:sz="6" w:space="0" w:color="000000"/>
            </w:tcBorders>
            <w:vAlign w:val="bottom"/>
          </w:tcPr>
          <w:p w:rsidR="00152731" w:rsidRDefault="00152731" w:rsidP="0059642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rPr>
                <w:rFonts w:ascii="Arial" w:hAnsi="Arial" w:cs="Arial"/>
                <w:sz w:val="15"/>
                <w:szCs w:val="15"/>
              </w:rPr>
            </w:pPr>
            <w:r>
              <w:rPr>
                <w:rFonts w:ascii="Arial" w:hAnsi="Arial" w:cs="Arial"/>
                <w:sz w:val="15"/>
                <w:szCs w:val="15"/>
              </w:rPr>
              <w:t>Dollar Volume of U.S. Commerce Affected in Rel</w:t>
            </w:r>
            <w:r w:rsidR="000B6B4E">
              <w:rPr>
                <w:rFonts w:ascii="Arial" w:hAnsi="Arial" w:cs="Arial"/>
                <w:sz w:val="15"/>
                <w:szCs w:val="15"/>
              </w:rPr>
              <w:t>evant Markets Where Pleas/Cases Favorably</w:t>
            </w:r>
            <w:r>
              <w:rPr>
                <w:rFonts w:ascii="Arial" w:hAnsi="Arial" w:cs="Arial"/>
                <w:sz w:val="15"/>
                <w:szCs w:val="15"/>
              </w:rPr>
              <w:t xml:space="preserve"> Resolved ($ in millions)</w:t>
            </w:r>
          </w:p>
        </w:tc>
        <w:tc>
          <w:tcPr>
            <w:tcW w:w="1579" w:type="dxa"/>
            <w:gridSpan w:val="3"/>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1603" w:type="dxa"/>
            <w:gridSpan w:val="3"/>
            <w:tcBorders>
              <w:top w:val="single" w:sz="6" w:space="0" w:color="000000"/>
              <w:bottom w:val="single" w:sz="2" w:space="0" w:color="000000"/>
            </w:tcBorders>
            <w:shd w:val="clear" w:color="auto" w:fill="auto"/>
            <w:vAlign w:val="center"/>
          </w:tcPr>
          <w:p w:rsidR="007E37AD" w:rsidRDefault="009E2AA8" w:rsidP="007E37A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$4,469</w:t>
            </w:r>
          </w:p>
        </w:tc>
        <w:tc>
          <w:tcPr>
            <w:tcW w:w="2411" w:type="dxa"/>
            <w:gridSpan w:val="5"/>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2011" w:type="dxa"/>
            <w:gridSpan w:val="3"/>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c>
          <w:tcPr>
            <w:tcW w:w="2117" w:type="dxa"/>
            <w:gridSpan w:val="3"/>
            <w:shd w:val="clear" w:color="auto" w:fill="auto"/>
            <w:vAlign w:val="center"/>
          </w:tcPr>
          <w:p w:rsidR="00152731"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Not Projected</w:t>
            </w:r>
          </w:p>
        </w:tc>
      </w:tr>
      <w:tr w:rsidR="00F4784E" w:rsidTr="001C4AF1">
        <w:trPr>
          <w:gridAfter w:val="2"/>
          <w:wAfter w:w="437" w:type="dxa"/>
          <w:cantSplit/>
          <w:trHeight w:val="903"/>
          <w:jc w:val="center"/>
        </w:trPr>
        <w:tc>
          <w:tcPr>
            <w:tcW w:w="993" w:type="dxa"/>
            <w:gridSpan w:val="3"/>
            <w:tcBorders>
              <w:top w:val="single" w:sz="6" w:space="0" w:color="000000"/>
              <w:bottom w:val="single" w:sz="6" w:space="0" w:color="000000"/>
            </w:tcBorders>
            <w:vAlign w:val="center"/>
          </w:tcPr>
          <w:p w:rsidR="000B6B4E" w:rsidRDefault="000B6B4E">
            <w:pPr>
              <w:spacing w:line="14" w:lineRule="exact"/>
              <w:jc w:val="center"/>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0B6B4E" w:rsidRPr="00914B73"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20"/>
                <w:szCs w:val="20"/>
              </w:rPr>
            </w:pPr>
            <w:r w:rsidRPr="00914B73">
              <w:rPr>
                <w:rFonts w:ascii="Arial" w:hAnsi="Arial" w:cs="Arial"/>
                <w:b/>
                <w:bCs/>
                <w:sz w:val="20"/>
                <w:szCs w:val="20"/>
              </w:rPr>
              <w:t>Program Activity</w:t>
            </w:r>
          </w:p>
          <w:p w:rsidR="000B6B4E" w:rsidRDefault="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3060" w:type="dxa"/>
            <w:vMerge w:val="restart"/>
            <w:tcBorders>
              <w:top w:val="single" w:sz="6" w:space="0" w:color="000000"/>
            </w:tcBorders>
            <w:vAlign w:val="center"/>
          </w:tcPr>
          <w:p w:rsidR="000B6B4E" w:rsidRDefault="000B6B4E" w:rsidP="000B6B4E">
            <w:pPr>
              <w:spacing w:line="14" w:lineRule="exact"/>
              <w:jc w:val="center"/>
              <w:rPr>
                <w:rFonts w:ascii="Arial" w:hAnsi="Arial" w:cs="Arial"/>
                <w:b/>
                <w:bCs/>
                <w:sz w:val="15"/>
                <w:szCs w:val="15"/>
              </w:rPr>
            </w:pPr>
          </w:p>
          <w:p w:rsidR="000B6B4E"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jc w:val="center"/>
              <w:rPr>
                <w:rFonts w:ascii="Arial" w:hAnsi="Arial" w:cs="Arial"/>
                <w:b/>
                <w:bCs/>
                <w:sz w:val="15"/>
                <w:szCs w:val="15"/>
              </w:rPr>
            </w:pPr>
          </w:p>
          <w:p w:rsidR="000B6B4E" w:rsidRPr="00914B73"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b/>
                <w:bCs/>
                <w:sz w:val="20"/>
                <w:szCs w:val="20"/>
              </w:rPr>
            </w:pPr>
            <w:r w:rsidRPr="00914B73">
              <w:rPr>
                <w:rFonts w:ascii="Arial" w:hAnsi="Arial" w:cs="Arial"/>
                <w:b/>
                <w:bCs/>
                <w:sz w:val="20"/>
                <w:szCs w:val="20"/>
              </w:rPr>
              <w:t>2.  Civil</w:t>
            </w:r>
          </w:p>
          <w:p w:rsidR="000B6B4E" w:rsidRPr="00914B73" w:rsidRDefault="000B6B4E" w:rsidP="000B6B4E">
            <w:pPr>
              <w:spacing w:line="14" w:lineRule="exact"/>
              <w:jc w:val="center"/>
              <w:rPr>
                <w:rFonts w:ascii="Arial" w:hAnsi="Arial" w:cs="Arial"/>
                <w:sz w:val="20"/>
                <w:szCs w:val="20"/>
              </w:rPr>
            </w:pPr>
          </w:p>
          <w:p w:rsidR="000B6B4E" w:rsidRDefault="000B6B4E" w:rsidP="000B6B4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b/>
                <w:bCs/>
                <w:sz w:val="15"/>
                <w:szCs w:val="15"/>
              </w:rPr>
            </w:pPr>
          </w:p>
        </w:tc>
        <w:tc>
          <w:tcPr>
            <w:tcW w:w="479" w:type="dxa"/>
            <w:gridSpan w:val="2"/>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100" w:type="dxa"/>
            <w:tcBorders>
              <w:bottom w:val="single" w:sz="2" w:space="0" w:color="000000"/>
              <w:right w:val="single" w:sz="2" w:space="0" w:color="000000"/>
            </w:tcBorders>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02" w:type="dxa"/>
            <w:gridSpan w:val="2"/>
            <w:tcBorders>
              <w:top w:val="single" w:sz="2" w:space="0" w:color="000000"/>
              <w:left w:val="single" w:sz="2" w:space="0" w:color="000000"/>
              <w:bottom w:val="single" w:sz="2" w:space="0" w:color="000000"/>
              <w:righ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101" w:type="dxa"/>
            <w:tcBorders>
              <w:top w:val="single" w:sz="2" w:space="0" w:color="000000"/>
              <w:left w:val="single" w:sz="2" w:space="0" w:color="000000"/>
              <w:bottom w:val="single" w:sz="2" w:space="0" w:color="000000"/>
              <w:righ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672" w:type="dxa"/>
            <w:gridSpan w:val="3"/>
            <w:tcBorders>
              <w:left w:val="single" w:sz="2" w:space="0" w:color="000000"/>
            </w:tcBorders>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739"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17"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494" w:type="dxa"/>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c>
          <w:tcPr>
            <w:tcW w:w="564" w:type="dxa"/>
            <w:gridSpan w:val="2"/>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FTE</w:t>
            </w:r>
          </w:p>
        </w:tc>
        <w:tc>
          <w:tcPr>
            <w:tcW w:w="1553" w:type="dxa"/>
            <w:shd w:val="clear" w:color="auto" w:fill="auto"/>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center"/>
              <w:rPr>
                <w:rFonts w:ascii="Arial" w:hAnsi="Arial" w:cs="Arial"/>
                <w:sz w:val="15"/>
                <w:szCs w:val="15"/>
              </w:rPr>
            </w:pPr>
            <w:r>
              <w:rPr>
                <w:rFonts w:ascii="Arial" w:hAnsi="Arial" w:cs="Arial"/>
                <w:sz w:val="15"/>
                <w:szCs w:val="15"/>
              </w:rPr>
              <w:t>$000</w:t>
            </w:r>
          </w:p>
        </w:tc>
      </w:tr>
      <w:tr w:rsidR="00F4784E" w:rsidTr="001C4AF1">
        <w:trPr>
          <w:gridAfter w:val="2"/>
          <w:wAfter w:w="437" w:type="dxa"/>
          <w:cantSplit/>
          <w:trHeight w:val="576"/>
          <w:jc w:val="center"/>
        </w:trPr>
        <w:tc>
          <w:tcPr>
            <w:tcW w:w="993" w:type="dxa"/>
            <w:gridSpan w:val="3"/>
            <w:tcBorders>
              <w:top w:val="single" w:sz="6" w:space="0" w:color="000000"/>
              <w:bottom w:val="single" w:sz="18" w:space="0" w:color="000000"/>
            </w:tcBorders>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rPr>
                <w:rFonts w:ascii="Arial" w:hAnsi="Arial" w:cs="Arial"/>
                <w:sz w:val="15"/>
                <w:szCs w:val="15"/>
                <w:highlight w:val="yellow"/>
              </w:rPr>
            </w:pPr>
          </w:p>
        </w:tc>
        <w:tc>
          <w:tcPr>
            <w:tcW w:w="3060" w:type="dxa"/>
            <w:vMerge/>
            <w:tcBorders>
              <w:bottom w:val="single" w:sz="18" w:space="0" w:color="000000"/>
            </w:tcBorders>
            <w:vAlign w:val="center"/>
          </w:tcPr>
          <w:p w:rsidR="000B6B4E" w:rsidRDefault="000B6B4E" w:rsidP="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tc>
        <w:tc>
          <w:tcPr>
            <w:tcW w:w="479" w:type="dxa"/>
            <w:gridSpan w:val="2"/>
            <w:tcBorders>
              <w:bottom w:val="single" w:sz="18" w:space="0" w:color="000000"/>
            </w:tcBorders>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511</w:t>
            </w:r>
          </w:p>
        </w:tc>
        <w:tc>
          <w:tcPr>
            <w:tcW w:w="1100" w:type="dxa"/>
            <w:tcBorders>
              <w:top w:val="single" w:sz="2" w:space="0" w:color="000000"/>
              <w:bottom w:val="single" w:sz="18" w:space="0" w:color="000000"/>
            </w:tcBorders>
          </w:tcPr>
          <w:p w:rsidR="000B6B4E" w:rsidRDefault="000B6B4E">
            <w:pPr>
              <w:spacing w:line="14" w:lineRule="exact"/>
              <w:rPr>
                <w:rFonts w:ascii="Arial" w:hAnsi="Arial" w:cs="Arial"/>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rPr>
            </w:pPr>
          </w:p>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$9</w:t>
            </w:r>
            <w:r w:rsidR="00F4784E">
              <w:rPr>
                <w:rFonts w:ascii="Arial" w:hAnsi="Arial" w:cs="Arial"/>
                <w:sz w:val="15"/>
                <w:szCs w:val="15"/>
              </w:rPr>
              <w:t>5,752</w:t>
            </w:r>
          </w:p>
        </w:tc>
        <w:tc>
          <w:tcPr>
            <w:tcW w:w="502" w:type="dxa"/>
            <w:gridSpan w:val="2"/>
            <w:tcBorders>
              <w:top w:val="single" w:sz="2" w:space="0" w:color="000000"/>
              <w:bottom w:val="single" w:sz="18" w:space="0" w:color="000000"/>
            </w:tcBorders>
            <w:shd w:val="clear" w:color="auto" w:fill="auto"/>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0B6B4E" w:rsidRDefault="00DA00C9">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423</w:t>
            </w:r>
          </w:p>
        </w:tc>
        <w:tc>
          <w:tcPr>
            <w:tcW w:w="1101" w:type="dxa"/>
            <w:tcBorders>
              <w:top w:val="single" w:sz="2" w:space="0" w:color="000000"/>
              <w:bottom w:val="single" w:sz="18" w:space="0" w:color="000000"/>
            </w:tcBorders>
            <w:shd w:val="clear" w:color="auto" w:fill="auto"/>
          </w:tcPr>
          <w:p w:rsidR="000B6B4E"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p>
          <w:p w:rsidR="000B6B4E" w:rsidRDefault="003B7D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rPr>
            </w:pPr>
            <w:r>
              <w:rPr>
                <w:rFonts w:ascii="Arial" w:hAnsi="Arial" w:cs="Arial"/>
                <w:sz w:val="15"/>
                <w:szCs w:val="15"/>
              </w:rPr>
              <w:t>$99,275</w:t>
            </w:r>
          </w:p>
        </w:tc>
        <w:tc>
          <w:tcPr>
            <w:tcW w:w="672" w:type="dxa"/>
            <w:gridSpan w:val="3"/>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Pr>
                <w:rFonts w:ascii="Arial" w:hAnsi="Arial" w:cs="Arial"/>
                <w:sz w:val="15"/>
                <w:szCs w:val="15"/>
              </w:rPr>
              <w:t>392</w:t>
            </w:r>
          </w:p>
        </w:tc>
        <w:tc>
          <w:tcPr>
            <w:tcW w:w="1739" w:type="dxa"/>
            <w:gridSpan w:val="2"/>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7E37AD" w:rsidRDefault="00E3256B"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w:t>
            </w:r>
            <w:r w:rsidR="00BF5914" w:rsidRPr="00BF5914">
              <w:rPr>
                <w:rFonts w:ascii="Arial" w:hAnsi="Arial" w:cs="Arial"/>
                <w:sz w:val="15"/>
                <w:szCs w:val="15"/>
              </w:rPr>
              <w:t>9</w:t>
            </w:r>
            <w:r w:rsidR="001C4AF1">
              <w:rPr>
                <w:rFonts w:ascii="Arial" w:hAnsi="Arial" w:cs="Arial"/>
                <w:sz w:val="15"/>
                <w:szCs w:val="15"/>
              </w:rPr>
              <w:t>6,338</w:t>
            </w:r>
          </w:p>
        </w:tc>
        <w:tc>
          <w:tcPr>
            <w:tcW w:w="517" w:type="dxa"/>
            <w:gridSpan w:val="2"/>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E3256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BF5914">
              <w:rPr>
                <w:rFonts w:ascii="Arial" w:hAnsi="Arial" w:cs="Arial"/>
                <w:sz w:val="15"/>
                <w:szCs w:val="15"/>
              </w:rPr>
              <w:t>0</w:t>
            </w:r>
          </w:p>
        </w:tc>
        <w:tc>
          <w:tcPr>
            <w:tcW w:w="1494" w:type="dxa"/>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7E37AD" w:rsidRDefault="00E3256B"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w:t>
            </w:r>
            <w:r w:rsidR="001C4AF1">
              <w:rPr>
                <w:rFonts w:ascii="Arial" w:hAnsi="Arial" w:cs="Arial"/>
                <w:sz w:val="15"/>
                <w:szCs w:val="15"/>
              </w:rPr>
              <w:t>-92</w:t>
            </w:r>
          </w:p>
        </w:tc>
        <w:tc>
          <w:tcPr>
            <w:tcW w:w="564" w:type="dxa"/>
            <w:gridSpan w:val="2"/>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0B6B4E" w:rsidRPr="007357BD" w:rsidRDefault="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Pr>
                <w:rFonts w:ascii="Arial" w:hAnsi="Arial" w:cs="Arial"/>
                <w:sz w:val="15"/>
                <w:szCs w:val="15"/>
              </w:rPr>
              <w:t>392</w:t>
            </w:r>
          </w:p>
        </w:tc>
        <w:tc>
          <w:tcPr>
            <w:tcW w:w="1553" w:type="dxa"/>
            <w:tcBorders>
              <w:bottom w:val="single" w:sz="18" w:space="0" w:color="000000"/>
            </w:tcBorders>
            <w:shd w:val="clear" w:color="auto" w:fill="auto"/>
          </w:tcPr>
          <w:p w:rsidR="000B6B4E" w:rsidRPr="007357BD" w:rsidRDefault="000B6B4E">
            <w:pPr>
              <w:spacing w:line="14" w:lineRule="exact"/>
              <w:rPr>
                <w:rFonts w:ascii="Arial" w:hAnsi="Arial" w:cs="Arial"/>
                <w:sz w:val="15"/>
                <w:szCs w:val="15"/>
                <w:highlight w:val="yellow"/>
              </w:rPr>
            </w:pPr>
          </w:p>
          <w:p w:rsidR="000B6B4E" w:rsidRPr="007357BD" w:rsidRDefault="000B6B4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line="120" w:lineRule="exact"/>
              <w:rPr>
                <w:rFonts w:ascii="Arial" w:hAnsi="Arial" w:cs="Arial"/>
                <w:b/>
                <w:bCs/>
                <w:sz w:val="15"/>
                <w:szCs w:val="15"/>
                <w:highlight w:val="yellow"/>
              </w:rPr>
            </w:pPr>
          </w:p>
          <w:p w:rsidR="007E37AD" w:rsidRDefault="00E3256B" w:rsidP="001C4AF1">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spacing w:after="14"/>
              <w:jc w:val="center"/>
              <w:rPr>
                <w:rFonts w:ascii="Arial" w:hAnsi="Arial" w:cs="Arial"/>
                <w:sz w:val="15"/>
                <w:szCs w:val="15"/>
                <w:highlight w:val="yellow"/>
              </w:rPr>
            </w:pPr>
            <w:r w:rsidRPr="00123927">
              <w:rPr>
                <w:rFonts w:ascii="Arial" w:hAnsi="Arial" w:cs="Arial"/>
                <w:sz w:val="15"/>
                <w:szCs w:val="15"/>
              </w:rPr>
              <w:t>$</w:t>
            </w:r>
            <w:r w:rsidR="00123927" w:rsidRPr="00123927">
              <w:rPr>
                <w:rFonts w:ascii="Arial" w:hAnsi="Arial" w:cs="Arial"/>
                <w:sz w:val="15"/>
                <w:szCs w:val="15"/>
              </w:rPr>
              <w:t>9</w:t>
            </w:r>
            <w:r w:rsidR="001C4AF1">
              <w:rPr>
                <w:rFonts w:ascii="Arial" w:hAnsi="Arial" w:cs="Arial"/>
                <w:sz w:val="15"/>
                <w:szCs w:val="15"/>
              </w:rPr>
              <w:t>6,246</w:t>
            </w:r>
          </w:p>
        </w:tc>
      </w:tr>
    </w:tbl>
    <w:p w:rsidR="003B05E5" w:rsidRDefault="003B05E5">
      <w:pPr>
        <w:rPr>
          <w:highlight w:val="yellow"/>
        </w:rPr>
        <w:sectPr w:rsidR="003B05E5" w:rsidSect="00014598">
          <w:footerReference w:type="default" r:id="rId39"/>
          <w:endnotePr>
            <w:numFmt w:val="decimal"/>
          </w:endnotePr>
          <w:pgSz w:w="15840" w:h="12240" w:orient="landscape" w:code="1"/>
          <w:pgMar w:top="288" w:right="1440" w:bottom="288" w:left="1440" w:header="0" w:footer="288" w:gutter="0"/>
          <w:cols w:space="720"/>
          <w:noEndnote/>
        </w:sectPr>
      </w:pPr>
    </w:p>
    <w:p w:rsidR="003B05E5" w:rsidRDefault="003B05E5">
      <w:pPr>
        <w:rPr>
          <w:highlight w:val="yellow"/>
        </w:rPr>
      </w:pPr>
    </w:p>
    <w:tbl>
      <w:tblPr>
        <w:tblW w:w="1557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000"/>
      </w:tblPr>
      <w:tblGrid>
        <w:gridCol w:w="552"/>
        <w:gridCol w:w="922"/>
        <w:gridCol w:w="18"/>
        <w:gridCol w:w="695"/>
        <w:gridCol w:w="488"/>
        <w:gridCol w:w="60"/>
        <w:gridCol w:w="931"/>
        <w:gridCol w:w="15"/>
        <w:gridCol w:w="2016"/>
        <w:gridCol w:w="548"/>
        <w:gridCol w:w="622"/>
        <w:gridCol w:w="287"/>
        <w:gridCol w:w="34"/>
        <w:gridCol w:w="227"/>
        <w:gridCol w:w="712"/>
        <w:gridCol w:w="188"/>
        <w:gridCol w:w="26"/>
        <w:gridCol w:w="41"/>
        <w:gridCol w:w="293"/>
        <w:gridCol w:w="867"/>
        <w:gridCol w:w="19"/>
        <w:gridCol w:w="14"/>
        <w:gridCol w:w="26"/>
        <w:gridCol w:w="508"/>
        <w:gridCol w:w="693"/>
        <w:gridCol w:w="207"/>
        <w:gridCol w:w="27"/>
        <w:gridCol w:w="519"/>
        <w:gridCol w:w="681"/>
        <w:gridCol w:w="219"/>
        <w:gridCol w:w="27"/>
        <w:gridCol w:w="418"/>
        <w:gridCol w:w="545"/>
        <w:gridCol w:w="237"/>
        <w:gridCol w:w="663"/>
        <w:gridCol w:w="26"/>
        <w:gridCol w:w="1203"/>
      </w:tblGrid>
      <w:tr w:rsidR="003B05E5" w:rsidTr="00F54FD2">
        <w:trPr>
          <w:gridBefore w:val="5"/>
          <w:wBefore w:w="2677" w:type="dxa"/>
          <w:trHeight w:val="253"/>
          <w:jc w:val="center"/>
        </w:trPr>
        <w:tc>
          <w:tcPr>
            <w:tcW w:w="5707" w:type="dxa"/>
            <w:gridSpan w:val="13"/>
            <w:tcBorders>
              <w:top w:val="single" w:sz="6" w:space="0" w:color="000000"/>
              <w:bottom w:val="single" w:sz="6" w:space="0" w:color="000000"/>
            </w:tcBorders>
          </w:tcPr>
          <w:p w:rsidR="003B05E5" w:rsidRPr="00AF3C29" w:rsidRDefault="003B05E5" w:rsidP="003076A0">
            <w:pPr>
              <w:rPr>
                <w:rFonts w:ascii="Arial" w:hAnsi="Arial" w:cs="Arial"/>
                <w:sz w:val="15"/>
                <w:highlight w:val="yellow"/>
              </w:rPr>
            </w:pPr>
          </w:p>
        </w:tc>
        <w:tc>
          <w:tcPr>
            <w:tcW w:w="1160" w:type="dxa"/>
            <w:gridSpan w:val="2"/>
            <w:tcBorders>
              <w:top w:val="single" w:sz="6" w:space="0" w:color="000000"/>
              <w:bottom w:val="single" w:sz="6" w:space="0" w:color="000000"/>
            </w:tcBorders>
          </w:tcPr>
          <w:p w:rsidR="003B05E5" w:rsidRPr="00AF3C29" w:rsidRDefault="003B05E5" w:rsidP="003076A0">
            <w:pPr>
              <w:jc w:val="center"/>
              <w:rPr>
                <w:rFonts w:ascii="Arial" w:hAnsi="Arial" w:cs="Arial"/>
                <w:bCs/>
                <w:sz w:val="15"/>
              </w:rPr>
            </w:pPr>
            <w:r w:rsidRPr="00AF3C29">
              <w:rPr>
                <w:rFonts w:ascii="Arial" w:hAnsi="Arial" w:cs="Arial"/>
                <w:bCs/>
                <w:sz w:val="15"/>
              </w:rPr>
              <w:t>Target</w:t>
            </w:r>
          </w:p>
        </w:tc>
        <w:tc>
          <w:tcPr>
            <w:tcW w:w="1260" w:type="dxa"/>
            <w:gridSpan w:val="5"/>
            <w:tcBorders>
              <w:top w:val="single" w:sz="6" w:space="0" w:color="000000"/>
              <w:bottom w:val="single" w:sz="6" w:space="0" w:color="000000"/>
            </w:tcBorders>
            <w:shd w:val="clear" w:color="auto" w:fill="auto"/>
          </w:tcPr>
          <w:p w:rsidR="003B05E5" w:rsidRPr="00AF3C29" w:rsidRDefault="003B05E5" w:rsidP="003076A0">
            <w:pPr>
              <w:jc w:val="center"/>
              <w:rPr>
                <w:rFonts w:ascii="Arial" w:hAnsi="Arial" w:cs="Arial"/>
                <w:bCs/>
                <w:sz w:val="15"/>
              </w:rPr>
            </w:pPr>
            <w:r w:rsidRPr="00AF3C29">
              <w:rPr>
                <w:rFonts w:ascii="Arial" w:hAnsi="Arial" w:cs="Arial"/>
                <w:bCs/>
                <w:sz w:val="15"/>
              </w:rPr>
              <w:t>Actual</w:t>
            </w:r>
          </w:p>
        </w:tc>
        <w:tc>
          <w:tcPr>
            <w:tcW w:w="1434" w:type="dxa"/>
            <w:gridSpan w:val="4"/>
            <w:tcBorders>
              <w:top w:val="single" w:sz="6" w:space="0" w:color="000000"/>
              <w:bottom w:val="single" w:sz="6" w:space="0" w:color="000000"/>
            </w:tcBorders>
            <w:shd w:val="clear" w:color="auto" w:fill="auto"/>
          </w:tcPr>
          <w:p w:rsidR="003B05E5" w:rsidRDefault="003B05E5" w:rsidP="003076A0">
            <w:pPr>
              <w:jc w:val="center"/>
              <w:rPr>
                <w:rFonts w:ascii="Arial" w:hAnsi="Arial" w:cs="Arial"/>
                <w:b/>
                <w:bCs/>
                <w:sz w:val="15"/>
              </w:rPr>
            </w:pPr>
            <w:r>
              <w:rPr>
                <w:rFonts w:ascii="Arial" w:hAnsi="Arial" w:cs="Arial"/>
                <w:b/>
                <w:bCs/>
                <w:sz w:val="15"/>
              </w:rPr>
              <w:t>Projected</w:t>
            </w:r>
          </w:p>
        </w:tc>
        <w:tc>
          <w:tcPr>
            <w:tcW w:w="1446" w:type="dxa"/>
            <w:gridSpan w:val="5"/>
            <w:tcBorders>
              <w:top w:val="single" w:sz="6" w:space="0" w:color="000000"/>
              <w:bottom w:val="single" w:sz="6" w:space="0" w:color="000000"/>
            </w:tcBorders>
            <w:shd w:val="clear" w:color="auto" w:fill="auto"/>
          </w:tcPr>
          <w:p w:rsidR="003B05E5" w:rsidRDefault="003B05E5" w:rsidP="003076A0">
            <w:pPr>
              <w:jc w:val="center"/>
              <w:rPr>
                <w:rFonts w:ascii="Arial" w:hAnsi="Arial" w:cs="Arial"/>
                <w:b/>
                <w:bCs/>
                <w:sz w:val="15"/>
              </w:rPr>
            </w:pPr>
            <w:r>
              <w:rPr>
                <w:rFonts w:ascii="Arial" w:hAnsi="Arial" w:cs="Arial"/>
                <w:b/>
                <w:bCs/>
                <w:sz w:val="15"/>
              </w:rPr>
              <w:t>Changes</w:t>
            </w:r>
          </w:p>
        </w:tc>
        <w:tc>
          <w:tcPr>
            <w:tcW w:w="1890" w:type="dxa"/>
            <w:gridSpan w:val="3"/>
            <w:tcBorders>
              <w:top w:val="single" w:sz="6" w:space="0" w:color="000000"/>
              <w:bottom w:val="single" w:sz="6" w:space="0" w:color="000000"/>
            </w:tcBorders>
            <w:shd w:val="clear" w:color="auto" w:fill="auto"/>
            <w:vAlign w:val="center"/>
          </w:tcPr>
          <w:p w:rsidR="003B05E5" w:rsidRDefault="003B05E5">
            <w:pPr>
              <w:jc w:val="center"/>
              <w:rPr>
                <w:rFonts w:ascii="Arial" w:hAnsi="Arial" w:cs="Arial"/>
                <w:b/>
                <w:bCs/>
                <w:sz w:val="15"/>
              </w:rPr>
            </w:pPr>
            <w:r>
              <w:rPr>
                <w:rFonts w:ascii="Arial" w:hAnsi="Arial" w:cs="Arial"/>
                <w:b/>
                <w:bCs/>
                <w:sz w:val="15"/>
              </w:rPr>
              <w:t>Requested (Total)</w:t>
            </w:r>
          </w:p>
        </w:tc>
      </w:tr>
      <w:tr w:rsidR="003B05E5" w:rsidTr="00033F01">
        <w:trPr>
          <w:gridBefore w:val="3"/>
          <w:gridAfter w:val="1"/>
          <w:wBefore w:w="1494" w:type="dxa"/>
          <w:wAfter w:w="1201" w:type="dxa"/>
          <w:trHeight w:val="576"/>
          <w:jc w:val="center"/>
        </w:trPr>
        <w:tc>
          <w:tcPr>
            <w:tcW w:w="2189" w:type="dxa"/>
            <w:gridSpan w:val="5"/>
          </w:tcPr>
          <w:p w:rsidR="003B05E5" w:rsidRDefault="003B05E5" w:rsidP="003076A0">
            <w:pPr>
              <w:jc w:val="center"/>
              <w:rPr>
                <w:rFonts w:ascii="Arial" w:hAnsi="Arial" w:cs="Arial"/>
                <w:sz w:val="15"/>
              </w:rPr>
            </w:pPr>
            <w:r>
              <w:rPr>
                <w:rFonts w:ascii="Arial" w:hAnsi="Arial" w:cs="Arial"/>
                <w:b/>
                <w:bCs/>
                <w:sz w:val="15"/>
              </w:rPr>
              <w:t>TYPE/ Strategic Objective</w:t>
            </w:r>
          </w:p>
        </w:tc>
        <w:tc>
          <w:tcPr>
            <w:tcW w:w="3507" w:type="dxa"/>
            <w:gridSpan w:val="5"/>
            <w:shd w:val="clear" w:color="auto" w:fill="auto"/>
          </w:tcPr>
          <w:p w:rsidR="003B05E5" w:rsidRDefault="003B05E5" w:rsidP="003076A0">
            <w:pPr>
              <w:jc w:val="center"/>
              <w:rPr>
                <w:rFonts w:ascii="Arial" w:hAnsi="Arial" w:cs="Arial"/>
                <w:sz w:val="15"/>
              </w:rPr>
            </w:pPr>
            <w:r>
              <w:rPr>
                <w:rFonts w:ascii="Arial" w:hAnsi="Arial" w:cs="Arial"/>
                <w:b/>
                <w:bCs/>
                <w:sz w:val="15"/>
              </w:rPr>
              <w:t>PERFORMANCE</w:t>
            </w:r>
            <w:r>
              <w:rPr>
                <w:rFonts w:ascii="Arial" w:hAnsi="Arial" w:cs="Arial"/>
                <w:sz w:val="15"/>
              </w:rPr>
              <w:t>/</w:t>
            </w:r>
            <w:r>
              <w:rPr>
                <w:rFonts w:ascii="Arial" w:hAnsi="Arial" w:cs="Arial"/>
                <w:b/>
                <w:bCs/>
                <w:sz w:val="15"/>
              </w:rPr>
              <w:t>RESOURCES</w:t>
            </w:r>
          </w:p>
        </w:tc>
        <w:tc>
          <w:tcPr>
            <w:tcW w:w="1153" w:type="dxa"/>
            <w:gridSpan w:val="4"/>
            <w:shd w:val="clear" w:color="auto" w:fill="auto"/>
          </w:tcPr>
          <w:p w:rsidR="003B05E5" w:rsidRDefault="003B05E5" w:rsidP="003076A0">
            <w:pPr>
              <w:jc w:val="center"/>
              <w:rPr>
                <w:rFonts w:ascii="Arial" w:hAnsi="Arial" w:cs="Arial"/>
                <w:b/>
                <w:bCs/>
                <w:sz w:val="15"/>
              </w:rPr>
            </w:pPr>
          </w:p>
          <w:p w:rsidR="003B05E5" w:rsidRDefault="003B05E5" w:rsidP="003076A0">
            <w:pPr>
              <w:jc w:val="center"/>
              <w:rPr>
                <w:rFonts w:ascii="Arial" w:hAnsi="Arial" w:cs="Arial"/>
                <w:b/>
                <w:bCs/>
                <w:sz w:val="15"/>
              </w:rPr>
            </w:pPr>
            <w:r>
              <w:rPr>
                <w:rFonts w:ascii="Arial" w:hAnsi="Arial" w:cs="Arial"/>
                <w:b/>
                <w:bCs/>
                <w:sz w:val="15"/>
              </w:rPr>
              <w:t>FY 20</w:t>
            </w:r>
            <w:r w:rsidR="00185DD0">
              <w:rPr>
                <w:rFonts w:ascii="Arial" w:hAnsi="Arial" w:cs="Arial"/>
                <w:b/>
                <w:bCs/>
                <w:sz w:val="15"/>
              </w:rPr>
              <w:t>1</w:t>
            </w:r>
            <w:r w:rsidR="00601CE2">
              <w:rPr>
                <w:rFonts w:ascii="Arial" w:hAnsi="Arial" w:cs="Arial"/>
                <w:b/>
                <w:bCs/>
                <w:sz w:val="15"/>
              </w:rPr>
              <w:t>2</w:t>
            </w:r>
          </w:p>
          <w:p w:rsidR="003B05E5" w:rsidRDefault="003B05E5" w:rsidP="003076A0">
            <w:pPr>
              <w:jc w:val="center"/>
              <w:rPr>
                <w:rFonts w:ascii="Arial" w:hAnsi="Arial" w:cs="Arial"/>
                <w:b/>
                <w:bCs/>
                <w:sz w:val="15"/>
              </w:rPr>
            </w:pPr>
          </w:p>
        </w:tc>
        <w:tc>
          <w:tcPr>
            <w:tcW w:w="1260" w:type="dxa"/>
            <w:gridSpan w:val="6"/>
            <w:shd w:val="clear" w:color="auto" w:fill="auto"/>
          </w:tcPr>
          <w:p w:rsidR="003B05E5" w:rsidRPr="00AF3C29" w:rsidRDefault="003B05E5" w:rsidP="003076A0">
            <w:pPr>
              <w:jc w:val="center"/>
              <w:rPr>
                <w:rFonts w:ascii="Arial" w:hAnsi="Arial" w:cs="Arial"/>
                <w:bCs/>
                <w:sz w:val="15"/>
              </w:rPr>
            </w:pPr>
          </w:p>
          <w:p w:rsidR="000C4779" w:rsidRDefault="003B05E5">
            <w:pPr>
              <w:jc w:val="center"/>
              <w:rPr>
                <w:rFonts w:ascii="Arial" w:hAnsi="Arial" w:cs="Arial"/>
                <w:bCs/>
                <w:sz w:val="15"/>
              </w:rPr>
            </w:pPr>
            <w:r w:rsidRPr="00AF3C29">
              <w:rPr>
                <w:rFonts w:ascii="Arial" w:hAnsi="Arial" w:cs="Arial"/>
                <w:bCs/>
                <w:sz w:val="15"/>
              </w:rPr>
              <w:t>FY 20</w:t>
            </w:r>
            <w:r w:rsidR="00185DD0" w:rsidRPr="00AF3C29">
              <w:rPr>
                <w:rFonts w:ascii="Arial" w:hAnsi="Arial" w:cs="Arial"/>
                <w:bCs/>
                <w:sz w:val="15"/>
              </w:rPr>
              <w:t>1</w:t>
            </w:r>
            <w:r w:rsidR="005A5BA7" w:rsidRPr="00AF3C29">
              <w:rPr>
                <w:rFonts w:ascii="Arial" w:hAnsi="Arial" w:cs="Arial"/>
                <w:bCs/>
                <w:sz w:val="15"/>
              </w:rPr>
              <w:t>2</w:t>
            </w:r>
          </w:p>
          <w:p w:rsidR="003B05E5" w:rsidRPr="00AF3C29" w:rsidRDefault="003B05E5" w:rsidP="003076A0">
            <w:pPr>
              <w:jc w:val="center"/>
              <w:rPr>
                <w:rFonts w:ascii="Arial" w:hAnsi="Arial" w:cs="Arial"/>
                <w:bCs/>
                <w:sz w:val="15"/>
              </w:rPr>
            </w:pPr>
          </w:p>
        </w:tc>
        <w:tc>
          <w:tcPr>
            <w:tcW w:w="1435" w:type="dxa"/>
            <w:gridSpan w:val="4"/>
            <w:shd w:val="clear" w:color="auto" w:fill="auto"/>
          </w:tcPr>
          <w:p w:rsidR="003076A0" w:rsidRDefault="003076A0" w:rsidP="003076A0">
            <w:pPr>
              <w:jc w:val="center"/>
              <w:rPr>
                <w:rFonts w:ascii="Arial" w:hAnsi="Arial" w:cs="Arial"/>
                <w:b/>
                <w:bCs/>
                <w:sz w:val="15"/>
              </w:rPr>
            </w:pPr>
          </w:p>
          <w:p w:rsidR="003B05E5" w:rsidRPr="00D006C8" w:rsidRDefault="00F36DCB" w:rsidP="003076A0">
            <w:pPr>
              <w:jc w:val="center"/>
              <w:rPr>
                <w:rFonts w:ascii="Arial" w:hAnsi="Arial" w:cs="Arial"/>
                <w:b/>
                <w:bCs/>
                <w:sz w:val="15"/>
              </w:rPr>
            </w:pPr>
            <w:r w:rsidRPr="00D006C8">
              <w:rPr>
                <w:rFonts w:ascii="Arial" w:hAnsi="Arial" w:cs="Arial"/>
                <w:b/>
                <w:bCs/>
                <w:sz w:val="15"/>
              </w:rPr>
              <w:t>FY 201</w:t>
            </w:r>
            <w:r w:rsidR="005A5BA7">
              <w:rPr>
                <w:rFonts w:ascii="Arial" w:hAnsi="Arial" w:cs="Arial"/>
                <w:b/>
                <w:bCs/>
                <w:sz w:val="15"/>
              </w:rPr>
              <w:t>3</w:t>
            </w:r>
            <w:r w:rsidR="006532CB">
              <w:rPr>
                <w:rFonts w:ascii="Arial" w:hAnsi="Arial" w:cs="Arial"/>
                <w:b/>
                <w:bCs/>
                <w:sz w:val="15"/>
              </w:rPr>
              <w:t xml:space="preserve"> CR</w:t>
            </w:r>
          </w:p>
        </w:tc>
        <w:tc>
          <w:tcPr>
            <w:tcW w:w="1446" w:type="dxa"/>
            <w:gridSpan w:val="4"/>
            <w:shd w:val="clear" w:color="auto" w:fill="auto"/>
          </w:tcPr>
          <w:p w:rsidR="003B05E5" w:rsidRDefault="003B05E5" w:rsidP="003076A0">
            <w:pPr>
              <w:jc w:val="center"/>
              <w:rPr>
                <w:rFonts w:ascii="Arial" w:hAnsi="Arial" w:cs="Arial"/>
                <w:b/>
                <w:bCs/>
                <w:sz w:val="15"/>
              </w:rPr>
            </w:pPr>
            <w:r>
              <w:rPr>
                <w:rFonts w:ascii="Arial" w:hAnsi="Arial" w:cs="Arial"/>
                <w:b/>
                <w:bCs/>
                <w:sz w:val="15"/>
              </w:rPr>
              <w:t>Current Services</w:t>
            </w:r>
          </w:p>
          <w:p w:rsidR="003B05E5" w:rsidRDefault="003B05E5" w:rsidP="003076A0">
            <w:pPr>
              <w:jc w:val="center"/>
              <w:rPr>
                <w:rFonts w:ascii="Arial" w:hAnsi="Arial" w:cs="Arial"/>
                <w:b/>
                <w:bCs/>
                <w:sz w:val="15"/>
              </w:rPr>
            </w:pPr>
            <w:r>
              <w:rPr>
                <w:rFonts w:ascii="Arial" w:hAnsi="Arial" w:cs="Arial"/>
                <w:b/>
                <w:bCs/>
                <w:sz w:val="15"/>
              </w:rPr>
              <w:t>Adjustments and    FY 201</w:t>
            </w:r>
            <w:r w:rsidR="005A5BA7">
              <w:rPr>
                <w:rFonts w:ascii="Arial" w:hAnsi="Arial" w:cs="Arial"/>
                <w:b/>
                <w:bCs/>
                <w:sz w:val="15"/>
              </w:rPr>
              <w:t>4</w:t>
            </w:r>
            <w:r>
              <w:rPr>
                <w:rFonts w:ascii="Arial" w:hAnsi="Arial" w:cs="Arial"/>
                <w:b/>
                <w:bCs/>
                <w:sz w:val="15"/>
              </w:rPr>
              <w:t xml:space="preserve"> Program Changes</w:t>
            </w:r>
          </w:p>
        </w:tc>
        <w:tc>
          <w:tcPr>
            <w:tcW w:w="1889" w:type="dxa"/>
            <w:gridSpan w:val="5"/>
            <w:shd w:val="clear" w:color="auto" w:fill="auto"/>
          </w:tcPr>
          <w:p w:rsidR="003076A0" w:rsidRDefault="003076A0" w:rsidP="003076A0">
            <w:pPr>
              <w:jc w:val="center"/>
              <w:rPr>
                <w:rFonts w:ascii="Arial" w:hAnsi="Arial" w:cs="Arial"/>
                <w:b/>
                <w:bCs/>
                <w:sz w:val="15"/>
              </w:rPr>
            </w:pPr>
          </w:p>
          <w:p w:rsidR="003B05E5" w:rsidRDefault="003B05E5" w:rsidP="003076A0">
            <w:pPr>
              <w:jc w:val="center"/>
              <w:rPr>
                <w:rFonts w:ascii="Arial" w:hAnsi="Arial" w:cs="Arial"/>
                <w:b/>
                <w:bCs/>
                <w:sz w:val="15"/>
              </w:rPr>
            </w:pPr>
            <w:r>
              <w:rPr>
                <w:rFonts w:ascii="Arial" w:hAnsi="Arial" w:cs="Arial"/>
                <w:b/>
                <w:bCs/>
                <w:sz w:val="15"/>
              </w:rPr>
              <w:t>FY 201</w:t>
            </w:r>
            <w:r w:rsidR="005A5BA7">
              <w:rPr>
                <w:rFonts w:ascii="Arial" w:hAnsi="Arial" w:cs="Arial"/>
                <w:b/>
                <w:bCs/>
                <w:sz w:val="15"/>
              </w:rPr>
              <w:t>4</w:t>
            </w:r>
          </w:p>
          <w:p w:rsidR="003B05E5" w:rsidRDefault="003B05E5" w:rsidP="003076A0">
            <w:pPr>
              <w:jc w:val="center"/>
              <w:rPr>
                <w:rFonts w:ascii="Arial" w:hAnsi="Arial" w:cs="Arial"/>
                <w:b/>
                <w:bCs/>
                <w:sz w:val="15"/>
              </w:rPr>
            </w:pPr>
            <w:r>
              <w:rPr>
                <w:rFonts w:ascii="Arial" w:hAnsi="Arial" w:cs="Arial"/>
                <w:b/>
                <w:bCs/>
                <w:sz w:val="15"/>
              </w:rPr>
              <w:t>Request</w:t>
            </w:r>
          </w:p>
        </w:tc>
      </w:tr>
      <w:tr w:rsidR="003B05E5" w:rsidTr="00033F01">
        <w:trPr>
          <w:gridBefore w:val="2"/>
          <w:gridAfter w:val="2"/>
          <w:wBefore w:w="1476" w:type="dxa"/>
          <w:wAfter w:w="1227" w:type="dxa"/>
          <w:cantSplit/>
          <w:trHeight w:val="324"/>
          <w:jc w:val="center"/>
        </w:trPr>
        <w:tc>
          <w:tcPr>
            <w:tcW w:w="2192" w:type="dxa"/>
            <w:gridSpan w:val="5"/>
          </w:tcPr>
          <w:p w:rsidR="003B05E5" w:rsidRDefault="00E802C3" w:rsidP="003076A0">
            <w:pPr>
              <w:rPr>
                <w:rFonts w:ascii="Arial" w:hAnsi="Arial" w:cs="Arial"/>
                <w:sz w:val="15"/>
              </w:rPr>
            </w:pPr>
            <w:r>
              <w:rPr>
                <w:rFonts w:ascii="Arial" w:hAnsi="Arial" w:cs="Arial"/>
                <w:b/>
                <w:bCs/>
                <w:sz w:val="15"/>
              </w:rPr>
              <w:t>Performance Measure – Merger</w:t>
            </w:r>
          </w:p>
        </w:tc>
        <w:tc>
          <w:tcPr>
            <w:tcW w:w="3488" w:type="dxa"/>
            <w:gridSpan w:val="5"/>
            <w:tcBorders>
              <w:top w:val="dotted" w:sz="2" w:space="0" w:color="auto"/>
              <w:bottom w:val="dotted" w:sz="2" w:space="0" w:color="auto"/>
            </w:tcBorders>
            <w:shd w:val="clear" w:color="auto" w:fill="auto"/>
          </w:tcPr>
          <w:p w:rsidR="003B05E5" w:rsidRPr="007357BD" w:rsidRDefault="003B05E5" w:rsidP="003076A0">
            <w:pPr>
              <w:rPr>
                <w:rFonts w:ascii="Arial" w:hAnsi="Arial" w:cs="Arial"/>
                <w:sz w:val="15"/>
              </w:rPr>
            </w:pPr>
            <w:r w:rsidRPr="007357BD">
              <w:rPr>
                <w:rFonts w:ascii="Arial" w:hAnsi="Arial" w:cs="Arial"/>
                <w:sz w:val="15"/>
              </w:rPr>
              <w:t>Number of</w:t>
            </w:r>
            <w:r w:rsidR="005D0D80" w:rsidRPr="007357BD">
              <w:rPr>
                <w:rFonts w:ascii="Arial" w:hAnsi="Arial" w:cs="Arial"/>
                <w:sz w:val="15"/>
              </w:rPr>
              <w:t xml:space="preserve"> </w:t>
            </w:r>
            <w:r w:rsidRPr="007357BD">
              <w:rPr>
                <w:rFonts w:ascii="Arial" w:hAnsi="Arial" w:cs="Arial"/>
                <w:sz w:val="15"/>
              </w:rPr>
              <w:t>Preliminary</w:t>
            </w:r>
            <w:r w:rsidR="005D0D80" w:rsidRPr="007357BD">
              <w:rPr>
                <w:rFonts w:ascii="Arial" w:hAnsi="Arial" w:cs="Arial"/>
                <w:sz w:val="15"/>
              </w:rPr>
              <w:t xml:space="preserve"> </w:t>
            </w:r>
            <w:r w:rsidR="00B369F7" w:rsidRPr="007357BD">
              <w:rPr>
                <w:rFonts w:ascii="Arial" w:hAnsi="Arial" w:cs="Arial"/>
                <w:sz w:val="15"/>
              </w:rPr>
              <w:t xml:space="preserve">Inquiries </w:t>
            </w:r>
            <w:r w:rsidR="005D0D80" w:rsidRPr="007357BD">
              <w:rPr>
                <w:rFonts w:ascii="Arial" w:hAnsi="Arial" w:cs="Arial"/>
                <w:sz w:val="15"/>
              </w:rPr>
              <w:t>Opened</w:t>
            </w:r>
          </w:p>
          <w:p w:rsidR="003B05E5" w:rsidRPr="007357BD" w:rsidRDefault="003B05E5" w:rsidP="003076A0">
            <w:pPr>
              <w:rPr>
                <w:rFonts w:ascii="Arial" w:hAnsi="Arial" w:cs="Arial"/>
                <w:sz w:val="15"/>
              </w:rPr>
            </w:pPr>
          </w:p>
        </w:tc>
        <w:tc>
          <w:tcPr>
            <w:tcW w:w="1161" w:type="dxa"/>
            <w:gridSpan w:val="4"/>
            <w:tcBorders>
              <w:top w:val="dotted" w:sz="2" w:space="0" w:color="auto"/>
              <w:bottom w:val="dotted" w:sz="2" w:space="0" w:color="auto"/>
            </w:tcBorders>
            <w:shd w:val="clear" w:color="auto" w:fill="auto"/>
          </w:tcPr>
          <w:p w:rsidR="003B05E5" w:rsidRPr="007357BD" w:rsidRDefault="003B05E5" w:rsidP="003076A0">
            <w:pPr>
              <w:jc w:val="center"/>
              <w:rPr>
                <w:rFonts w:ascii="Arial" w:hAnsi="Arial" w:cs="Arial"/>
                <w:sz w:val="15"/>
              </w:rPr>
            </w:pPr>
          </w:p>
          <w:p w:rsidR="003B05E5" w:rsidRPr="007357BD" w:rsidRDefault="00596271" w:rsidP="003076A0">
            <w:pPr>
              <w:jc w:val="center"/>
              <w:rPr>
                <w:rFonts w:ascii="Arial" w:hAnsi="Arial" w:cs="Arial"/>
                <w:sz w:val="15"/>
              </w:rPr>
            </w:pPr>
            <w:r w:rsidRPr="007357BD">
              <w:rPr>
                <w:rFonts w:ascii="Arial" w:hAnsi="Arial" w:cs="Arial"/>
                <w:sz w:val="15"/>
              </w:rPr>
              <w:t>110</w:t>
            </w:r>
          </w:p>
        </w:tc>
        <w:tc>
          <w:tcPr>
            <w:tcW w:w="1260" w:type="dxa"/>
            <w:gridSpan w:val="6"/>
            <w:tcBorders>
              <w:top w:val="dotted" w:sz="2" w:space="0" w:color="auto"/>
              <w:bottom w:val="single" w:sz="6" w:space="0" w:color="000000"/>
            </w:tcBorders>
            <w:shd w:val="clear" w:color="auto" w:fill="auto"/>
          </w:tcPr>
          <w:p w:rsidR="003B05E5" w:rsidRDefault="003B05E5" w:rsidP="003076A0">
            <w:pPr>
              <w:jc w:val="center"/>
              <w:rPr>
                <w:rFonts w:ascii="Arial" w:hAnsi="Arial" w:cs="Arial"/>
                <w:color w:val="000000"/>
                <w:sz w:val="15"/>
              </w:rPr>
            </w:pPr>
          </w:p>
          <w:p w:rsidR="003B4B3B" w:rsidRPr="007357BD" w:rsidRDefault="00F54FD2" w:rsidP="003076A0">
            <w:pPr>
              <w:jc w:val="center"/>
              <w:rPr>
                <w:rFonts w:ascii="Arial" w:hAnsi="Arial" w:cs="Arial"/>
                <w:color w:val="000000"/>
                <w:sz w:val="15"/>
              </w:rPr>
            </w:pPr>
            <w:r>
              <w:rPr>
                <w:rFonts w:ascii="Arial" w:hAnsi="Arial" w:cs="Arial"/>
                <w:color w:val="000000"/>
                <w:sz w:val="15"/>
              </w:rPr>
              <w:t>74</w:t>
            </w:r>
          </w:p>
        </w:tc>
        <w:tc>
          <w:tcPr>
            <w:tcW w:w="1434" w:type="dxa"/>
            <w:gridSpan w:val="4"/>
            <w:tcBorders>
              <w:top w:val="dotted" w:sz="2" w:space="0" w:color="auto"/>
              <w:bottom w:val="dotted" w:sz="2" w:space="0" w:color="auto"/>
            </w:tcBorders>
            <w:shd w:val="clear" w:color="auto" w:fill="auto"/>
          </w:tcPr>
          <w:p w:rsidR="003B05E5" w:rsidRPr="00D006C8" w:rsidRDefault="003B05E5" w:rsidP="003076A0">
            <w:pPr>
              <w:jc w:val="center"/>
              <w:rPr>
                <w:rFonts w:ascii="Arial" w:hAnsi="Arial" w:cs="Arial"/>
                <w:color w:val="000000"/>
                <w:sz w:val="15"/>
              </w:rPr>
            </w:pPr>
          </w:p>
          <w:p w:rsidR="003B05E5" w:rsidRPr="00D006C8" w:rsidRDefault="00F54FD2" w:rsidP="003076A0">
            <w:pPr>
              <w:jc w:val="center"/>
              <w:rPr>
                <w:rFonts w:ascii="Arial" w:hAnsi="Arial" w:cs="Arial"/>
                <w:color w:val="000000"/>
                <w:sz w:val="15"/>
              </w:rPr>
            </w:pPr>
            <w:r>
              <w:rPr>
                <w:rFonts w:ascii="Arial" w:hAnsi="Arial" w:cs="Arial"/>
                <w:color w:val="000000"/>
                <w:sz w:val="15"/>
              </w:rPr>
              <w:t>70</w:t>
            </w:r>
          </w:p>
          <w:p w:rsidR="003B05E5" w:rsidRPr="00D006C8" w:rsidRDefault="003B05E5" w:rsidP="003076A0">
            <w:pPr>
              <w:jc w:val="center"/>
              <w:rPr>
                <w:rFonts w:ascii="Arial" w:hAnsi="Arial" w:cs="Arial"/>
                <w:color w:val="000000"/>
                <w:sz w:val="15"/>
              </w:rPr>
            </w:pPr>
          </w:p>
        </w:tc>
        <w:tc>
          <w:tcPr>
            <w:tcW w:w="1446" w:type="dxa"/>
            <w:gridSpan w:val="4"/>
            <w:tcBorders>
              <w:top w:val="dotted" w:sz="2" w:space="0" w:color="auto"/>
              <w:bottom w:val="dotted" w:sz="2" w:space="0" w:color="auto"/>
            </w:tcBorders>
            <w:shd w:val="clear" w:color="auto" w:fill="auto"/>
          </w:tcPr>
          <w:p w:rsidR="003B05E5" w:rsidRDefault="003B05E5" w:rsidP="003076A0">
            <w:pPr>
              <w:jc w:val="center"/>
              <w:rPr>
                <w:rFonts w:ascii="Arial" w:hAnsi="Arial" w:cs="Arial"/>
                <w:color w:val="000000"/>
                <w:sz w:val="15"/>
              </w:rPr>
            </w:pPr>
          </w:p>
          <w:p w:rsidR="003B05E5" w:rsidRDefault="003B05E5" w:rsidP="003076A0">
            <w:pPr>
              <w:jc w:val="center"/>
              <w:rPr>
                <w:rFonts w:ascii="Arial" w:hAnsi="Arial" w:cs="Arial"/>
                <w:color w:val="000000"/>
                <w:sz w:val="15"/>
              </w:rPr>
            </w:pPr>
            <w:r>
              <w:rPr>
                <w:rFonts w:ascii="Arial" w:hAnsi="Arial" w:cs="Arial"/>
                <w:color w:val="000000"/>
                <w:sz w:val="15"/>
              </w:rPr>
              <w:t>0/0</w:t>
            </w:r>
          </w:p>
          <w:p w:rsidR="003B05E5" w:rsidRDefault="003B05E5" w:rsidP="003076A0">
            <w:pPr>
              <w:jc w:val="center"/>
              <w:rPr>
                <w:rFonts w:ascii="Arial" w:hAnsi="Arial" w:cs="Arial"/>
                <w:color w:val="000000"/>
                <w:sz w:val="15"/>
              </w:rPr>
            </w:pPr>
          </w:p>
        </w:tc>
        <w:tc>
          <w:tcPr>
            <w:tcW w:w="1890" w:type="dxa"/>
            <w:gridSpan w:val="5"/>
            <w:tcBorders>
              <w:top w:val="dotted" w:sz="2" w:space="0" w:color="auto"/>
              <w:bottom w:val="dotted" w:sz="2" w:space="0" w:color="auto"/>
            </w:tcBorders>
            <w:shd w:val="clear" w:color="auto" w:fill="auto"/>
          </w:tcPr>
          <w:p w:rsidR="003B05E5" w:rsidRDefault="003B05E5" w:rsidP="003076A0">
            <w:pPr>
              <w:jc w:val="center"/>
              <w:rPr>
                <w:rFonts w:ascii="Arial" w:hAnsi="Arial" w:cs="Arial"/>
                <w:color w:val="000000"/>
                <w:sz w:val="15"/>
              </w:rPr>
            </w:pPr>
          </w:p>
          <w:p w:rsidR="003B05E5" w:rsidRDefault="00F54FD2" w:rsidP="003076A0">
            <w:pPr>
              <w:jc w:val="center"/>
              <w:rPr>
                <w:rFonts w:ascii="Arial" w:hAnsi="Arial" w:cs="Arial"/>
                <w:color w:val="000000"/>
                <w:sz w:val="15"/>
              </w:rPr>
            </w:pPr>
            <w:r>
              <w:rPr>
                <w:rFonts w:ascii="Arial" w:hAnsi="Arial" w:cs="Arial"/>
                <w:color w:val="000000"/>
                <w:sz w:val="15"/>
              </w:rPr>
              <w:t>70</w:t>
            </w:r>
          </w:p>
          <w:p w:rsidR="003B05E5" w:rsidRDefault="003B05E5" w:rsidP="003076A0">
            <w:pPr>
              <w:jc w:val="center"/>
              <w:rPr>
                <w:rFonts w:ascii="Arial" w:hAnsi="Arial" w:cs="Arial"/>
                <w:color w:val="000000"/>
                <w:sz w:val="15"/>
              </w:rPr>
            </w:pPr>
          </w:p>
        </w:tc>
      </w:tr>
      <w:tr w:rsidR="003B05E5" w:rsidTr="00033F01">
        <w:trPr>
          <w:gridBefore w:val="2"/>
          <w:gridAfter w:val="2"/>
          <w:wBefore w:w="1476" w:type="dxa"/>
          <w:wAfter w:w="1227" w:type="dxa"/>
          <w:cantSplit/>
          <w:trHeight w:val="252"/>
          <w:jc w:val="center"/>
        </w:trPr>
        <w:tc>
          <w:tcPr>
            <w:tcW w:w="2192" w:type="dxa"/>
            <w:gridSpan w:val="5"/>
          </w:tcPr>
          <w:p w:rsidR="003B05E5" w:rsidRDefault="003B05E5">
            <w:pPr>
              <w:rPr>
                <w:rFonts w:ascii="Arial" w:hAnsi="Arial" w:cs="Arial"/>
                <w:b/>
                <w:bCs/>
                <w:color w:val="000000"/>
                <w:sz w:val="15"/>
              </w:rPr>
            </w:pPr>
            <w:r>
              <w:rPr>
                <w:rFonts w:ascii="Arial" w:hAnsi="Arial" w:cs="Arial"/>
                <w:b/>
                <w:bCs/>
                <w:color w:val="000000"/>
                <w:sz w:val="15"/>
              </w:rPr>
              <w:t>Performance Measure – Civil Non-Merger</w:t>
            </w:r>
          </w:p>
        </w:tc>
        <w:tc>
          <w:tcPr>
            <w:tcW w:w="3488" w:type="dxa"/>
            <w:gridSpan w:val="5"/>
            <w:tcBorders>
              <w:bottom w:val="dotted" w:sz="2" w:space="0" w:color="auto"/>
            </w:tcBorders>
            <w:shd w:val="clear" w:color="auto" w:fill="auto"/>
            <w:vAlign w:val="center"/>
          </w:tcPr>
          <w:p w:rsidR="003B05E5" w:rsidRPr="007357BD" w:rsidRDefault="003B05E5" w:rsidP="00634727">
            <w:pPr>
              <w:rPr>
                <w:rFonts w:ascii="Arial" w:hAnsi="Arial" w:cs="Arial"/>
                <w:color w:val="000000"/>
                <w:sz w:val="15"/>
              </w:rPr>
            </w:pPr>
            <w:r w:rsidRPr="007357BD">
              <w:rPr>
                <w:rFonts w:ascii="Arial" w:hAnsi="Arial" w:cs="Arial"/>
                <w:color w:val="000000"/>
                <w:sz w:val="15"/>
              </w:rPr>
              <w:t>Number of Active Investigations</w:t>
            </w:r>
          </w:p>
        </w:tc>
        <w:tc>
          <w:tcPr>
            <w:tcW w:w="1161" w:type="dxa"/>
            <w:gridSpan w:val="4"/>
            <w:tcBorders>
              <w:bottom w:val="dotted" w:sz="2" w:space="0" w:color="auto"/>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color w:val="000000"/>
                <w:sz w:val="15"/>
              </w:rPr>
            </w:pPr>
            <w:r w:rsidRPr="007357BD">
              <w:rPr>
                <w:rFonts w:ascii="Arial" w:hAnsi="Arial" w:cs="Arial"/>
                <w:color w:val="000000"/>
                <w:sz w:val="15"/>
              </w:rPr>
              <w:t>77</w:t>
            </w:r>
          </w:p>
          <w:p w:rsidR="003B05E5" w:rsidRPr="007357BD" w:rsidRDefault="003B05E5">
            <w:pPr>
              <w:jc w:val="center"/>
              <w:rPr>
                <w:rFonts w:ascii="Arial" w:hAnsi="Arial" w:cs="Arial"/>
                <w:color w:val="000000"/>
                <w:sz w:val="15"/>
              </w:rPr>
            </w:pPr>
          </w:p>
        </w:tc>
        <w:tc>
          <w:tcPr>
            <w:tcW w:w="1260" w:type="dxa"/>
            <w:gridSpan w:val="6"/>
            <w:tcBorders>
              <w:top w:val="single" w:sz="6" w:space="0" w:color="000000"/>
              <w:bottom w:val="single" w:sz="6" w:space="0" w:color="000000"/>
            </w:tcBorders>
            <w:shd w:val="clear" w:color="auto" w:fill="auto"/>
          </w:tcPr>
          <w:p w:rsidR="003B05E5" w:rsidRDefault="003B05E5">
            <w:pPr>
              <w:jc w:val="center"/>
              <w:rPr>
                <w:rFonts w:ascii="Arial" w:hAnsi="Arial" w:cs="Arial"/>
                <w:color w:val="000000"/>
                <w:sz w:val="15"/>
              </w:rPr>
            </w:pPr>
          </w:p>
          <w:p w:rsidR="003B4B3B" w:rsidRPr="007357BD" w:rsidRDefault="00F54FD2">
            <w:pPr>
              <w:jc w:val="center"/>
              <w:rPr>
                <w:rFonts w:ascii="Arial" w:hAnsi="Arial" w:cs="Arial"/>
                <w:color w:val="000000"/>
                <w:sz w:val="15"/>
              </w:rPr>
            </w:pPr>
            <w:r>
              <w:rPr>
                <w:rFonts w:ascii="Arial" w:hAnsi="Arial" w:cs="Arial"/>
                <w:color w:val="000000"/>
                <w:sz w:val="15"/>
              </w:rPr>
              <w:t>46</w:t>
            </w:r>
          </w:p>
        </w:tc>
        <w:tc>
          <w:tcPr>
            <w:tcW w:w="1434" w:type="dxa"/>
            <w:gridSpan w:val="4"/>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7</w:t>
            </w:r>
            <w:r w:rsidR="00F54FD2">
              <w:rPr>
                <w:rFonts w:ascii="Arial" w:hAnsi="Arial" w:cs="Arial"/>
                <w:color w:val="000000"/>
                <w:sz w:val="15"/>
              </w:rPr>
              <w:t>0</w:t>
            </w:r>
          </w:p>
          <w:p w:rsidR="003B05E5" w:rsidRDefault="003B05E5">
            <w:pPr>
              <w:jc w:val="center"/>
              <w:rPr>
                <w:rFonts w:ascii="Arial" w:hAnsi="Arial" w:cs="Arial"/>
                <w:color w:val="000000"/>
                <w:sz w:val="15"/>
              </w:rPr>
            </w:pPr>
          </w:p>
        </w:tc>
        <w:tc>
          <w:tcPr>
            <w:tcW w:w="1446" w:type="dxa"/>
            <w:gridSpan w:val="4"/>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0/0</w:t>
            </w:r>
          </w:p>
          <w:p w:rsidR="003B05E5" w:rsidRDefault="003B05E5">
            <w:pPr>
              <w:jc w:val="center"/>
              <w:rPr>
                <w:rFonts w:ascii="Arial" w:hAnsi="Arial" w:cs="Arial"/>
                <w:color w:val="000000"/>
                <w:sz w:val="15"/>
              </w:rPr>
            </w:pPr>
          </w:p>
        </w:tc>
        <w:tc>
          <w:tcPr>
            <w:tcW w:w="1890" w:type="dxa"/>
            <w:gridSpan w:val="5"/>
            <w:tcBorders>
              <w:bottom w:val="dotted" w:sz="2" w:space="0" w:color="auto"/>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7</w:t>
            </w:r>
            <w:r w:rsidR="00F54FD2">
              <w:rPr>
                <w:rFonts w:ascii="Arial" w:hAnsi="Arial" w:cs="Arial"/>
                <w:color w:val="000000"/>
                <w:sz w:val="15"/>
              </w:rPr>
              <w:t>0</w:t>
            </w:r>
          </w:p>
          <w:p w:rsidR="003B05E5" w:rsidRDefault="003B05E5">
            <w:pPr>
              <w:jc w:val="center"/>
              <w:rPr>
                <w:rFonts w:ascii="Arial" w:hAnsi="Arial" w:cs="Arial"/>
                <w:color w:val="000000"/>
                <w:sz w:val="15"/>
              </w:rPr>
            </w:pPr>
          </w:p>
        </w:tc>
      </w:tr>
      <w:tr w:rsidR="003B05E5" w:rsidTr="00033F01">
        <w:trPr>
          <w:gridBefore w:val="2"/>
          <w:gridAfter w:val="2"/>
          <w:wBefore w:w="1476" w:type="dxa"/>
          <w:wAfter w:w="1227" w:type="dxa"/>
          <w:cantSplit/>
          <w:trHeight w:val="732"/>
          <w:jc w:val="center"/>
        </w:trPr>
        <w:tc>
          <w:tcPr>
            <w:tcW w:w="2192" w:type="dxa"/>
            <w:gridSpan w:val="5"/>
          </w:tcPr>
          <w:p w:rsidR="003B05E5" w:rsidRDefault="005D0D80">
            <w:pPr>
              <w:rPr>
                <w:rFonts w:ascii="Arial" w:hAnsi="Arial" w:cs="Arial"/>
                <w:b/>
                <w:bCs/>
                <w:color w:val="000000"/>
                <w:sz w:val="15"/>
              </w:rPr>
            </w:pPr>
            <w:r>
              <w:rPr>
                <w:rFonts w:ascii="Arial" w:hAnsi="Arial" w:cs="Arial"/>
                <w:b/>
                <w:bCs/>
                <w:color w:val="000000"/>
                <w:sz w:val="15"/>
              </w:rPr>
              <w:t>Performance Measure – Civil Merger and  Non-Merger</w:t>
            </w:r>
            <w:r w:rsidDel="00367DAD">
              <w:rPr>
                <w:rFonts w:ascii="Arial" w:hAnsi="Arial" w:cs="Arial"/>
                <w:b/>
                <w:bCs/>
                <w:color w:val="000000"/>
                <w:sz w:val="15"/>
              </w:rPr>
              <w:t xml:space="preserve"> </w:t>
            </w:r>
          </w:p>
        </w:tc>
        <w:tc>
          <w:tcPr>
            <w:tcW w:w="3488" w:type="dxa"/>
            <w:gridSpan w:val="5"/>
            <w:tcBorders>
              <w:bottom w:val="dotted" w:sz="2" w:space="0" w:color="auto"/>
            </w:tcBorders>
            <w:shd w:val="clear" w:color="auto" w:fill="auto"/>
            <w:vAlign w:val="center"/>
          </w:tcPr>
          <w:p w:rsidR="005D0D80" w:rsidRPr="007357BD" w:rsidRDefault="00596271" w:rsidP="00634727">
            <w:pPr>
              <w:rPr>
                <w:rFonts w:ascii="Arial" w:hAnsi="Arial" w:cs="Arial"/>
                <w:color w:val="000000"/>
                <w:sz w:val="15"/>
              </w:rPr>
            </w:pPr>
            <w:r w:rsidRPr="007357BD">
              <w:rPr>
                <w:rFonts w:ascii="Arial" w:hAnsi="Arial" w:cs="Arial"/>
                <w:color w:val="000000"/>
                <w:sz w:val="15"/>
              </w:rPr>
              <w:t xml:space="preserve">Dollar Volume of U.S. </w:t>
            </w:r>
            <w:r w:rsidR="005D0D80" w:rsidRPr="007357BD">
              <w:rPr>
                <w:rFonts w:ascii="Arial" w:hAnsi="Arial" w:cs="Arial"/>
                <w:color w:val="000000"/>
                <w:sz w:val="15"/>
              </w:rPr>
              <w:t xml:space="preserve">Commerce Affected in Relevant Markets </w:t>
            </w:r>
            <w:r w:rsidRPr="007357BD">
              <w:rPr>
                <w:rFonts w:ascii="Arial" w:hAnsi="Arial" w:cs="Arial"/>
                <w:color w:val="000000"/>
                <w:sz w:val="15"/>
              </w:rPr>
              <w:t>for all Merger Wins and All Non-Merger Pleas/Case</w:t>
            </w:r>
            <w:r w:rsidR="009F156E" w:rsidRPr="007357BD">
              <w:rPr>
                <w:rFonts w:ascii="Arial" w:hAnsi="Arial" w:cs="Arial"/>
                <w:color w:val="000000"/>
                <w:sz w:val="15"/>
              </w:rPr>
              <w:t>s Favorably Resolved</w:t>
            </w:r>
            <w:r w:rsidR="005D0D80" w:rsidRPr="007357BD">
              <w:rPr>
                <w:rFonts w:ascii="Arial" w:hAnsi="Arial" w:cs="Arial"/>
                <w:color w:val="000000"/>
                <w:sz w:val="15"/>
              </w:rPr>
              <w:t xml:space="preserve"> ($ in millions)</w:t>
            </w:r>
          </w:p>
          <w:p w:rsidR="003B05E5" w:rsidRPr="007357BD" w:rsidRDefault="003B05E5" w:rsidP="00634727">
            <w:pPr>
              <w:rPr>
                <w:rFonts w:ascii="Arial" w:hAnsi="Arial" w:cs="Arial"/>
                <w:sz w:val="15"/>
              </w:rPr>
            </w:pPr>
          </w:p>
        </w:tc>
        <w:tc>
          <w:tcPr>
            <w:tcW w:w="1161" w:type="dxa"/>
            <w:gridSpan w:val="4"/>
            <w:tcBorders>
              <w:bottom w:val="dotted" w:sz="2" w:space="0" w:color="auto"/>
            </w:tcBorders>
            <w:shd w:val="clear" w:color="auto" w:fill="auto"/>
            <w:vAlign w:val="center"/>
          </w:tcPr>
          <w:p w:rsidR="003B05E5" w:rsidRPr="007357BD" w:rsidRDefault="005D0D80" w:rsidP="00596271">
            <w:pPr>
              <w:jc w:val="center"/>
              <w:rPr>
                <w:rFonts w:ascii="Arial" w:hAnsi="Arial" w:cs="Arial"/>
                <w:color w:val="000000"/>
                <w:sz w:val="15"/>
              </w:rPr>
            </w:pPr>
            <w:r w:rsidRPr="007357BD">
              <w:rPr>
                <w:rFonts w:ascii="Arial" w:hAnsi="Arial" w:cs="Arial"/>
                <w:color w:val="000000"/>
                <w:sz w:val="15"/>
              </w:rPr>
              <w:t>Not Projected</w:t>
            </w:r>
          </w:p>
        </w:tc>
        <w:tc>
          <w:tcPr>
            <w:tcW w:w="1260" w:type="dxa"/>
            <w:gridSpan w:val="6"/>
            <w:tcBorders>
              <w:top w:val="single" w:sz="6" w:space="0" w:color="000000"/>
              <w:bottom w:val="dotted" w:sz="2" w:space="0" w:color="auto"/>
            </w:tcBorders>
            <w:shd w:val="clear" w:color="auto" w:fill="auto"/>
            <w:vAlign w:val="center"/>
          </w:tcPr>
          <w:p w:rsidR="003B05E5" w:rsidRPr="007357BD" w:rsidRDefault="00F54FD2" w:rsidP="00596271">
            <w:pPr>
              <w:jc w:val="center"/>
              <w:rPr>
                <w:rFonts w:ascii="Arial" w:hAnsi="Arial" w:cs="Arial"/>
                <w:color w:val="000000"/>
                <w:sz w:val="15"/>
              </w:rPr>
            </w:pPr>
            <w:r>
              <w:rPr>
                <w:rFonts w:ascii="Arial" w:hAnsi="Arial" w:cs="Arial"/>
                <w:color w:val="000000"/>
                <w:sz w:val="15"/>
              </w:rPr>
              <w:t>$437,410</w:t>
            </w:r>
          </w:p>
        </w:tc>
        <w:tc>
          <w:tcPr>
            <w:tcW w:w="1434" w:type="dxa"/>
            <w:gridSpan w:val="4"/>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c>
          <w:tcPr>
            <w:tcW w:w="1446" w:type="dxa"/>
            <w:gridSpan w:val="4"/>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c>
          <w:tcPr>
            <w:tcW w:w="1890" w:type="dxa"/>
            <w:gridSpan w:val="5"/>
            <w:tcBorders>
              <w:bottom w:val="dotted" w:sz="2" w:space="0" w:color="auto"/>
            </w:tcBorders>
            <w:shd w:val="clear" w:color="auto" w:fill="auto"/>
            <w:vAlign w:val="center"/>
          </w:tcPr>
          <w:p w:rsidR="00596271" w:rsidRDefault="00596271" w:rsidP="00596271">
            <w:pPr>
              <w:jc w:val="center"/>
              <w:rPr>
                <w:rFonts w:ascii="Arial" w:hAnsi="Arial" w:cs="Arial"/>
                <w:color w:val="000000"/>
                <w:sz w:val="15"/>
              </w:rPr>
            </w:pPr>
          </w:p>
          <w:p w:rsidR="005D0D80" w:rsidRDefault="005D0D80" w:rsidP="00596271">
            <w:pPr>
              <w:jc w:val="center"/>
              <w:rPr>
                <w:rFonts w:ascii="Arial" w:hAnsi="Arial" w:cs="Arial"/>
                <w:color w:val="000000"/>
                <w:sz w:val="15"/>
              </w:rPr>
            </w:pPr>
            <w:r>
              <w:rPr>
                <w:rFonts w:ascii="Arial" w:hAnsi="Arial" w:cs="Arial"/>
                <w:color w:val="000000"/>
                <w:sz w:val="15"/>
              </w:rPr>
              <w:t>Not Projected</w:t>
            </w:r>
          </w:p>
          <w:p w:rsidR="003B05E5" w:rsidRDefault="003B05E5" w:rsidP="00596271">
            <w:pPr>
              <w:jc w:val="center"/>
              <w:rPr>
                <w:rFonts w:ascii="Arial" w:hAnsi="Arial" w:cs="Arial"/>
                <w:color w:val="000000"/>
                <w:sz w:val="15"/>
              </w:rPr>
            </w:pPr>
          </w:p>
        </w:tc>
      </w:tr>
      <w:tr w:rsidR="003B05E5" w:rsidTr="00033F01">
        <w:trPr>
          <w:gridBefore w:val="1"/>
          <w:gridAfter w:val="4"/>
          <w:wBefore w:w="553" w:type="dxa"/>
          <w:wAfter w:w="2127" w:type="dxa"/>
          <w:cantSplit/>
          <w:trHeight w:val="144"/>
          <w:jc w:val="center"/>
        </w:trPr>
        <w:tc>
          <w:tcPr>
            <w:tcW w:w="5694" w:type="dxa"/>
            <w:gridSpan w:val="9"/>
            <w:tcBorders>
              <w:bottom w:val="nil"/>
            </w:tcBorders>
          </w:tcPr>
          <w:p w:rsidR="003B05E5" w:rsidRPr="00506916" w:rsidRDefault="003B05E5">
            <w:pPr>
              <w:rPr>
                <w:rFonts w:ascii="Arial" w:hAnsi="Arial" w:cs="Arial"/>
                <w:b/>
                <w:bCs/>
                <w:color w:val="000000"/>
                <w:sz w:val="20"/>
                <w:szCs w:val="20"/>
              </w:rPr>
            </w:pPr>
            <w:r w:rsidRPr="00506916">
              <w:rPr>
                <w:rFonts w:ascii="Arial" w:hAnsi="Arial" w:cs="Arial"/>
                <w:b/>
                <w:bCs/>
                <w:color w:val="000000"/>
                <w:sz w:val="20"/>
                <w:szCs w:val="20"/>
              </w:rPr>
              <w:t xml:space="preserve">Outcome – Criminal, </w:t>
            </w:r>
            <w:r w:rsidR="00FD70F3" w:rsidRPr="00506916">
              <w:rPr>
                <w:rFonts w:ascii="Arial" w:hAnsi="Arial" w:cs="Arial"/>
                <w:b/>
                <w:bCs/>
                <w:color w:val="000000"/>
                <w:sz w:val="20"/>
                <w:szCs w:val="20"/>
              </w:rPr>
              <w:t>Civil (</w:t>
            </w:r>
            <w:r w:rsidRPr="00506916">
              <w:rPr>
                <w:rFonts w:ascii="Arial" w:hAnsi="Arial" w:cs="Arial"/>
                <w:b/>
                <w:bCs/>
                <w:color w:val="000000"/>
                <w:sz w:val="20"/>
                <w:szCs w:val="20"/>
              </w:rPr>
              <w:t>Merger</w:t>
            </w:r>
            <w:r w:rsidR="00FD70F3" w:rsidRPr="00506916">
              <w:rPr>
                <w:rFonts w:ascii="Arial" w:hAnsi="Arial" w:cs="Arial"/>
                <w:b/>
                <w:bCs/>
                <w:color w:val="000000"/>
                <w:sz w:val="20"/>
                <w:szCs w:val="20"/>
              </w:rPr>
              <w:t xml:space="preserve"> and</w:t>
            </w:r>
            <w:r w:rsidRPr="00506916">
              <w:rPr>
                <w:rFonts w:ascii="Arial" w:hAnsi="Arial" w:cs="Arial"/>
                <w:b/>
                <w:bCs/>
                <w:color w:val="000000"/>
                <w:sz w:val="20"/>
                <w:szCs w:val="20"/>
              </w:rPr>
              <w:t xml:space="preserve"> Civil Non-Merger</w:t>
            </w:r>
            <w:r w:rsidR="00FD70F3" w:rsidRPr="00506916">
              <w:rPr>
                <w:rFonts w:ascii="Arial" w:hAnsi="Arial" w:cs="Arial"/>
                <w:b/>
                <w:bCs/>
                <w:color w:val="000000"/>
                <w:sz w:val="20"/>
                <w:szCs w:val="20"/>
              </w:rPr>
              <w:t>)</w:t>
            </w:r>
          </w:p>
          <w:p w:rsidR="003B05E5" w:rsidRDefault="003B05E5">
            <w:pPr>
              <w:rPr>
                <w:rFonts w:ascii="Arial" w:hAnsi="Arial" w:cs="Arial"/>
                <w:b/>
                <w:bCs/>
                <w:sz w:val="15"/>
              </w:rPr>
            </w:pPr>
            <w:r>
              <w:rPr>
                <w:rFonts w:ascii="Arial" w:hAnsi="Arial" w:cs="Arial"/>
                <w:b/>
                <w:bCs/>
                <w:sz w:val="16"/>
              </w:rPr>
              <w:t xml:space="preserve"> </w:t>
            </w:r>
          </w:p>
        </w:tc>
        <w:tc>
          <w:tcPr>
            <w:tcW w:w="1170" w:type="dxa"/>
            <w:gridSpan w:val="4"/>
            <w:tcBorders>
              <w:bottom w:val="dotted" w:sz="2" w:space="0" w:color="auto"/>
            </w:tcBorders>
            <w:shd w:val="clear" w:color="auto" w:fill="auto"/>
          </w:tcPr>
          <w:p w:rsidR="003B05E5" w:rsidRPr="007357BD" w:rsidRDefault="003B05E5">
            <w:pPr>
              <w:jc w:val="center"/>
              <w:rPr>
                <w:rFonts w:ascii="Arial" w:hAnsi="Arial" w:cs="Arial"/>
                <w:color w:val="000000"/>
                <w:sz w:val="15"/>
              </w:rPr>
            </w:pPr>
          </w:p>
        </w:tc>
        <w:tc>
          <w:tcPr>
            <w:tcW w:w="1260" w:type="dxa"/>
            <w:gridSpan w:val="5"/>
            <w:tcBorders>
              <w:top w:val="single" w:sz="6" w:space="0" w:color="000000"/>
              <w:bottom w:val="dotted" w:sz="2" w:space="0" w:color="auto"/>
            </w:tcBorders>
            <w:shd w:val="clear" w:color="auto" w:fill="auto"/>
          </w:tcPr>
          <w:p w:rsidR="003B05E5" w:rsidRPr="007357BD" w:rsidRDefault="003B05E5">
            <w:pPr>
              <w:jc w:val="center"/>
              <w:rPr>
                <w:rFonts w:ascii="Arial" w:hAnsi="Arial" w:cs="Arial"/>
                <w:b/>
                <w:bCs/>
                <w:color w:val="000000"/>
                <w:sz w:val="15"/>
              </w:rPr>
            </w:pPr>
          </w:p>
        </w:tc>
        <w:tc>
          <w:tcPr>
            <w:tcW w:w="1434" w:type="dxa"/>
            <w:gridSpan w:val="5"/>
            <w:tcBorders>
              <w:top w:val="single" w:sz="6" w:space="0" w:color="000000"/>
              <w:bottom w:val="dotted" w:sz="2" w:space="0" w:color="auto"/>
            </w:tcBorders>
            <w:shd w:val="clear" w:color="auto" w:fill="auto"/>
          </w:tcPr>
          <w:p w:rsidR="003B05E5" w:rsidRPr="007357BD" w:rsidRDefault="003B05E5">
            <w:pPr>
              <w:jc w:val="center"/>
              <w:rPr>
                <w:rFonts w:ascii="Arial" w:hAnsi="Arial" w:cs="Arial"/>
                <w:b/>
                <w:bCs/>
                <w:color w:val="000000"/>
                <w:sz w:val="15"/>
              </w:rPr>
            </w:pPr>
          </w:p>
        </w:tc>
        <w:tc>
          <w:tcPr>
            <w:tcW w:w="1446" w:type="dxa"/>
            <w:gridSpan w:val="4"/>
            <w:tcBorders>
              <w:bottom w:val="dotted" w:sz="2" w:space="0" w:color="auto"/>
            </w:tcBorders>
            <w:shd w:val="clear" w:color="auto" w:fill="auto"/>
          </w:tcPr>
          <w:p w:rsidR="003B05E5" w:rsidRDefault="003B05E5">
            <w:pPr>
              <w:jc w:val="center"/>
              <w:rPr>
                <w:rFonts w:ascii="Arial" w:hAnsi="Arial" w:cs="Arial"/>
                <w:b/>
                <w:bCs/>
                <w:color w:val="000000"/>
                <w:sz w:val="15"/>
              </w:rPr>
            </w:pPr>
          </w:p>
        </w:tc>
        <w:tc>
          <w:tcPr>
            <w:tcW w:w="1890" w:type="dxa"/>
            <w:gridSpan w:val="5"/>
            <w:tcBorders>
              <w:bottom w:val="dotted" w:sz="2" w:space="0" w:color="auto"/>
            </w:tcBorders>
            <w:shd w:val="clear" w:color="auto" w:fill="auto"/>
          </w:tcPr>
          <w:p w:rsidR="003B05E5" w:rsidRDefault="003B05E5">
            <w:pPr>
              <w:jc w:val="center"/>
              <w:rPr>
                <w:rFonts w:ascii="Arial" w:hAnsi="Arial" w:cs="Arial"/>
                <w:color w:val="000000"/>
                <w:sz w:val="15"/>
              </w:rPr>
            </w:pPr>
          </w:p>
        </w:tc>
      </w:tr>
      <w:tr w:rsidR="003B05E5" w:rsidTr="00033F01">
        <w:trPr>
          <w:gridBefore w:val="1"/>
          <w:gridAfter w:val="4"/>
          <w:wBefore w:w="553" w:type="dxa"/>
          <w:wAfter w:w="2127" w:type="dxa"/>
          <w:cantSplit/>
          <w:trHeight w:val="432"/>
          <w:jc w:val="center"/>
        </w:trPr>
        <w:tc>
          <w:tcPr>
            <w:tcW w:w="2184" w:type="dxa"/>
            <w:gridSpan w:val="5"/>
            <w:tcBorders>
              <w:top w:val="single" w:sz="2" w:space="0" w:color="000000"/>
              <w:bottom w:val="nil"/>
              <w:right w:val="single" w:sz="2" w:space="0" w:color="000000"/>
            </w:tcBorders>
          </w:tcPr>
          <w:p w:rsidR="003B05E5" w:rsidRDefault="003B05E5">
            <w:pPr>
              <w:rPr>
                <w:rFonts w:ascii="Arial" w:hAnsi="Arial" w:cs="Arial"/>
                <w:color w:val="000000"/>
                <w:sz w:val="15"/>
              </w:rPr>
            </w:pPr>
            <w:r>
              <w:rPr>
                <w:rFonts w:ascii="Arial" w:hAnsi="Arial" w:cs="Arial"/>
                <w:b/>
                <w:bCs/>
                <w:sz w:val="15"/>
              </w:rPr>
              <w:t>Consumer Savings</w:t>
            </w:r>
          </w:p>
        </w:tc>
        <w:tc>
          <w:tcPr>
            <w:tcW w:w="3510" w:type="dxa"/>
            <w:gridSpan w:val="4"/>
            <w:tcBorders>
              <w:top w:val="single" w:sz="6" w:space="0" w:color="000000"/>
              <w:left w:val="single" w:sz="2" w:space="0" w:color="000000"/>
              <w:bottom w:val="dotted" w:sz="2" w:space="0" w:color="auto"/>
            </w:tcBorders>
            <w:vAlign w:val="center"/>
          </w:tcPr>
          <w:p w:rsidR="003B05E5" w:rsidRDefault="00752DF5" w:rsidP="00634727">
            <w:pPr>
              <w:rPr>
                <w:rFonts w:ascii="Arial" w:hAnsi="Arial" w:cs="Arial"/>
                <w:b/>
                <w:bCs/>
                <w:color w:val="000000"/>
                <w:sz w:val="15"/>
              </w:rPr>
            </w:pPr>
            <w:r>
              <w:rPr>
                <w:rFonts w:ascii="Arial" w:hAnsi="Arial" w:cs="Arial"/>
                <w:color w:val="000000"/>
                <w:sz w:val="15"/>
              </w:rPr>
              <w:t xml:space="preserve">Criminal:  </w:t>
            </w:r>
            <w:r w:rsidR="003B05E5">
              <w:rPr>
                <w:rFonts w:ascii="Arial" w:hAnsi="Arial" w:cs="Arial"/>
                <w:color w:val="000000"/>
                <w:sz w:val="15"/>
              </w:rPr>
              <w:t xml:space="preserve">Total Dollar Value of Savings to   U.S. </w:t>
            </w:r>
            <w:r w:rsidR="00ED500B">
              <w:rPr>
                <w:rFonts w:ascii="Arial" w:hAnsi="Arial" w:cs="Arial"/>
                <w:color w:val="000000"/>
                <w:sz w:val="15"/>
              </w:rPr>
              <w:t xml:space="preserve">        </w:t>
            </w:r>
            <w:r w:rsidR="003B05E5">
              <w:rPr>
                <w:rFonts w:ascii="Arial" w:hAnsi="Arial" w:cs="Arial"/>
                <w:color w:val="000000"/>
                <w:sz w:val="15"/>
              </w:rPr>
              <w:t>Consumers ($ in millions)</w:t>
            </w:r>
          </w:p>
        </w:tc>
        <w:tc>
          <w:tcPr>
            <w:tcW w:w="1170" w:type="dxa"/>
            <w:gridSpan w:val="4"/>
            <w:tcBorders>
              <w:top w:val="single" w:sz="6" w:space="0" w:color="000000"/>
              <w:bottom w:val="dotted" w:sz="2" w:space="0" w:color="auto"/>
            </w:tcBorders>
            <w:shd w:val="clear" w:color="auto" w:fill="auto"/>
            <w:vAlign w:val="center"/>
          </w:tcPr>
          <w:p w:rsidR="003B05E5" w:rsidRPr="007357BD" w:rsidRDefault="003B05E5" w:rsidP="00ED500B">
            <w:pPr>
              <w:jc w:val="center"/>
              <w:rPr>
                <w:rFonts w:ascii="Arial" w:hAnsi="Arial" w:cs="Arial"/>
                <w:color w:val="000000"/>
                <w:sz w:val="15"/>
              </w:rPr>
            </w:pPr>
            <w:r w:rsidRPr="007357BD">
              <w:rPr>
                <w:rFonts w:ascii="Arial" w:hAnsi="Arial" w:cs="Arial"/>
                <w:color w:val="000000"/>
                <w:sz w:val="15"/>
              </w:rPr>
              <w:t>Not Projected</w:t>
            </w:r>
          </w:p>
        </w:tc>
        <w:tc>
          <w:tcPr>
            <w:tcW w:w="1260" w:type="dxa"/>
            <w:gridSpan w:val="5"/>
            <w:tcBorders>
              <w:top w:val="single" w:sz="6" w:space="0" w:color="000000"/>
              <w:bottom w:val="dotted" w:sz="2" w:space="0" w:color="auto"/>
            </w:tcBorders>
            <w:shd w:val="clear" w:color="auto" w:fill="auto"/>
            <w:vAlign w:val="center"/>
          </w:tcPr>
          <w:p w:rsidR="003B05E5" w:rsidRPr="007357BD" w:rsidRDefault="00F54FD2" w:rsidP="00ED500B">
            <w:pPr>
              <w:jc w:val="center"/>
              <w:rPr>
                <w:rFonts w:ascii="Arial" w:hAnsi="Arial" w:cs="Arial"/>
                <w:color w:val="000000"/>
                <w:sz w:val="15"/>
              </w:rPr>
            </w:pPr>
            <w:r>
              <w:rPr>
                <w:rFonts w:ascii="Arial" w:hAnsi="Arial" w:cs="Arial"/>
                <w:color w:val="000000"/>
                <w:sz w:val="15"/>
              </w:rPr>
              <w:t>$447</w:t>
            </w:r>
          </w:p>
        </w:tc>
        <w:tc>
          <w:tcPr>
            <w:tcW w:w="1434" w:type="dxa"/>
            <w:gridSpan w:val="5"/>
            <w:tcBorders>
              <w:top w:val="single" w:sz="6" w:space="0" w:color="000000"/>
              <w:bottom w:val="dotted" w:sz="2" w:space="0" w:color="auto"/>
            </w:tcBorders>
            <w:shd w:val="clear" w:color="auto" w:fill="auto"/>
            <w:vAlign w:val="center"/>
          </w:tcPr>
          <w:p w:rsidR="003B05E5" w:rsidRPr="007357BD" w:rsidRDefault="003B05E5" w:rsidP="00ED500B">
            <w:pPr>
              <w:jc w:val="center"/>
              <w:rPr>
                <w:rFonts w:ascii="Arial" w:hAnsi="Arial" w:cs="Arial"/>
                <w:color w:val="000000"/>
                <w:sz w:val="15"/>
              </w:rPr>
            </w:pPr>
            <w:r w:rsidRPr="007357BD">
              <w:rPr>
                <w:rFonts w:ascii="Arial" w:hAnsi="Arial" w:cs="Arial"/>
                <w:color w:val="000000"/>
                <w:sz w:val="15"/>
              </w:rPr>
              <w:t>Not Projected</w:t>
            </w:r>
          </w:p>
        </w:tc>
        <w:tc>
          <w:tcPr>
            <w:tcW w:w="1446" w:type="dxa"/>
            <w:gridSpan w:val="4"/>
            <w:tcBorders>
              <w:top w:val="single" w:sz="6" w:space="0" w:color="000000"/>
              <w:bottom w:val="dotted" w:sz="2" w:space="0" w:color="auto"/>
            </w:tcBorders>
            <w:shd w:val="clear" w:color="auto" w:fill="auto"/>
            <w:vAlign w:val="center"/>
          </w:tcPr>
          <w:p w:rsidR="003B05E5" w:rsidRDefault="003B05E5" w:rsidP="00ED500B">
            <w:pPr>
              <w:jc w:val="center"/>
              <w:rPr>
                <w:rFonts w:ascii="Arial" w:hAnsi="Arial" w:cs="Arial"/>
                <w:color w:val="000000"/>
                <w:sz w:val="15"/>
              </w:rPr>
            </w:pPr>
            <w:r>
              <w:rPr>
                <w:rFonts w:ascii="Arial" w:hAnsi="Arial" w:cs="Arial"/>
                <w:color w:val="000000"/>
                <w:sz w:val="15"/>
              </w:rPr>
              <w:t>Not Projected</w:t>
            </w:r>
          </w:p>
        </w:tc>
        <w:tc>
          <w:tcPr>
            <w:tcW w:w="1890" w:type="dxa"/>
            <w:gridSpan w:val="5"/>
            <w:tcBorders>
              <w:top w:val="single" w:sz="6" w:space="0" w:color="000000"/>
              <w:bottom w:val="dotted" w:sz="2" w:space="0" w:color="auto"/>
            </w:tcBorders>
            <w:shd w:val="clear" w:color="auto" w:fill="auto"/>
            <w:vAlign w:val="center"/>
          </w:tcPr>
          <w:p w:rsidR="003B05E5" w:rsidRDefault="003B05E5" w:rsidP="00ED500B">
            <w:pPr>
              <w:jc w:val="center"/>
              <w:rPr>
                <w:rFonts w:ascii="Arial" w:hAnsi="Arial" w:cs="Arial"/>
                <w:color w:val="000000"/>
                <w:sz w:val="15"/>
              </w:rPr>
            </w:pPr>
            <w:r>
              <w:rPr>
                <w:rFonts w:ascii="Arial" w:hAnsi="Arial" w:cs="Arial"/>
                <w:color w:val="000000"/>
                <w:sz w:val="15"/>
              </w:rPr>
              <w:t>Not Projected</w:t>
            </w:r>
          </w:p>
        </w:tc>
      </w:tr>
      <w:tr w:rsidR="003B05E5" w:rsidTr="00033F01">
        <w:trPr>
          <w:gridBefore w:val="1"/>
          <w:gridAfter w:val="4"/>
          <w:wBefore w:w="553" w:type="dxa"/>
          <w:wAfter w:w="2127" w:type="dxa"/>
          <w:cantSplit/>
          <w:trHeight w:val="436"/>
          <w:jc w:val="center"/>
        </w:trPr>
        <w:tc>
          <w:tcPr>
            <w:tcW w:w="2184" w:type="dxa"/>
            <w:gridSpan w:val="5"/>
            <w:tcBorders>
              <w:top w:val="nil"/>
              <w:bottom w:val="single" w:sz="6" w:space="0" w:color="000000"/>
            </w:tcBorders>
          </w:tcPr>
          <w:p w:rsidR="003B05E5" w:rsidRDefault="003B05E5">
            <w:pPr>
              <w:rPr>
                <w:rFonts w:ascii="Arial" w:hAnsi="Arial" w:cs="Arial"/>
                <w:color w:val="000000"/>
                <w:sz w:val="15"/>
              </w:rPr>
            </w:pPr>
          </w:p>
        </w:tc>
        <w:tc>
          <w:tcPr>
            <w:tcW w:w="3510" w:type="dxa"/>
            <w:gridSpan w:val="4"/>
            <w:tcBorders>
              <w:top w:val="dotted" w:sz="2" w:space="0" w:color="auto"/>
              <w:bottom w:val="single" w:sz="8" w:space="0" w:color="000000"/>
            </w:tcBorders>
            <w:vAlign w:val="center"/>
          </w:tcPr>
          <w:p w:rsidR="003B05E5" w:rsidRDefault="00752DF5" w:rsidP="00634727">
            <w:pPr>
              <w:rPr>
                <w:rFonts w:ascii="Arial" w:hAnsi="Arial" w:cs="Arial"/>
                <w:color w:val="000000"/>
                <w:sz w:val="15"/>
              </w:rPr>
            </w:pPr>
            <w:r>
              <w:rPr>
                <w:rFonts w:ascii="Arial" w:hAnsi="Arial" w:cs="Arial"/>
                <w:color w:val="000000"/>
                <w:sz w:val="15"/>
              </w:rPr>
              <w:t xml:space="preserve">Civil:  </w:t>
            </w:r>
            <w:r w:rsidR="003B05E5">
              <w:rPr>
                <w:rFonts w:ascii="Arial" w:hAnsi="Arial" w:cs="Arial"/>
                <w:color w:val="000000"/>
                <w:sz w:val="15"/>
              </w:rPr>
              <w:t xml:space="preserve">Total </w:t>
            </w:r>
            <w:r>
              <w:rPr>
                <w:rFonts w:ascii="Arial" w:hAnsi="Arial" w:cs="Arial"/>
                <w:color w:val="000000"/>
                <w:sz w:val="15"/>
              </w:rPr>
              <w:t>Civil (</w:t>
            </w:r>
            <w:r w:rsidR="00BA3B19">
              <w:rPr>
                <w:rFonts w:ascii="Arial" w:hAnsi="Arial" w:cs="Arial"/>
                <w:color w:val="000000"/>
                <w:sz w:val="15"/>
              </w:rPr>
              <w:t xml:space="preserve">Merger and </w:t>
            </w:r>
            <w:r w:rsidR="003B05E5">
              <w:rPr>
                <w:rFonts w:ascii="Arial" w:hAnsi="Arial" w:cs="Arial"/>
                <w:color w:val="000000"/>
                <w:sz w:val="15"/>
              </w:rPr>
              <w:t>Non-Merger</w:t>
            </w:r>
            <w:r w:rsidR="00BA3B19">
              <w:rPr>
                <w:rFonts w:ascii="Arial" w:hAnsi="Arial" w:cs="Arial"/>
                <w:color w:val="000000"/>
                <w:sz w:val="15"/>
              </w:rPr>
              <w:t>)</w:t>
            </w:r>
            <w:r w:rsidR="003B05E5">
              <w:rPr>
                <w:rFonts w:ascii="Arial" w:hAnsi="Arial" w:cs="Arial"/>
                <w:color w:val="000000"/>
                <w:sz w:val="15"/>
              </w:rPr>
              <w:t xml:space="preserve"> Dollar</w:t>
            </w:r>
            <w:r w:rsidR="00BA3B19">
              <w:rPr>
                <w:rFonts w:ascii="Arial" w:hAnsi="Arial" w:cs="Arial"/>
                <w:color w:val="000000"/>
                <w:sz w:val="15"/>
              </w:rPr>
              <w:t xml:space="preserve"> </w:t>
            </w:r>
            <w:r w:rsidR="003B05E5">
              <w:rPr>
                <w:rFonts w:ascii="Arial" w:hAnsi="Arial" w:cs="Arial"/>
                <w:color w:val="000000"/>
                <w:sz w:val="15"/>
              </w:rPr>
              <w:t>Value</w:t>
            </w:r>
            <w:r w:rsidR="00ED500B">
              <w:rPr>
                <w:rFonts w:ascii="Arial" w:hAnsi="Arial" w:cs="Arial"/>
                <w:color w:val="000000"/>
                <w:sz w:val="15"/>
              </w:rPr>
              <w:t xml:space="preserve"> </w:t>
            </w:r>
            <w:r w:rsidR="003B05E5">
              <w:rPr>
                <w:rFonts w:ascii="Arial" w:hAnsi="Arial" w:cs="Arial"/>
                <w:color w:val="000000"/>
                <w:sz w:val="15"/>
              </w:rPr>
              <w:t>of  Savings to U.S. Consumers ($ in millions)</w:t>
            </w:r>
          </w:p>
        </w:tc>
        <w:tc>
          <w:tcPr>
            <w:tcW w:w="1170" w:type="dxa"/>
            <w:gridSpan w:val="4"/>
            <w:tcBorders>
              <w:top w:val="dotted" w:sz="2" w:space="0" w:color="auto"/>
              <w:bottom w:val="single" w:sz="8" w:space="0" w:color="000000"/>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sz w:val="15"/>
              </w:rPr>
            </w:pPr>
            <w:r w:rsidRPr="007357BD">
              <w:rPr>
                <w:rFonts w:ascii="Arial" w:hAnsi="Arial" w:cs="Arial"/>
                <w:color w:val="000000"/>
                <w:sz w:val="15"/>
              </w:rPr>
              <w:t>Not Projected</w:t>
            </w:r>
          </w:p>
        </w:tc>
        <w:tc>
          <w:tcPr>
            <w:tcW w:w="1260" w:type="dxa"/>
            <w:gridSpan w:val="5"/>
            <w:tcBorders>
              <w:top w:val="dotted" w:sz="2" w:space="0" w:color="auto"/>
              <w:bottom w:val="single" w:sz="8" w:space="0" w:color="000000"/>
            </w:tcBorders>
            <w:shd w:val="clear" w:color="auto" w:fill="auto"/>
            <w:vAlign w:val="center"/>
          </w:tcPr>
          <w:p w:rsidR="003B05E5" w:rsidRPr="007357BD" w:rsidRDefault="00F54FD2" w:rsidP="00F54FD2">
            <w:pPr>
              <w:jc w:val="center"/>
              <w:rPr>
                <w:rFonts w:ascii="Arial" w:hAnsi="Arial" w:cs="Arial"/>
                <w:sz w:val="15"/>
              </w:rPr>
            </w:pPr>
            <w:r>
              <w:rPr>
                <w:rFonts w:ascii="Arial" w:hAnsi="Arial" w:cs="Arial"/>
                <w:sz w:val="15"/>
              </w:rPr>
              <w:t>$8,965.6</w:t>
            </w:r>
          </w:p>
        </w:tc>
        <w:tc>
          <w:tcPr>
            <w:tcW w:w="1434" w:type="dxa"/>
            <w:gridSpan w:val="5"/>
            <w:tcBorders>
              <w:top w:val="dotted" w:sz="2" w:space="0" w:color="auto"/>
              <w:bottom w:val="single" w:sz="8" w:space="0" w:color="000000"/>
            </w:tcBorders>
            <w:shd w:val="clear" w:color="auto" w:fill="auto"/>
          </w:tcPr>
          <w:p w:rsidR="003B05E5" w:rsidRPr="007357BD" w:rsidRDefault="003B05E5">
            <w:pPr>
              <w:jc w:val="center"/>
              <w:rPr>
                <w:rFonts w:ascii="Arial" w:hAnsi="Arial" w:cs="Arial"/>
                <w:color w:val="000000"/>
                <w:sz w:val="15"/>
              </w:rPr>
            </w:pPr>
          </w:p>
          <w:p w:rsidR="003B05E5" w:rsidRPr="007357BD" w:rsidRDefault="003B05E5">
            <w:pPr>
              <w:jc w:val="center"/>
              <w:rPr>
                <w:rFonts w:ascii="Arial" w:hAnsi="Arial" w:cs="Arial"/>
                <w:color w:val="000000"/>
                <w:sz w:val="15"/>
              </w:rPr>
            </w:pPr>
            <w:r w:rsidRPr="007357BD">
              <w:rPr>
                <w:rFonts w:ascii="Arial" w:hAnsi="Arial" w:cs="Arial"/>
                <w:color w:val="000000"/>
                <w:sz w:val="15"/>
              </w:rPr>
              <w:t>Not Projected</w:t>
            </w:r>
          </w:p>
        </w:tc>
        <w:tc>
          <w:tcPr>
            <w:tcW w:w="1446" w:type="dxa"/>
            <w:gridSpan w:val="4"/>
            <w:tcBorders>
              <w:top w:val="dotted" w:sz="2" w:space="0" w:color="auto"/>
              <w:bottom w:val="single" w:sz="8" w:space="0" w:color="000000"/>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Not Projected</w:t>
            </w:r>
          </w:p>
        </w:tc>
        <w:tc>
          <w:tcPr>
            <w:tcW w:w="1890" w:type="dxa"/>
            <w:gridSpan w:val="5"/>
            <w:tcBorders>
              <w:top w:val="dotted" w:sz="2" w:space="0" w:color="auto"/>
              <w:bottom w:val="single" w:sz="8" w:space="0" w:color="000000"/>
            </w:tcBorders>
            <w:shd w:val="clear" w:color="auto" w:fill="auto"/>
          </w:tcPr>
          <w:p w:rsidR="003B05E5" w:rsidRDefault="003B05E5">
            <w:pPr>
              <w:jc w:val="center"/>
              <w:rPr>
                <w:rFonts w:ascii="Arial" w:hAnsi="Arial" w:cs="Arial"/>
                <w:color w:val="000000"/>
                <w:sz w:val="15"/>
              </w:rPr>
            </w:pPr>
          </w:p>
          <w:p w:rsidR="003B05E5" w:rsidRDefault="003B05E5">
            <w:pPr>
              <w:jc w:val="center"/>
              <w:rPr>
                <w:rFonts w:ascii="Arial" w:hAnsi="Arial" w:cs="Arial"/>
                <w:color w:val="000000"/>
                <w:sz w:val="15"/>
              </w:rPr>
            </w:pPr>
            <w:r>
              <w:rPr>
                <w:rFonts w:ascii="Arial" w:hAnsi="Arial" w:cs="Arial"/>
                <w:color w:val="000000"/>
                <w:sz w:val="15"/>
              </w:rPr>
              <w:t>Not Projected</w:t>
            </w:r>
          </w:p>
        </w:tc>
      </w:tr>
      <w:tr w:rsidR="003B05E5" w:rsidTr="00033F01">
        <w:trPr>
          <w:gridBefore w:val="1"/>
          <w:gridAfter w:val="4"/>
          <w:wBefore w:w="553" w:type="dxa"/>
          <w:wAfter w:w="2127" w:type="dxa"/>
          <w:cantSplit/>
          <w:trHeight w:val="180"/>
          <w:jc w:val="center"/>
        </w:trPr>
        <w:tc>
          <w:tcPr>
            <w:tcW w:w="2184" w:type="dxa"/>
            <w:gridSpan w:val="5"/>
            <w:tcBorders>
              <w:top w:val="single" w:sz="6" w:space="0" w:color="000000"/>
              <w:bottom w:val="nil"/>
            </w:tcBorders>
          </w:tcPr>
          <w:p w:rsidR="003B05E5" w:rsidRDefault="003B05E5">
            <w:pPr>
              <w:rPr>
                <w:rFonts w:ascii="Arial" w:hAnsi="Arial" w:cs="Arial"/>
                <w:color w:val="000000"/>
                <w:sz w:val="15"/>
              </w:rPr>
            </w:pPr>
            <w:r>
              <w:rPr>
                <w:rFonts w:ascii="Arial" w:hAnsi="Arial" w:cs="Arial"/>
                <w:b/>
                <w:bCs/>
                <w:color w:val="000000"/>
                <w:sz w:val="15"/>
              </w:rPr>
              <w:t xml:space="preserve">Success Rates </w:t>
            </w:r>
          </w:p>
        </w:tc>
        <w:tc>
          <w:tcPr>
            <w:tcW w:w="3510" w:type="dxa"/>
            <w:gridSpan w:val="4"/>
            <w:tcBorders>
              <w:top w:val="single" w:sz="8" w:space="0" w:color="000000"/>
              <w:bottom w:val="dotted" w:sz="2" w:space="0" w:color="auto"/>
            </w:tcBorders>
            <w:vAlign w:val="center"/>
          </w:tcPr>
          <w:p w:rsidR="003B05E5" w:rsidRDefault="00A17367" w:rsidP="00634727">
            <w:pPr>
              <w:rPr>
                <w:rFonts w:ascii="Arial" w:hAnsi="Arial" w:cs="Arial"/>
                <w:color w:val="000000"/>
                <w:sz w:val="15"/>
              </w:rPr>
            </w:pPr>
            <w:r>
              <w:rPr>
                <w:rFonts w:ascii="Arial" w:hAnsi="Arial" w:cs="Arial"/>
                <w:color w:val="000000"/>
                <w:sz w:val="15"/>
              </w:rPr>
              <w:t>Criminal</w:t>
            </w:r>
            <w:r w:rsidR="00ED500B">
              <w:rPr>
                <w:rFonts w:ascii="Arial" w:hAnsi="Arial" w:cs="Arial"/>
                <w:color w:val="000000"/>
                <w:sz w:val="15"/>
              </w:rPr>
              <w:t xml:space="preserve"> </w:t>
            </w:r>
            <w:r>
              <w:rPr>
                <w:rFonts w:ascii="Arial" w:hAnsi="Arial" w:cs="Arial"/>
                <w:color w:val="000000"/>
                <w:sz w:val="15"/>
              </w:rPr>
              <w:t xml:space="preserve">- Percentage of Cases Favorably </w:t>
            </w:r>
            <w:r w:rsidR="00ED500B">
              <w:rPr>
                <w:rFonts w:ascii="Arial" w:hAnsi="Arial" w:cs="Arial"/>
                <w:color w:val="000000"/>
                <w:sz w:val="15"/>
              </w:rPr>
              <w:t xml:space="preserve">             R</w:t>
            </w:r>
            <w:r>
              <w:rPr>
                <w:rFonts w:ascii="Arial" w:hAnsi="Arial" w:cs="Arial"/>
                <w:color w:val="000000"/>
                <w:sz w:val="15"/>
              </w:rPr>
              <w:t>esolved</w:t>
            </w:r>
          </w:p>
        </w:tc>
        <w:tc>
          <w:tcPr>
            <w:tcW w:w="1170" w:type="dxa"/>
            <w:gridSpan w:val="4"/>
            <w:tcBorders>
              <w:top w:val="single" w:sz="8" w:space="0" w:color="000000"/>
              <w:bottom w:val="dotted" w:sz="2" w:space="0" w:color="auto"/>
            </w:tcBorders>
            <w:shd w:val="clear" w:color="auto" w:fill="auto"/>
            <w:vAlign w:val="center"/>
          </w:tcPr>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90%</w:t>
            </w:r>
          </w:p>
        </w:tc>
        <w:tc>
          <w:tcPr>
            <w:tcW w:w="1260" w:type="dxa"/>
            <w:gridSpan w:val="5"/>
            <w:tcBorders>
              <w:top w:val="single" w:sz="8" w:space="0" w:color="000000"/>
              <w:bottom w:val="dotted" w:sz="2" w:space="0" w:color="auto"/>
            </w:tcBorders>
            <w:shd w:val="clear" w:color="auto" w:fill="auto"/>
            <w:vAlign w:val="center"/>
          </w:tcPr>
          <w:p w:rsidR="003B05E5" w:rsidRPr="007357BD" w:rsidRDefault="00F54FD2" w:rsidP="00A17367">
            <w:pPr>
              <w:jc w:val="center"/>
              <w:rPr>
                <w:rFonts w:ascii="Arial" w:hAnsi="Arial" w:cs="Arial"/>
                <w:color w:val="000000"/>
                <w:sz w:val="15"/>
              </w:rPr>
            </w:pPr>
            <w:r>
              <w:rPr>
                <w:rFonts w:ascii="Arial" w:hAnsi="Arial" w:cs="Arial"/>
                <w:color w:val="000000"/>
                <w:sz w:val="15"/>
              </w:rPr>
              <w:t>93%</w:t>
            </w:r>
          </w:p>
        </w:tc>
        <w:tc>
          <w:tcPr>
            <w:tcW w:w="1434" w:type="dxa"/>
            <w:gridSpan w:val="5"/>
            <w:tcBorders>
              <w:top w:val="single" w:sz="8" w:space="0" w:color="000000"/>
              <w:bottom w:val="dotted" w:sz="2" w:space="0" w:color="auto"/>
            </w:tcBorders>
            <w:shd w:val="clear" w:color="auto" w:fill="auto"/>
            <w:vAlign w:val="center"/>
          </w:tcPr>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90%</w:t>
            </w:r>
          </w:p>
        </w:tc>
        <w:tc>
          <w:tcPr>
            <w:tcW w:w="1446" w:type="dxa"/>
            <w:gridSpan w:val="4"/>
            <w:tcBorders>
              <w:top w:val="single" w:sz="8" w:space="0" w:color="000000"/>
              <w:bottom w:val="dotted" w:sz="2" w:space="0" w:color="auto"/>
            </w:tcBorders>
            <w:shd w:val="clear" w:color="auto" w:fill="auto"/>
            <w:vAlign w:val="center"/>
          </w:tcPr>
          <w:p w:rsidR="003B05E5" w:rsidRDefault="003B05E5" w:rsidP="00A17367">
            <w:pPr>
              <w:jc w:val="center"/>
              <w:rPr>
                <w:rFonts w:ascii="Arial" w:hAnsi="Arial" w:cs="Arial"/>
                <w:color w:val="000000"/>
                <w:sz w:val="15"/>
              </w:rPr>
            </w:pPr>
            <w:r>
              <w:rPr>
                <w:rFonts w:ascii="Arial" w:hAnsi="Arial" w:cs="Arial"/>
                <w:color w:val="000000"/>
                <w:sz w:val="15"/>
              </w:rPr>
              <w:t>0</w:t>
            </w:r>
          </w:p>
        </w:tc>
        <w:tc>
          <w:tcPr>
            <w:tcW w:w="1890" w:type="dxa"/>
            <w:gridSpan w:val="5"/>
            <w:tcBorders>
              <w:top w:val="single" w:sz="8" w:space="0" w:color="000000"/>
              <w:bottom w:val="dotted" w:sz="2" w:space="0" w:color="auto"/>
            </w:tcBorders>
            <w:shd w:val="clear" w:color="auto" w:fill="auto"/>
            <w:vAlign w:val="center"/>
          </w:tcPr>
          <w:p w:rsidR="003B05E5" w:rsidRDefault="003B05E5" w:rsidP="00A17367">
            <w:pPr>
              <w:jc w:val="center"/>
              <w:rPr>
                <w:rFonts w:ascii="Arial" w:hAnsi="Arial" w:cs="Arial"/>
                <w:color w:val="000000"/>
                <w:sz w:val="15"/>
              </w:rPr>
            </w:pPr>
            <w:r>
              <w:rPr>
                <w:rFonts w:ascii="Arial" w:hAnsi="Arial" w:cs="Arial"/>
                <w:color w:val="000000"/>
                <w:sz w:val="15"/>
              </w:rPr>
              <w:t>90%</w:t>
            </w:r>
          </w:p>
        </w:tc>
      </w:tr>
      <w:tr w:rsidR="003B05E5" w:rsidTr="00033F01">
        <w:trPr>
          <w:gridAfter w:val="5"/>
          <w:wAfter w:w="2674" w:type="dxa"/>
          <w:cantSplit/>
          <w:trHeight w:val="622"/>
          <w:jc w:val="center"/>
        </w:trPr>
        <w:tc>
          <w:tcPr>
            <w:tcW w:w="2189" w:type="dxa"/>
            <w:gridSpan w:val="4"/>
            <w:tcBorders>
              <w:top w:val="dotted" w:sz="2" w:space="0" w:color="auto"/>
              <w:bottom w:val="single" w:sz="6" w:space="0" w:color="000000"/>
            </w:tcBorders>
          </w:tcPr>
          <w:p w:rsidR="003B05E5" w:rsidRDefault="003B05E5" w:rsidP="00A17367">
            <w:pPr>
              <w:jc w:val="center"/>
              <w:rPr>
                <w:rFonts w:ascii="Arial" w:hAnsi="Arial" w:cs="Arial"/>
                <w:color w:val="000000"/>
                <w:sz w:val="15"/>
              </w:rPr>
            </w:pPr>
          </w:p>
        </w:tc>
        <w:tc>
          <w:tcPr>
            <w:tcW w:w="3510" w:type="dxa"/>
            <w:gridSpan w:val="5"/>
            <w:tcBorders>
              <w:top w:val="dotted" w:sz="2" w:space="0" w:color="auto"/>
              <w:bottom w:val="single" w:sz="6" w:space="0" w:color="000000"/>
            </w:tcBorders>
            <w:vAlign w:val="center"/>
          </w:tcPr>
          <w:p w:rsidR="003B05E5" w:rsidRDefault="00A17367" w:rsidP="00634727">
            <w:pPr>
              <w:rPr>
                <w:rFonts w:ascii="Arial" w:hAnsi="Arial" w:cs="Arial"/>
                <w:color w:val="000000"/>
                <w:sz w:val="15"/>
              </w:rPr>
            </w:pPr>
            <w:r>
              <w:rPr>
                <w:rFonts w:ascii="Arial" w:hAnsi="Arial" w:cs="Arial"/>
                <w:color w:val="000000"/>
                <w:sz w:val="15"/>
              </w:rPr>
              <w:t>Civil - Percentage of Cases Favorably Resolved</w:t>
            </w:r>
          </w:p>
        </w:tc>
        <w:tc>
          <w:tcPr>
            <w:tcW w:w="1170" w:type="dxa"/>
            <w:gridSpan w:val="2"/>
            <w:tcBorders>
              <w:top w:val="dotted" w:sz="2" w:space="0" w:color="auto"/>
              <w:bottom w:val="single" w:sz="6" w:space="0" w:color="000000"/>
            </w:tcBorders>
            <w:vAlign w:val="center"/>
          </w:tcPr>
          <w:p w:rsidR="003B05E5" w:rsidRDefault="003B05E5" w:rsidP="00A17367">
            <w:pPr>
              <w:jc w:val="center"/>
              <w:rPr>
                <w:rFonts w:ascii="Arial" w:hAnsi="Arial" w:cs="Arial"/>
                <w:color w:val="000000"/>
                <w:sz w:val="15"/>
              </w:rPr>
            </w:pPr>
          </w:p>
          <w:p w:rsidR="003B05E5" w:rsidRDefault="003B05E5" w:rsidP="00A17367">
            <w:pPr>
              <w:jc w:val="center"/>
              <w:rPr>
                <w:rFonts w:ascii="Arial" w:hAnsi="Arial" w:cs="Arial"/>
                <w:color w:val="000000"/>
                <w:sz w:val="15"/>
              </w:rPr>
            </w:pPr>
            <w:r>
              <w:rPr>
                <w:rFonts w:ascii="Arial" w:hAnsi="Arial" w:cs="Arial"/>
                <w:color w:val="000000"/>
                <w:sz w:val="15"/>
              </w:rPr>
              <w:t>80%</w:t>
            </w:r>
          </w:p>
          <w:p w:rsidR="003B05E5" w:rsidRDefault="003B05E5" w:rsidP="00A17367">
            <w:pPr>
              <w:jc w:val="center"/>
              <w:rPr>
                <w:rFonts w:ascii="Arial" w:hAnsi="Arial" w:cs="Arial"/>
                <w:color w:val="000000"/>
                <w:sz w:val="15"/>
              </w:rPr>
            </w:pPr>
          </w:p>
        </w:tc>
        <w:tc>
          <w:tcPr>
            <w:tcW w:w="1260" w:type="dxa"/>
            <w:gridSpan w:val="4"/>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b/>
                <w:color w:val="000000"/>
                <w:sz w:val="15"/>
              </w:rPr>
            </w:pPr>
          </w:p>
          <w:p w:rsidR="003B05E5" w:rsidRPr="007357BD" w:rsidRDefault="00F54FD2" w:rsidP="00F54FD2">
            <w:pPr>
              <w:jc w:val="center"/>
              <w:rPr>
                <w:rFonts w:ascii="Arial" w:hAnsi="Arial" w:cs="Arial"/>
                <w:color w:val="000000"/>
                <w:sz w:val="15"/>
              </w:rPr>
            </w:pPr>
            <w:r>
              <w:rPr>
                <w:rFonts w:ascii="Arial" w:hAnsi="Arial" w:cs="Arial"/>
                <w:color w:val="000000"/>
                <w:sz w:val="15"/>
              </w:rPr>
              <w:t>100%</w:t>
            </w:r>
          </w:p>
        </w:tc>
        <w:tc>
          <w:tcPr>
            <w:tcW w:w="1434" w:type="dxa"/>
            <w:gridSpan w:val="6"/>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b/>
                <w:color w:val="000000"/>
                <w:sz w:val="15"/>
              </w:rPr>
            </w:pPr>
          </w:p>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80%</w:t>
            </w:r>
          </w:p>
        </w:tc>
        <w:tc>
          <w:tcPr>
            <w:tcW w:w="1446" w:type="dxa"/>
            <w:gridSpan w:val="5"/>
            <w:tcBorders>
              <w:top w:val="dotted" w:sz="2" w:space="0" w:color="auto"/>
              <w:bottom w:val="single" w:sz="6" w:space="0" w:color="000000"/>
            </w:tcBorders>
            <w:shd w:val="clear" w:color="auto" w:fill="auto"/>
            <w:vAlign w:val="center"/>
          </w:tcPr>
          <w:p w:rsidR="003B05E5" w:rsidRPr="007357BD" w:rsidRDefault="003B05E5" w:rsidP="00A17367">
            <w:pPr>
              <w:jc w:val="center"/>
              <w:rPr>
                <w:rFonts w:ascii="Arial" w:hAnsi="Arial" w:cs="Arial"/>
                <w:color w:val="000000"/>
                <w:sz w:val="15"/>
              </w:rPr>
            </w:pPr>
          </w:p>
          <w:p w:rsidR="003B05E5" w:rsidRPr="007357BD" w:rsidRDefault="003B05E5" w:rsidP="00A17367">
            <w:pPr>
              <w:jc w:val="center"/>
              <w:rPr>
                <w:rFonts w:ascii="Arial" w:hAnsi="Arial" w:cs="Arial"/>
                <w:color w:val="000000"/>
                <w:sz w:val="15"/>
              </w:rPr>
            </w:pPr>
            <w:r w:rsidRPr="007357BD">
              <w:rPr>
                <w:rFonts w:ascii="Arial" w:hAnsi="Arial" w:cs="Arial"/>
                <w:color w:val="000000"/>
                <w:sz w:val="15"/>
              </w:rPr>
              <w:t>0</w:t>
            </w:r>
          </w:p>
        </w:tc>
        <w:tc>
          <w:tcPr>
            <w:tcW w:w="1891" w:type="dxa"/>
            <w:gridSpan w:val="6"/>
            <w:tcBorders>
              <w:top w:val="dotted" w:sz="2" w:space="0" w:color="auto"/>
              <w:bottom w:val="single" w:sz="6" w:space="0" w:color="000000"/>
            </w:tcBorders>
            <w:shd w:val="clear" w:color="auto" w:fill="auto"/>
            <w:vAlign w:val="center"/>
          </w:tcPr>
          <w:p w:rsidR="003B05E5" w:rsidRDefault="003B05E5" w:rsidP="00A17367">
            <w:pPr>
              <w:jc w:val="center"/>
              <w:rPr>
                <w:rFonts w:ascii="Arial" w:hAnsi="Arial" w:cs="Arial"/>
                <w:color w:val="000000"/>
                <w:sz w:val="15"/>
              </w:rPr>
            </w:pPr>
          </w:p>
          <w:p w:rsidR="003B05E5" w:rsidRDefault="003B05E5" w:rsidP="00A17367">
            <w:pPr>
              <w:jc w:val="center"/>
              <w:rPr>
                <w:rFonts w:ascii="Arial" w:hAnsi="Arial" w:cs="Arial"/>
                <w:color w:val="000000"/>
                <w:sz w:val="15"/>
              </w:rPr>
            </w:pPr>
            <w:r>
              <w:rPr>
                <w:rFonts w:ascii="Arial" w:hAnsi="Arial" w:cs="Arial"/>
                <w:color w:val="000000"/>
                <w:sz w:val="15"/>
              </w:rPr>
              <w:t>80%</w:t>
            </w:r>
          </w:p>
        </w:tc>
      </w:tr>
    </w:tbl>
    <w:p w:rsidR="003B05E5" w:rsidRDefault="003B05E5" w:rsidP="007F41E7">
      <w:pPr>
        <w:widowControl/>
        <w:pBdr>
          <w:top w:val="single" w:sz="6" w:space="0" w:color="FFFFFF"/>
          <w:left w:val="single" w:sz="6" w:space="0" w:color="FFFFFF"/>
          <w:bottom w:val="single" w:sz="6" w:space="0" w:color="FFFFFF"/>
          <w:right w:val="single" w:sz="6" w:space="0" w:color="FFFFFF"/>
        </w:pBdr>
        <w:tabs>
          <w:tab w:val="left" w:pos="-1440"/>
          <w:tab w:val="left" w:pos="9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5A5BA7" w:rsidRDefault="005A5BA7"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5A5BA7" w:rsidRDefault="005A5BA7"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5A5BA7" w:rsidRDefault="005A5BA7"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584EA3" w:rsidRDefault="005B7F03"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b/>
          <w:bCs/>
          <w:color w:val="000000"/>
          <w:sz w:val="15"/>
          <w:szCs w:val="15"/>
        </w:rPr>
        <w:t>TABLE DATA DEFINITIONS</w:t>
      </w:r>
      <w:r w:rsidR="00584EA3">
        <w:rPr>
          <w:rFonts w:ascii="Arial" w:hAnsi="Arial" w:cs="Arial"/>
          <w:b/>
          <w:bCs/>
          <w:color w:val="000000"/>
          <w:sz w:val="15"/>
          <w:szCs w:val="15"/>
        </w:rPr>
        <w:t>:</w:t>
      </w:r>
    </w:p>
    <w:p w:rsidR="00584EA3" w:rsidRDefault="00584EA3"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E0648A" w:rsidRDefault="00E0648A"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rsidP="00E0648A">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sz w:val="15"/>
        </w:rPr>
      </w:pPr>
      <w:r>
        <w:rPr>
          <w:rFonts w:ascii="Arial" w:hAnsi="Arial" w:cs="Arial"/>
          <w:b/>
          <w:bCs/>
          <w:color w:val="000000"/>
          <w:sz w:val="15"/>
          <w:szCs w:val="15"/>
        </w:rPr>
        <w:t xml:space="preserve">Program Activity Data Definition, Validation, Verification, and Limitations: </w:t>
      </w:r>
    </w:p>
    <w:p w:rsidR="003B05E5" w:rsidRDefault="003B05E5">
      <w:pPr>
        <w:widowControl/>
        <w:pBdr>
          <w:top w:val="single" w:sz="6" w:space="0" w:color="FFFFFF"/>
          <w:left w:val="single" w:sz="6" w:space="0" w:color="FFFFFF"/>
          <w:bottom w:val="single" w:sz="6" w:space="0" w:color="FFFFFF"/>
          <w:right w:val="single" w:sz="6" w:space="0" w:color="FFFFFF"/>
        </w:pBdr>
        <w:tabs>
          <w:tab w:val="left" w:pos="-1440"/>
          <w:tab w:val="left" w:pos="0"/>
          <w:tab w:val="left" w:pos="18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t xml:space="preserve">    </w:t>
      </w:r>
    </w:p>
    <w:p w:rsidR="003B05E5" w:rsidRDefault="00495B03">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Pr>
          <w:rFonts w:ascii="Arial" w:hAnsi="Arial" w:cs="Arial"/>
          <w:color w:val="000000"/>
          <w:sz w:val="15"/>
          <w:szCs w:val="15"/>
        </w:rPr>
        <w:t>Criminal, Civil Merger and Civil Non-</w:t>
      </w:r>
      <w:r w:rsidR="00617A74">
        <w:rPr>
          <w:rFonts w:ascii="Arial" w:hAnsi="Arial" w:cs="Arial"/>
          <w:color w:val="000000"/>
          <w:sz w:val="15"/>
          <w:szCs w:val="15"/>
        </w:rPr>
        <w:t>Merger performance</w:t>
      </w:r>
      <w:r w:rsidR="003B05E5">
        <w:rPr>
          <w:rFonts w:ascii="Arial" w:hAnsi="Arial" w:cs="Arial"/>
          <w:color w:val="000000"/>
          <w:sz w:val="15"/>
          <w:szCs w:val="15"/>
        </w:rPr>
        <w:t xml:space="preserve"> measure</w:t>
      </w:r>
      <w:r>
        <w:rPr>
          <w:rFonts w:ascii="Arial" w:hAnsi="Arial" w:cs="Arial"/>
          <w:color w:val="000000"/>
          <w:sz w:val="15"/>
          <w:szCs w:val="15"/>
        </w:rPr>
        <w:t xml:space="preserve"> target </w:t>
      </w:r>
      <w:r w:rsidR="00617A74">
        <w:rPr>
          <w:rFonts w:ascii="Arial" w:hAnsi="Arial" w:cs="Arial"/>
          <w:color w:val="000000"/>
          <w:sz w:val="15"/>
          <w:szCs w:val="15"/>
        </w:rPr>
        <w:t>adjustments for</w:t>
      </w:r>
      <w:r w:rsidR="003B05E5">
        <w:rPr>
          <w:rFonts w:ascii="Arial" w:hAnsi="Arial" w:cs="Arial"/>
          <w:color w:val="000000"/>
          <w:sz w:val="15"/>
          <w:szCs w:val="15"/>
        </w:rPr>
        <w:t xml:space="preserve"> FY 201</w:t>
      </w:r>
      <w:r w:rsidR="00033F01">
        <w:rPr>
          <w:rFonts w:ascii="Arial" w:hAnsi="Arial" w:cs="Arial"/>
          <w:color w:val="000000"/>
          <w:sz w:val="15"/>
          <w:szCs w:val="15"/>
        </w:rPr>
        <w:t>3</w:t>
      </w:r>
      <w:r w:rsidR="003B05E5">
        <w:rPr>
          <w:rFonts w:ascii="Arial" w:hAnsi="Arial" w:cs="Arial"/>
          <w:color w:val="000000"/>
          <w:sz w:val="15"/>
          <w:szCs w:val="15"/>
        </w:rPr>
        <w:t xml:space="preserve"> through FY</w:t>
      </w:r>
      <w:r w:rsidR="000F0DC0">
        <w:rPr>
          <w:rFonts w:ascii="Arial" w:hAnsi="Arial" w:cs="Arial"/>
          <w:color w:val="000000"/>
          <w:sz w:val="15"/>
          <w:szCs w:val="15"/>
        </w:rPr>
        <w:t xml:space="preserve"> </w:t>
      </w:r>
      <w:r w:rsidR="003B05E5">
        <w:rPr>
          <w:rFonts w:ascii="Arial" w:hAnsi="Arial" w:cs="Arial"/>
          <w:color w:val="000000"/>
          <w:sz w:val="15"/>
          <w:szCs w:val="15"/>
        </w:rPr>
        <w:t>201</w:t>
      </w:r>
      <w:r w:rsidR="005A5BA7">
        <w:rPr>
          <w:rFonts w:ascii="Arial" w:hAnsi="Arial" w:cs="Arial"/>
          <w:color w:val="000000"/>
          <w:sz w:val="15"/>
          <w:szCs w:val="15"/>
        </w:rPr>
        <w:t>4</w:t>
      </w:r>
      <w:r w:rsidR="003B05E5">
        <w:rPr>
          <w:rFonts w:ascii="Arial" w:hAnsi="Arial" w:cs="Arial"/>
          <w:color w:val="000000"/>
          <w:sz w:val="15"/>
          <w:szCs w:val="15"/>
        </w:rPr>
        <w:t xml:space="preserve"> projections are based on an analysis of FY 200</w:t>
      </w:r>
      <w:r>
        <w:rPr>
          <w:rFonts w:ascii="Arial" w:hAnsi="Arial" w:cs="Arial"/>
          <w:color w:val="000000"/>
          <w:sz w:val="15"/>
          <w:szCs w:val="15"/>
        </w:rPr>
        <w:t>2</w:t>
      </w:r>
      <w:r w:rsidR="003B05E5">
        <w:rPr>
          <w:rFonts w:ascii="Arial" w:hAnsi="Arial" w:cs="Arial"/>
          <w:color w:val="000000"/>
          <w:sz w:val="15"/>
          <w:szCs w:val="15"/>
        </w:rPr>
        <w:t xml:space="preserve"> through FY 20</w:t>
      </w:r>
      <w:r w:rsidR="005A5BA7">
        <w:rPr>
          <w:rFonts w:ascii="Arial" w:hAnsi="Arial" w:cs="Arial"/>
          <w:color w:val="000000"/>
          <w:sz w:val="15"/>
          <w:szCs w:val="15"/>
        </w:rPr>
        <w:t>1</w:t>
      </w:r>
      <w:r w:rsidR="00033F01">
        <w:rPr>
          <w:rFonts w:ascii="Arial" w:hAnsi="Arial" w:cs="Arial"/>
          <w:color w:val="000000"/>
          <w:sz w:val="15"/>
          <w:szCs w:val="15"/>
        </w:rPr>
        <w:t>2</w:t>
      </w:r>
      <w:r w:rsidR="003B05E5">
        <w:rPr>
          <w:rFonts w:ascii="Arial" w:hAnsi="Arial" w:cs="Arial"/>
          <w:color w:val="000000"/>
          <w:sz w:val="15"/>
          <w:szCs w:val="15"/>
        </w:rPr>
        <w:t xml:space="preserve"> actual amounts.  </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color w:val="000000"/>
          <w:sz w:val="15"/>
          <w:szCs w:val="15"/>
        </w:rPr>
      </w:pPr>
      <w:r>
        <w:rPr>
          <w:rFonts w:ascii="Arial" w:hAnsi="Arial" w:cs="Arial"/>
          <w:b/>
          <w:bCs/>
          <w:color w:val="000000"/>
          <w:sz w:val="15"/>
          <w:szCs w:val="15"/>
        </w:rPr>
        <w:t xml:space="preserve">      </w:t>
      </w:r>
      <w:r w:rsidR="00527E62">
        <w:rPr>
          <w:rFonts w:ascii="Arial" w:hAnsi="Arial" w:cs="Arial"/>
          <w:b/>
          <w:bCs/>
          <w:color w:val="000000"/>
          <w:sz w:val="15"/>
          <w:szCs w:val="15"/>
        </w:rPr>
        <w:t xml:space="preserve"> </w:t>
      </w:r>
      <w:r>
        <w:rPr>
          <w:rFonts w:ascii="Arial" w:hAnsi="Arial" w:cs="Arial"/>
          <w:b/>
          <w:bCs/>
          <w:color w:val="000000"/>
          <w:sz w:val="15"/>
          <w:szCs w:val="15"/>
        </w:rPr>
        <w:t xml:space="preserve">Criminal Performance Measure: </w:t>
      </w: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Pr>
          <w:rFonts w:ascii="Arial" w:hAnsi="Arial" w:cs="Arial"/>
          <w:color w:val="000000"/>
          <w:sz w:val="15"/>
          <w:szCs w:val="15"/>
        </w:rPr>
        <w:t xml:space="preserve">During the course of the year, if the Antitrust Division subpoenas individuals to, questions witnesses before, </w:t>
      </w:r>
      <w:proofErr w:type="gramStart"/>
      <w:r>
        <w:rPr>
          <w:rFonts w:ascii="Arial" w:hAnsi="Arial" w:cs="Arial"/>
          <w:color w:val="000000"/>
          <w:sz w:val="15"/>
          <w:szCs w:val="15"/>
        </w:rPr>
        <w:t>presents</w:t>
      </w:r>
      <w:proofErr w:type="gramEnd"/>
      <w:r>
        <w:rPr>
          <w:rFonts w:ascii="Arial" w:hAnsi="Arial" w:cs="Arial"/>
          <w:color w:val="000000"/>
          <w:sz w:val="15"/>
          <w:szCs w:val="15"/>
        </w:rPr>
        <w:t xml:space="preserve"> information to, or otherwise has contact with a grand jury for one of our investigations, it is considered an </w:t>
      </w:r>
      <w:r>
        <w:rPr>
          <w:rFonts w:ascii="Arial" w:hAnsi="Arial" w:cs="Arial"/>
          <w:b/>
          <w:bCs/>
          <w:color w:val="000000"/>
          <w:sz w:val="15"/>
          <w:szCs w:val="15"/>
        </w:rPr>
        <w:t>Active Grand Jury</w:t>
      </w:r>
      <w:r>
        <w:rPr>
          <w:rFonts w:ascii="Arial" w:hAnsi="Arial" w:cs="Arial"/>
          <w:color w:val="000000"/>
          <w:sz w:val="15"/>
          <w:szCs w:val="15"/>
        </w:rPr>
        <w:t xml:space="preserve">.  In some instances, the Division may conduct an investigation during the course of the year, but not bring witnesses before or present evidence to the applicable grand jury until a subsequent year.  For example, it may require a significant amount of investigatory time or coordination with foreign enforcement authorities to obtain critical evidence for presentation to a grand jury.  Such instances are also considered Active Grand Juries.  </w:t>
      </w:r>
    </w:p>
    <w:p w:rsidR="00DE32DC" w:rsidRDefault="00DE32DC">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DE32DC" w:rsidRDefault="00DE32DC" w:rsidP="00DE32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Pr>
          <w:rFonts w:ascii="Arial" w:hAnsi="Arial" w:cs="Arial"/>
          <w:color w:val="000000"/>
          <w:sz w:val="15"/>
          <w:szCs w:val="15"/>
        </w:rPr>
        <w:t xml:space="preserve">The </w:t>
      </w:r>
      <w:r>
        <w:rPr>
          <w:rFonts w:ascii="Arial" w:hAnsi="Arial" w:cs="Arial"/>
          <w:b/>
          <w:bCs/>
          <w:color w:val="000000"/>
          <w:sz w:val="15"/>
          <w:szCs w:val="15"/>
        </w:rPr>
        <w:t>Dollar Volume of U.S. Commerce Affected</w:t>
      </w:r>
      <w:r>
        <w:rPr>
          <w:rFonts w:ascii="Arial" w:hAnsi="Arial" w:cs="Arial"/>
          <w:color w:val="000000"/>
          <w:sz w:val="15"/>
          <w:szCs w:val="15"/>
        </w:rPr>
        <w:t xml:space="preserve"> is estimated by the Antitrust Division based upon the best available information from investigative and public sources.  It serves as a proxy for the potential effect of anticompetitive behavior.  Suspect conspiracies are more extensive, sometimes far more extensive, than are formally charged in an indictment, hence we believe that the Dollar Volume of U.S. Commerce Affected is an underestimate of the actual value.  In estimating the Dollar Volume of Commerce Affected in a criminal investigation, staffs include the sales of all products affected by </w:t>
      </w:r>
      <w:r w:rsidR="007F41E7">
        <w:rPr>
          <w:rFonts w:ascii="Arial" w:hAnsi="Arial" w:cs="Arial"/>
          <w:color w:val="000000"/>
          <w:sz w:val="15"/>
          <w:szCs w:val="15"/>
        </w:rPr>
        <w:t>t</w:t>
      </w:r>
      <w:r>
        <w:rPr>
          <w:rFonts w:ascii="Arial" w:hAnsi="Arial" w:cs="Arial"/>
          <w:color w:val="000000"/>
          <w:sz w:val="15"/>
          <w:szCs w:val="15"/>
        </w:rPr>
        <w:t>he conspiracy.</w:t>
      </w:r>
    </w:p>
    <w:p w:rsidR="00C8099F" w:rsidRDefault="00C8099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7F41E7" w:rsidRDefault="003B05E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sidRPr="00934579">
        <w:rPr>
          <w:rFonts w:ascii="Arial" w:hAnsi="Arial" w:cs="Arial"/>
          <w:b/>
          <w:bCs/>
          <w:color w:val="000000"/>
          <w:sz w:val="15"/>
          <w:szCs w:val="15"/>
        </w:rPr>
        <w:t xml:space="preserve">       </w:t>
      </w:r>
    </w:p>
    <w:p w:rsidR="00773AA5" w:rsidRDefault="00773AA5">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sectPr w:rsidR="00773AA5" w:rsidSect="005A5BA7">
          <w:endnotePr>
            <w:numFmt w:val="decimal"/>
          </w:endnotePr>
          <w:pgSz w:w="15840" w:h="12240" w:orient="landscape" w:code="1"/>
          <w:pgMar w:top="1008" w:right="1440" w:bottom="245" w:left="1440" w:header="0" w:footer="576" w:gutter="0"/>
          <w:cols w:space="720"/>
          <w:noEndnote/>
        </w:sectPr>
      </w:pPr>
    </w:p>
    <w:p w:rsidR="007F41E7" w:rsidRDefault="007F41E7">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t xml:space="preserve">     </w:t>
      </w:r>
    </w:p>
    <w:p w:rsidR="000D6652" w:rsidRDefault="007F41E7">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r>
        <w:rPr>
          <w:rFonts w:ascii="Arial" w:hAnsi="Arial" w:cs="Arial"/>
          <w:b/>
          <w:bCs/>
          <w:color w:val="000000"/>
          <w:sz w:val="15"/>
          <w:szCs w:val="15"/>
        </w:rPr>
        <w:t xml:space="preserve">     </w:t>
      </w:r>
      <w:r w:rsidR="000D6652">
        <w:rPr>
          <w:rFonts w:ascii="Arial" w:hAnsi="Arial" w:cs="Arial"/>
          <w:b/>
          <w:bCs/>
          <w:color w:val="000000"/>
          <w:sz w:val="15"/>
          <w:szCs w:val="15"/>
        </w:rPr>
        <w:t xml:space="preserve"> </w:t>
      </w:r>
    </w:p>
    <w:p w:rsidR="000D6652"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p>
    <w:p w:rsidR="000D6652"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b/>
          <w:bCs/>
          <w:color w:val="000000"/>
          <w:sz w:val="15"/>
          <w:szCs w:val="15"/>
        </w:rPr>
      </w:pPr>
    </w:p>
    <w:p w:rsidR="003B05E5" w:rsidRPr="00934579" w:rsidRDefault="000D6652">
      <w:pPr>
        <w:widowControl/>
        <w:pBdr>
          <w:top w:val="single" w:sz="6" w:space="0" w:color="FFFFFF"/>
          <w:left w:val="single" w:sz="6" w:space="0" w:color="FFFFFF"/>
          <w:bottom w:val="single" w:sz="6" w:space="0" w:color="FFFFFF"/>
          <w:right w:val="single" w:sz="6" w:space="0" w:color="FFFFFF"/>
        </w:pBdr>
        <w:tabs>
          <w:tab w:val="left" w:pos="-27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ind w:left="-270"/>
        <w:jc w:val="both"/>
        <w:rPr>
          <w:rFonts w:ascii="Arial" w:hAnsi="Arial" w:cs="Arial"/>
          <w:color w:val="000000"/>
          <w:sz w:val="15"/>
          <w:szCs w:val="15"/>
        </w:rPr>
      </w:pPr>
      <w:r>
        <w:rPr>
          <w:rFonts w:ascii="Arial" w:hAnsi="Arial" w:cs="Arial"/>
          <w:b/>
          <w:bCs/>
          <w:color w:val="000000"/>
          <w:sz w:val="15"/>
          <w:szCs w:val="15"/>
        </w:rPr>
        <w:t xml:space="preserve">      </w:t>
      </w:r>
      <w:r w:rsidR="007F41E7">
        <w:rPr>
          <w:rFonts w:ascii="Arial" w:hAnsi="Arial" w:cs="Arial"/>
          <w:b/>
          <w:bCs/>
          <w:color w:val="000000"/>
          <w:sz w:val="15"/>
          <w:szCs w:val="15"/>
        </w:rPr>
        <w:t xml:space="preserve"> </w:t>
      </w:r>
      <w:r w:rsidR="003B05E5" w:rsidRPr="00934579">
        <w:rPr>
          <w:rFonts w:ascii="Arial" w:hAnsi="Arial" w:cs="Arial"/>
          <w:b/>
          <w:bCs/>
          <w:color w:val="000000"/>
          <w:sz w:val="15"/>
          <w:szCs w:val="15"/>
        </w:rPr>
        <w:t>Civil Performance Measure</w:t>
      </w:r>
      <w:r w:rsidR="009F156E" w:rsidRPr="00934579">
        <w:rPr>
          <w:rFonts w:ascii="Arial" w:hAnsi="Arial" w:cs="Arial"/>
          <w:b/>
          <w:bCs/>
          <w:color w:val="000000"/>
          <w:sz w:val="15"/>
          <w:szCs w:val="15"/>
        </w:rPr>
        <w:t>s</w:t>
      </w:r>
      <w:r w:rsidR="003B05E5" w:rsidRPr="00934579">
        <w:rPr>
          <w:rFonts w:ascii="Arial" w:hAnsi="Arial" w:cs="Arial"/>
          <w:b/>
          <w:bCs/>
          <w:color w:val="000000"/>
          <w:sz w:val="15"/>
          <w:szCs w:val="15"/>
        </w:rPr>
        <w:t xml:space="preserve">: </w:t>
      </w:r>
    </w:p>
    <w:p w:rsidR="003B05E5" w:rsidRPr="00934579"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34579">
        <w:rPr>
          <w:rFonts w:ascii="Arial" w:hAnsi="Arial" w:cs="Arial"/>
          <w:color w:val="000000"/>
          <w:sz w:val="15"/>
          <w:szCs w:val="15"/>
        </w:rPr>
        <w:t xml:space="preserve">When a merger filing initially is received through the HSR process, or the Antitrust Division identifies a potentially anticompetitive Non-HSR merger, we develop information from the filing, the parties or complainant, trade publications, and other public sources.  Once we develop a sufficient factual and legal basis for further investigation, a </w:t>
      </w:r>
      <w:r w:rsidRPr="00934579">
        <w:rPr>
          <w:rFonts w:ascii="Arial" w:hAnsi="Arial" w:cs="Arial"/>
          <w:b/>
          <w:bCs/>
          <w:color w:val="000000"/>
          <w:sz w:val="15"/>
          <w:szCs w:val="15"/>
        </w:rPr>
        <w:t>Preliminary Inquiry (PI)</w:t>
      </w:r>
      <w:r w:rsidRPr="00934579">
        <w:rPr>
          <w:rFonts w:ascii="Arial" w:hAnsi="Arial" w:cs="Arial"/>
          <w:color w:val="000000"/>
          <w:sz w:val="15"/>
          <w:szCs w:val="15"/>
        </w:rPr>
        <w:t xml:space="preserve"> may be authorized.  Once authorized, we investigate further and make a determination about whether to proceed by Second Request or Civil Investigative Demand (CID), or to close the PI.  A PI may take from a few weeks to several months to conduct.  Thus a PI is often more than a quick assessment, which is usually done when a matter is initially received or identified, and necessarily precedes a Second Request or CID investigation.  </w:t>
      </w:r>
      <w:r w:rsidR="00FF7F6B" w:rsidRPr="00934579">
        <w:rPr>
          <w:rFonts w:ascii="Arial" w:hAnsi="Arial" w:cs="Arial"/>
          <w:color w:val="000000"/>
          <w:sz w:val="15"/>
          <w:szCs w:val="15"/>
        </w:rPr>
        <w:t xml:space="preserve">It </w:t>
      </w:r>
      <w:r w:rsidR="00FF7F6B">
        <w:rPr>
          <w:rFonts w:ascii="Arial" w:hAnsi="Arial" w:cs="Arial"/>
          <w:color w:val="000000"/>
          <w:sz w:val="15"/>
          <w:szCs w:val="15"/>
        </w:rPr>
        <w:t>is</w:t>
      </w:r>
      <w:r w:rsidRPr="00934579">
        <w:rPr>
          <w:rFonts w:ascii="Arial" w:hAnsi="Arial" w:cs="Arial"/>
          <w:color w:val="000000"/>
          <w:sz w:val="15"/>
          <w:szCs w:val="15"/>
        </w:rPr>
        <w:t xml:space="preserve"> </w:t>
      </w:r>
    </w:p>
    <w:p w:rsidR="003B05E5" w:rsidRPr="00934579"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roofErr w:type="gramStart"/>
      <w:r w:rsidRPr="00934579">
        <w:rPr>
          <w:rFonts w:ascii="Arial" w:hAnsi="Arial" w:cs="Arial"/>
          <w:color w:val="000000"/>
          <w:sz w:val="15"/>
          <w:szCs w:val="15"/>
        </w:rPr>
        <w:t>a</w:t>
      </w:r>
      <w:proofErr w:type="gramEnd"/>
      <w:r w:rsidRPr="00934579">
        <w:rPr>
          <w:rFonts w:ascii="Arial" w:hAnsi="Arial" w:cs="Arial"/>
          <w:color w:val="000000"/>
          <w:sz w:val="15"/>
          <w:szCs w:val="15"/>
        </w:rPr>
        <w:t xml:space="preserve"> critical step in the investigatory </w:t>
      </w:r>
      <w:r w:rsidR="00FF7F6B" w:rsidRPr="00934579">
        <w:rPr>
          <w:rFonts w:ascii="Arial" w:hAnsi="Arial" w:cs="Arial"/>
          <w:color w:val="000000"/>
          <w:sz w:val="15"/>
          <w:szCs w:val="15"/>
        </w:rPr>
        <w:t>process</w:t>
      </w:r>
      <w:r w:rsidRPr="00934579">
        <w:rPr>
          <w:rFonts w:ascii="Arial" w:hAnsi="Arial" w:cs="Arial"/>
          <w:color w:val="000000"/>
          <w:sz w:val="15"/>
          <w:szCs w:val="15"/>
        </w:rPr>
        <w:t xml:space="preserve"> and the</w:t>
      </w:r>
      <w:r w:rsidRPr="00934579">
        <w:rPr>
          <w:rFonts w:ascii="Arial" w:hAnsi="Arial" w:cs="Arial"/>
          <w:b/>
          <w:bCs/>
          <w:color w:val="000000"/>
          <w:sz w:val="15"/>
          <w:szCs w:val="15"/>
        </w:rPr>
        <w:t xml:space="preserve"> Number of PIs Opened</w:t>
      </w:r>
      <w:r w:rsidRPr="00934579">
        <w:rPr>
          <w:rFonts w:ascii="Arial" w:hAnsi="Arial" w:cs="Arial"/>
          <w:color w:val="000000"/>
          <w:sz w:val="15"/>
          <w:szCs w:val="15"/>
        </w:rPr>
        <w:t xml:space="preserve"> is indicative of the Division</w:t>
      </w:r>
      <w:r w:rsidRPr="00934579">
        <w:rPr>
          <w:color w:val="000000"/>
          <w:sz w:val="15"/>
          <w:szCs w:val="15"/>
        </w:rPr>
        <w:t>’</w:t>
      </w:r>
      <w:r w:rsidRPr="00934579">
        <w:rPr>
          <w:rFonts w:ascii="Arial" w:hAnsi="Arial" w:cs="Arial"/>
          <w:color w:val="000000"/>
          <w:sz w:val="15"/>
          <w:szCs w:val="15"/>
        </w:rPr>
        <w:t>s baseline workload.</w:t>
      </w:r>
    </w:p>
    <w:p w:rsidR="007F41E7" w:rsidRDefault="007F41E7">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F156E">
        <w:rPr>
          <w:rFonts w:ascii="Arial" w:hAnsi="Arial" w:cs="Arial"/>
          <w:b/>
          <w:bCs/>
          <w:color w:val="000000"/>
          <w:sz w:val="15"/>
          <w:szCs w:val="15"/>
        </w:rPr>
        <w:t>Number of Active Investigations</w:t>
      </w:r>
      <w:r w:rsidRPr="009F156E">
        <w:rPr>
          <w:rFonts w:ascii="Arial" w:hAnsi="Arial" w:cs="Arial"/>
          <w:color w:val="000000"/>
          <w:sz w:val="15"/>
          <w:szCs w:val="15"/>
        </w:rPr>
        <w:t xml:space="preserve"> is indicative of Division</w:t>
      </w:r>
      <w:r w:rsidRPr="009F156E">
        <w:rPr>
          <w:color w:val="000000"/>
          <w:sz w:val="15"/>
          <w:szCs w:val="15"/>
        </w:rPr>
        <w:t>’</w:t>
      </w:r>
      <w:r w:rsidRPr="009F156E">
        <w:rPr>
          <w:rFonts w:ascii="Arial" w:hAnsi="Arial" w:cs="Arial"/>
          <w:color w:val="000000"/>
          <w:sz w:val="15"/>
          <w:szCs w:val="15"/>
        </w:rPr>
        <w:t xml:space="preserve">s baseline civil </w:t>
      </w:r>
      <w:r w:rsidR="006012CE" w:rsidRPr="009F156E">
        <w:rPr>
          <w:rFonts w:ascii="Arial" w:hAnsi="Arial" w:cs="Arial"/>
          <w:color w:val="000000"/>
          <w:sz w:val="15"/>
          <w:szCs w:val="15"/>
        </w:rPr>
        <w:t>non-merger</w:t>
      </w:r>
      <w:r w:rsidRPr="009F156E">
        <w:rPr>
          <w:rFonts w:ascii="Arial" w:hAnsi="Arial" w:cs="Arial"/>
          <w:color w:val="000000"/>
          <w:sz w:val="15"/>
          <w:szCs w:val="15"/>
        </w:rPr>
        <w:t xml:space="preserve"> workload.  Staff identifies and investigates alleged violations of Section 1 and 2 of the Sherman Act and Section 3 of the Clayton Act.  Many times, civil </w:t>
      </w:r>
      <w:r w:rsidR="006012CE" w:rsidRPr="009F156E">
        <w:rPr>
          <w:rFonts w:ascii="Arial" w:hAnsi="Arial" w:cs="Arial"/>
          <w:color w:val="000000"/>
          <w:sz w:val="15"/>
          <w:szCs w:val="15"/>
        </w:rPr>
        <w:t>non-merger</w:t>
      </w:r>
      <w:r w:rsidRPr="009F156E">
        <w:rPr>
          <w:rFonts w:ascii="Arial" w:hAnsi="Arial" w:cs="Arial"/>
          <w:color w:val="000000"/>
          <w:sz w:val="15"/>
          <w:szCs w:val="15"/>
        </w:rPr>
        <w:t xml:space="preserve"> investigations take more than a year to develop sufficient evidence to file a case or close the investigation.  Because staff may be working on an investigation for more than a year, this indicator accounts for the number of investigations with hours actually reported during the fiscal year, as opposed to the number of open investigations during the fiscal year.</w:t>
      </w:r>
    </w:p>
    <w:p w:rsidR="00DE32DC" w:rsidRPr="009F156E" w:rsidRDefault="00DE32DC">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Pr="004B6527" w:rsidRDefault="00EE7C06">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r w:rsidRPr="004B6527">
        <w:rPr>
          <w:rFonts w:ascii="Arial" w:hAnsi="Arial" w:cs="Arial"/>
          <w:color w:val="000000"/>
          <w:sz w:val="15"/>
          <w:szCs w:val="15"/>
        </w:rPr>
        <w:t xml:space="preserve">The </w:t>
      </w:r>
      <w:r w:rsidRPr="004B6527">
        <w:rPr>
          <w:rFonts w:ascii="Arial" w:hAnsi="Arial" w:cs="Arial"/>
          <w:b/>
          <w:bCs/>
          <w:color w:val="000000"/>
          <w:sz w:val="15"/>
          <w:szCs w:val="15"/>
        </w:rPr>
        <w:t>Dollar Volume of U.S. Commerce Affected in Relevant Markets for All Merger Wins</w:t>
      </w:r>
      <w:r w:rsidRPr="004B6527">
        <w:rPr>
          <w:rFonts w:ascii="Arial" w:hAnsi="Arial" w:cs="Arial"/>
          <w:color w:val="000000"/>
          <w:sz w:val="15"/>
          <w:szCs w:val="15"/>
        </w:rPr>
        <w:t xml:space="preserve"> and </w:t>
      </w:r>
      <w:r w:rsidRPr="004B6527">
        <w:rPr>
          <w:rFonts w:ascii="Arial" w:hAnsi="Arial" w:cs="Arial"/>
          <w:b/>
          <w:color w:val="000000"/>
          <w:sz w:val="15"/>
          <w:szCs w:val="15"/>
        </w:rPr>
        <w:t>all Non-Merger Pleas/Cases Favorably Resolved</w:t>
      </w:r>
      <w:r w:rsidRPr="004B6527">
        <w:rPr>
          <w:rFonts w:ascii="Arial" w:hAnsi="Arial" w:cs="Arial"/>
          <w:b/>
          <w:bCs/>
          <w:color w:val="000000"/>
          <w:sz w:val="15"/>
          <w:szCs w:val="15"/>
        </w:rPr>
        <w:t xml:space="preserve"> </w:t>
      </w:r>
      <w:r w:rsidRPr="004B6527">
        <w:rPr>
          <w:rFonts w:ascii="Arial" w:hAnsi="Arial" w:cs="Arial"/>
          <w:color w:val="000000"/>
          <w:sz w:val="15"/>
          <w:szCs w:val="15"/>
        </w:rPr>
        <w:t xml:space="preserve">are estimated by the Antitrust Division based upon investigative information and credible public sources.  The volume of commerce serves as a proxy for the potential effect of </w:t>
      </w:r>
      <w:r w:rsidR="004B6527" w:rsidRPr="004B6527">
        <w:rPr>
          <w:rFonts w:ascii="Arial" w:hAnsi="Arial" w:cs="Arial"/>
          <w:color w:val="000000"/>
          <w:sz w:val="15"/>
          <w:szCs w:val="15"/>
        </w:rPr>
        <w:t xml:space="preserve">possibly </w:t>
      </w:r>
      <w:r w:rsidRPr="004B6527">
        <w:rPr>
          <w:rFonts w:ascii="Arial" w:hAnsi="Arial" w:cs="Arial"/>
          <w:color w:val="000000"/>
          <w:sz w:val="15"/>
          <w:szCs w:val="15"/>
        </w:rPr>
        <w:t>anticompetitive behavior.   This indicator has been revised to reflect only those HSR and Non-HSR merger cases in which the Division</w:t>
      </w:r>
      <w:r w:rsidRPr="004B6527">
        <w:rPr>
          <w:color w:val="000000"/>
          <w:sz w:val="15"/>
          <w:szCs w:val="15"/>
        </w:rPr>
        <w:t>’</w:t>
      </w:r>
      <w:r w:rsidRPr="004B6527">
        <w:rPr>
          <w:rFonts w:ascii="Arial" w:hAnsi="Arial" w:cs="Arial"/>
          <w:color w:val="000000"/>
          <w:sz w:val="15"/>
          <w:szCs w:val="15"/>
        </w:rPr>
        <w:t xml:space="preserve">s efforts led to a reduction in anticompetitive behavior.  This indicator includes the Dollar Volume of U.S. Commerce Affected in instances where we have counted an HSR, Non-HSR and bank merger wins. While we have used existing data sources in the Division to compile the </w:t>
      </w:r>
      <w:r w:rsidRPr="004B6527">
        <w:rPr>
          <w:rFonts w:ascii="Arial" w:hAnsi="Arial" w:cs="Arial"/>
          <w:b/>
          <w:bCs/>
          <w:color w:val="000000"/>
          <w:sz w:val="15"/>
          <w:szCs w:val="15"/>
        </w:rPr>
        <w:t>Dollar Volume of U.S. Commerce Affected in Relevant Markets for All Merger Wins</w:t>
      </w:r>
      <w:r w:rsidRPr="004B6527">
        <w:rPr>
          <w:rFonts w:ascii="Arial" w:hAnsi="Arial" w:cs="Arial"/>
          <w:color w:val="000000"/>
          <w:sz w:val="15"/>
          <w:szCs w:val="15"/>
        </w:rPr>
        <w:t>, we acknowledge some limitations in our data that result in the cumulative underestimate of the value presented here.  In the HSR merger and bank merger areas, we are required to review a significant number of applications, many of which are determined to pose no competitive issues.  No Preliminary Inquiry is opened in these cases, but Division resources are still employed to ensure that the transactions being proposed will do no harm to the competitive environment.</w:t>
      </w:r>
    </w:p>
    <w:p w:rsidR="00EE7C06"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r w:rsidRPr="00633EA2">
        <w:rPr>
          <w:rFonts w:ascii="Arial" w:hAnsi="Arial" w:cs="Arial"/>
          <w:color w:val="000000"/>
          <w:sz w:val="15"/>
          <w:szCs w:val="15"/>
          <w:highlight w:val="yellow"/>
        </w:rPr>
        <w:t xml:space="preserve"> </w:t>
      </w:r>
    </w:p>
    <w:p w:rsidR="003B05E5"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BB2CD5">
        <w:rPr>
          <w:rFonts w:ascii="Arial" w:hAnsi="Arial" w:cs="Arial"/>
          <w:color w:val="000000"/>
          <w:sz w:val="15"/>
          <w:szCs w:val="15"/>
        </w:rPr>
        <w:t>In estimating the Dollar Volume of U.S. Commerce Affected in a civil non-merger case, staffs estimate an aggregate volume of commerce for each relevant domestic market affected by the anticompetitive practice or agreement.  Obviously, many anticompetitive practices or agreements are more extensive, sometimes far more extensive, than are formally charged; hence we believe that the Dollar Volume of U.S. Commerce Affected is an underestimate of the actual value.</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b/>
          <w:bCs/>
          <w:color w:val="000000"/>
          <w:sz w:val="15"/>
          <w:szCs w:val="15"/>
        </w:rPr>
      </w:pPr>
    </w:p>
    <w:p w:rsidR="003B05E5" w:rsidRPr="00152731" w:rsidRDefault="003B05E5">
      <w:pPr>
        <w:rPr>
          <w:rFonts w:ascii="Arial" w:hAnsi="Arial" w:cs="Arial"/>
          <w:color w:val="000000"/>
          <w:sz w:val="15"/>
          <w:szCs w:val="15"/>
        </w:rPr>
      </w:pPr>
      <w:r w:rsidRPr="00152731">
        <w:rPr>
          <w:rFonts w:ascii="Arial" w:hAnsi="Arial" w:cs="Arial"/>
          <w:b/>
          <w:bCs/>
          <w:sz w:val="15"/>
        </w:rPr>
        <w:t>Outcome:</w:t>
      </w:r>
    </w:p>
    <w:p w:rsidR="003B05E5" w:rsidRPr="00152731"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152731">
        <w:rPr>
          <w:rFonts w:ascii="Arial" w:hAnsi="Arial" w:cs="Arial"/>
          <w:color w:val="000000"/>
          <w:sz w:val="15"/>
          <w:szCs w:val="15"/>
        </w:rPr>
        <w:t xml:space="preserve">It is difficult to fully or precisely capture in a single number, or even a variety of numbers, the ultimate outcome of our Enforcement Strategy.  It is not always clear just how </w:t>
      </w:r>
      <w:r w:rsidR="006012CE" w:rsidRPr="00152731">
        <w:rPr>
          <w:rFonts w:ascii="Arial" w:hAnsi="Arial" w:cs="Arial"/>
          <w:color w:val="000000"/>
          <w:sz w:val="15"/>
          <w:szCs w:val="15"/>
        </w:rPr>
        <w:t>far-reaching</w:t>
      </w:r>
      <w:r w:rsidRPr="00152731">
        <w:rPr>
          <w:rFonts w:ascii="Arial" w:hAnsi="Arial" w:cs="Arial"/>
          <w:color w:val="000000"/>
          <w:sz w:val="15"/>
          <w:szCs w:val="15"/>
        </w:rPr>
        <w:t xml:space="preserve"> the effects of a particular conspiracy are; it is not always possible to determine the magnitude of the price increase that relates directly to a particular conspiracy; we cannot consistently translate into numbers the competitive impact of a given conspiracy; nor can we gauge the deterrent effects of our enforcement efforts, though we and those who have written on the subject believe that such effects exist and are strong.  Nonetheless, we believe that an end outcome, if not the ultimate outcome, of our work in this area is the </w:t>
      </w:r>
      <w:r w:rsidRPr="00152731">
        <w:rPr>
          <w:rFonts w:ascii="Arial" w:hAnsi="Arial" w:cs="Arial"/>
          <w:b/>
          <w:bCs/>
          <w:color w:val="000000"/>
          <w:sz w:val="15"/>
          <w:szCs w:val="15"/>
        </w:rPr>
        <w:t>Savings to U.S. Consumers</w:t>
      </w:r>
      <w:r w:rsidRPr="00152731">
        <w:rPr>
          <w:rFonts w:ascii="Arial" w:hAnsi="Arial" w:cs="Arial"/>
          <w:color w:val="000000"/>
          <w:sz w:val="15"/>
          <w:szCs w:val="15"/>
        </w:rPr>
        <w:t xml:space="preserve"> that arise from our successful elimination and deterrence of criminal conspiracies, the protection of competition in the </w:t>
      </w:r>
      <w:smartTag w:uri="urn:schemas-microsoft-com:office:smarttags" w:element="country-region">
        <w:smartTag w:uri="urn:schemas-microsoft-com:office:smarttags" w:element="place">
          <w:r w:rsidRPr="00152731">
            <w:rPr>
              <w:rFonts w:ascii="Arial" w:hAnsi="Arial" w:cs="Arial"/>
              <w:color w:val="000000"/>
              <w:sz w:val="15"/>
              <w:szCs w:val="15"/>
            </w:rPr>
            <w:t>U.S.</w:t>
          </w:r>
        </w:smartTag>
      </w:smartTag>
      <w:r w:rsidRPr="00152731">
        <w:rPr>
          <w:rFonts w:ascii="Arial" w:hAnsi="Arial" w:cs="Arial"/>
          <w:color w:val="000000"/>
          <w:sz w:val="15"/>
          <w:szCs w:val="15"/>
        </w:rPr>
        <w:t xml:space="preserve"> economy, and our deterrence of anticompetitive behavior.  </w:t>
      </w:r>
    </w:p>
    <w:p w:rsidR="003B05E5" w:rsidRPr="00633EA2"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3B05E5" w:rsidRPr="009E06A0"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9E06A0">
        <w:rPr>
          <w:rFonts w:ascii="Arial" w:hAnsi="Arial" w:cs="Arial"/>
          <w:color w:val="000000"/>
          <w:sz w:val="15"/>
          <w:szCs w:val="15"/>
          <w:u w:val="single"/>
        </w:rPr>
        <w:t>Criminal</w:t>
      </w:r>
      <w:r w:rsidRPr="009E06A0">
        <w:rPr>
          <w:rFonts w:ascii="Arial" w:hAnsi="Arial" w:cs="Arial"/>
          <w:color w:val="000000"/>
          <w:sz w:val="15"/>
          <w:szCs w:val="15"/>
        </w:rPr>
        <w:t xml:space="preserve">: There are two components to our estimate of </w:t>
      </w:r>
      <w:r w:rsidRPr="009E06A0">
        <w:rPr>
          <w:rFonts w:ascii="Arial" w:hAnsi="Arial" w:cs="Arial"/>
          <w:b/>
          <w:bCs/>
          <w:color w:val="000000"/>
          <w:sz w:val="15"/>
          <w:szCs w:val="15"/>
        </w:rPr>
        <w:t>consumer savings</w:t>
      </w:r>
      <w:r w:rsidRPr="009E06A0">
        <w:rPr>
          <w:rFonts w:ascii="Arial" w:hAnsi="Arial" w:cs="Arial"/>
          <w:color w:val="000000"/>
          <w:sz w:val="15"/>
          <w:szCs w:val="15"/>
        </w:rPr>
        <w:t xml:space="preserve">: the price effect of the conspiracy and the annual volume of commerce affected by the conspiracy. Volume of commerce is estimated based on the best available information from investigative and public sources. </w:t>
      </w:r>
      <w:proofErr w:type="gramStart"/>
      <w:r w:rsidRPr="009E06A0">
        <w:rPr>
          <w:rFonts w:ascii="Arial" w:hAnsi="Arial" w:cs="Arial"/>
          <w:color w:val="000000"/>
          <w:sz w:val="15"/>
          <w:szCs w:val="15"/>
        </w:rPr>
        <w:t>This results</w:t>
      </w:r>
      <w:proofErr w:type="gramEnd"/>
      <w:r w:rsidRPr="009E06A0">
        <w:rPr>
          <w:rFonts w:ascii="Arial" w:hAnsi="Arial" w:cs="Arial"/>
          <w:color w:val="000000"/>
          <w:sz w:val="15"/>
          <w:szCs w:val="15"/>
        </w:rPr>
        <w:t xml:space="preserve"> in an underestimate of consumer savings, as the vast majority of conspiracies exist for well over a year.  We are more limited in our ability to estimate price effect, and thus in most cases rely on the 10 percent figure in the U.S. Sentencing Guidelines Manual (November 1, 1997; Section 2R1.1; Application Note 3; page 227) as the "average gain from </w:t>
      </w:r>
      <w:r w:rsidR="003F3AF9" w:rsidRPr="009E06A0">
        <w:rPr>
          <w:rFonts w:ascii="Arial" w:hAnsi="Arial" w:cs="Arial"/>
          <w:color w:val="000000"/>
          <w:sz w:val="15"/>
          <w:szCs w:val="15"/>
        </w:rPr>
        <w:t>price-fixing</w:t>
      </w:r>
      <w:r w:rsidRPr="009E06A0">
        <w:rPr>
          <w:rFonts w:ascii="Arial" w:hAnsi="Arial" w:cs="Arial"/>
          <w:color w:val="000000"/>
          <w:sz w:val="15"/>
          <w:szCs w:val="15"/>
        </w:rPr>
        <w:t xml:space="preserve">" (used in determining fines for convicted organizations) for our estimate in price fixing, bid rigging, and other criminal antitrust conspiracies.  Although there are significant limitations to this estimate (as with any estimate), we believe it goes a long way toward describing the outcome of our work and ties directly to our vision of  an environment in which U.S. consumers receive goods and services of the highest quality at the lowest price and sound economics-based antitrust enforcement principles are applied.  </w:t>
      </w:r>
    </w:p>
    <w:p w:rsidR="00773AA5" w:rsidRDefault="00773AA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sectPr w:rsidR="00773AA5" w:rsidSect="0054642A">
          <w:endnotePr>
            <w:numFmt w:val="decimal"/>
          </w:endnotePr>
          <w:pgSz w:w="15840" w:h="12240" w:orient="landscape" w:code="1"/>
          <w:pgMar w:top="1296" w:right="1440" w:bottom="432" w:left="1440" w:header="0" w:footer="720" w:gutter="0"/>
          <w:cols w:space="720"/>
          <w:noEndnote/>
        </w:sectPr>
      </w:pPr>
    </w:p>
    <w:p w:rsidR="003B05E5" w:rsidRPr="009E06A0"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0D6652" w:rsidRDefault="000D6652">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u w:val="single"/>
        </w:rPr>
      </w:pPr>
    </w:p>
    <w:p w:rsidR="003B05E5" w:rsidRPr="003F3AF9" w:rsidRDefault="003B05E5">
      <w:pPr>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3F3AF9">
        <w:rPr>
          <w:rFonts w:ascii="Arial" w:hAnsi="Arial" w:cs="Arial"/>
          <w:color w:val="000000"/>
          <w:sz w:val="15"/>
          <w:szCs w:val="15"/>
          <w:u w:val="single"/>
        </w:rPr>
        <w:t>Civil:</w:t>
      </w:r>
      <w:r w:rsidRPr="003F3AF9">
        <w:rPr>
          <w:rFonts w:ascii="Arial" w:hAnsi="Arial" w:cs="Arial"/>
          <w:color w:val="000000"/>
          <w:sz w:val="15"/>
          <w:szCs w:val="15"/>
        </w:rPr>
        <w:t xml:space="preserve">  Our estimates of </w:t>
      </w:r>
      <w:r w:rsidRPr="003F3AF9">
        <w:rPr>
          <w:rFonts w:ascii="Arial" w:hAnsi="Arial" w:cs="Arial"/>
          <w:b/>
          <w:bCs/>
          <w:color w:val="000000"/>
          <w:sz w:val="15"/>
          <w:szCs w:val="15"/>
        </w:rPr>
        <w:t xml:space="preserve">consumer savings </w:t>
      </w:r>
      <w:r w:rsidRPr="003F3AF9">
        <w:rPr>
          <w:rFonts w:ascii="Arial" w:hAnsi="Arial" w:cs="Arial"/>
          <w:color w:val="000000"/>
          <w:sz w:val="15"/>
          <w:szCs w:val="15"/>
        </w:rPr>
        <w:t xml:space="preserve">derive initially from our best measurement of volume of commerce in the relevant markets with which we were concerned.  For the majority of merger matters, we calculated consumer savings by also using a formula that makes a realistic assumption about the oligopolistic interaction among rival firms and incorporates estimates of pre-merger market shares and of market demand elasticity.  In a few merger wins, primarily vertical mergers and those in which the anticompetitive effects included predicted reductions in innovation or other special considerations, it would not have been appropriate to apply that formula.  For those wins, we developed conservative estimates of consumer benefits drawing on the details learned in the investigation.  We note that the volume of commerce component of the calculation is estimated based on the best available information from investigative and public sources, and it is annualized and confined to </w:t>
      </w:r>
      <w:smartTag w:uri="urn:schemas-microsoft-com:office:smarttags" w:element="country-region">
        <w:smartTag w:uri="urn:schemas-microsoft-com:office:smarttags" w:element="place">
          <w:r w:rsidRPr="003F3AF9">
            <w:rPr>
              <w:rFonts w:ascii="Arial" w:hAnsi="Arial" w:cs="Arial"/>
              <w:color w:val="000000"/>
              <w:sz w:val="15"/>
              <w:szCs w:val="15"/>
            </w:rPr>
            <w:t>U.S.</w:t>
          </w:r>
        </w:smartTag>
      </w:smartTag>
      <w:r w:rsidRPr="003F3AF9">
        <w:rPr>
          <w:rFonts w:ascii="Arial" w:hAnsi="Arial" w:cs="Arial"/>
          <w:color w:val="000000"/>
          <w:sz w:val="15"/>
          <w:szCs w:val="15"/>
        </w:rPr>
        <w:t xml:space="preserve"> commerce.  </w:t>
      </w:r>
      <w:r w:rsidR="00FD1DE3" w:rsidRPr="003F3AF9">
        <w:rPr>
          <w:rFonts w:ascii="Arial" w:hAnsi="Arial" w:cs="Arial"/>
          <w:color w:val="000000"/>
          <w:sz w:val="15"/>
          <w:szCs w:val="15"/>
        </w:rPr>
        <w:t>Given the</w:t>
      </w:r>
      <w:r w:rsidRPr="003F3AF9">
        <w:rPr>
          <w:rFonts w:ascii="Arial" w:hAnsi="Arial" w:cs="Arial"/>
          <w:color w:val="000000"/>
          <w:sz w:val="15"/>
          <w:szCs w:val="15"/>
        </w:rPr>
        <w:t xml:space="preserve"> roughness of our methodology, we believe our consumer savings figure to be a conservative estimate in that it attempts to measure direct consumer benefits.  That is, we have not attempted to value the deterrent effects (where our challenge to or expression of concern about a specific proposed or actual transaction prevents future, similarly-objectionable transactions in other markets and industries) of our successful enforcement efforts.  While these effects in most matters are very large, we are unable to approach measuring them.  Although there clearly are significant limitations to this estimate (as with any estimate), we believe it goes a long way toward describing the outcome of our work and ties directly to our Vision of an environment in which U.S. consumers receive goods and services of the highest quality at the lowest price and sound economics-based antitrust enforcement principles are applied.  The end outcome of our work in the Civil Non-Merger Enforcement Strategy is the </w:t>
      </w:r>
      <w:r w:rsidRPr="003F3AF9">
        <w:rPr>
          <w:rFonts w:ascii="Arial" w:hAnsi="Arial" w:cs="Arial"/>
          <w:b/>
          <w:bCs/>
          <w:color w:val="000000"/>
          <w:sz w:val="15"/>
          <w:szCs w:val="15"/>
        </w:rPr>
        <w:t>Savings to U.S. Consumers</w:t>
      </w:r>
      <w:r w:rsidRPr="003F3AF9">
        <w:rPr>
          <w:rFonts w:ascii="Arial" w:hAnsi="Arial" w:cs="Arial"/>
          <w:color w:val="000000"/>
          <w:sz w:val="15"/>
          <w:szCs w:val="15"/>
        </w:rPr>
        <w:t xml:space="preserve"> that arise from our successful elimination and deterrence of anticompetitive behavior.  There are two components to our estimate of consumer savings:  the volume of commerce affected by the anticompetitive behavior and the price effect of the behavior.  Volume of commerce is estimated based on the best available information from investigative and public sources, and it is annualized and confined to </w:t>
      </w:r>
      <w:smartTag w:uri="urn:schemas-microsoft-com:office:smarttags" w:element="country-region">
        <w:smartTag w:uri="urn:schemas-microsoft-com:office:smarttags" w:element="place">
          <w:r w:rsidRPr="003F3AF9">
            <w:rPr>
              <w:rFonts w:ascii="Arial" w:hAnsi="Arial" w:cs="Arial"/>
              <w:color w:val="000000"/>
              <w:sz w:val="15"/>
              <w:szCs w:val="15"/>
            </w:rPr>
            <w:t>U.S.</w:t>
          </w:r>
        </w:smartTag>
      </w:smartTag>
      <w:r w:rsidRPr="003F3AF9">
        <w:rPr>
          <w:rFonts w:ascii="Arial" w:hAnsi="Arial" w:cs="Arial"/>
          <w:color w:val="000000"/>
          <w:sz w:val="15"/>
          <w:szCs w:val="15"/>
        </w:rPr>
        <w:t xml:space="preserve"> commerce.  We are more limited in our ability to estimate price effect, and thus rely on a conservative one percent figure for our estimate.  We believe our consumer savings figure to be a very conservative estimate. </w:t>
      </w:r>
    </w:p>
    <w:p w:rsidR="003B05E5"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highlight w:val="yellow"/>
        </w:rPr>
      </w:pPr>
    </w:p>
    <w:p w:rsidR="003B05E5" w:rsidRPr="00D061FA"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D061FA">
        <w:rPr>
          <w:rFonts w:ascii="Arial" w:hAnsi="Arial" w:cs="Arial"/>
          <w:color w:val="000000"/>
          <w:sz w:val="15"/>
          <w:szCs w:val="15"/>
        </w:rPr>
        <w:t>The</w:t>
      </w:r>
      <w:r w:rsidRPr="00D061FA">
        <w:rPr>
          <w:rFonts w:ascii="Arial" w:hAnsi="Arial" w:cs="Arial"/>
          <w:b/>
          <w:bCs/>
          <w:color w:val="000000"/>
          <w:sz w:val="15"/>
          <w:szCs w:val="15"/>
        </w:rPr>
        <w:t xml:space="preserve"> Success Rate for Criminal Matters</w:t>
      </w:r>
      <w:r w:rsidRPr="00D061FA">
        <w:rPr>
          <w:rFonts w:ascii="Arial" w:hAnsi="Arial" w:cs="Arial"/>
          <w:color w:val="000000"/>
          <w:sz w:val="15"/>
          <w:szCs w:val="15"/>
        </w:rPr>
        <w:t xml:space="preserve"> provides an overall view of the Division</w:t>
      </w:r>
      <w:r w:rsidRPr="00D061FA">
        <w:rPr>
          <w:color w:val="000000"/>
          <w:sz w:val="15"/>
          <w:szCs w:val="15"/>
        </w:rPr>
        <w:t>’</w:t>
      </w:r>
      <w:r w:rsidRPr="00D061FA">
        <w:rPr>
          <w:rFonts w:ascii="Arial" w:hAnsi="Arial" w:cs="Arial"/>
          <w:color w:val="000000"/>
          <w:sz w:val="15"/>
          <w:szCs w:val="15"/>
        </w:rPr>
        <w:t xml:space="preserve">s record, looking at situations where the Division determines there to be anticompetitive issues and noting our </w:t>
      </w:r>
      <w:proofErr w:type="spellStart"/>
      <w:r w:rsidRPr="00D061FA">
        <w:rPr>
          <w:rFonts w:ascii="WP TypographicSymbols" w:hAnsi="WP TypographicSymbols"/>
          <w:color w:val="000000"/>
          <w:sz w:val="15"/>
          <w:szCs w:val="15"/>
        </w:rPr>
        <w:t>A</w:t>
      </w:r>
      <w:r w:rsidRPr="00D061FA">
        <w:rPr>
          <w:rFonts w:ascii="Arial" w:hAnsi="Arial" w:cs="Arial"/>
          <w:color w:val="000000"/>
          <w:sz w:val="15"/>
          <w:szCs w:val="15"/>
        </w:rPr>
        <w:t>success</w:t>
      </w:r>
      <w:proofErr w:type="spellEnd"/>
      <w:r w:rsidRPr="00D061FA">
        <w:rPr>
          <w:rFonts w:ascii="Arial" w:hAnsi="Arial" w:cs="Arial"/>
          <w:color w:val="000000"/>
          <w:sz w:val="15"/>
          <w:szCs w:val="15"/>
        </w:rPr>
        <w:t xml:space="preserve"> rate</w:t>
      </w:r>
      <w:r w:rsidRPr="00D061FA">
        <w:rPr>
          <w:rFonts w:ascii="WP TypographicSymbols" w:hAnsi="WP TypographicSymbols"/>
          <w:color w:val="000000"/>
          <w:sz w:val="15"/>
          <w:szCs w:val="15"/>
        </w:rPr>
        <w:t>@</w:t>
      </w:r>
      <w:r w:rsidRPr="00D061FA">
        <w:rPr>
          <w:rFonts w:ascii="Arial" w:hAnsi="Arial" w:cs="Arial"/>
          <w:color w:val="000000"/>
          <w:sz w:val="15"/>
          <w:szCs w:val="15"/>
        </w:rPr>
        <w:t xml:space="preserve"> in the outcomes for those situations. The Success Rate for Criminal Matters was calculated using the following formula: the denominator includes the sum total of the following:  (1) all cases filed in the given fiscal year in which there was either a guilty plea, conviction at trial, acquittal at trial, directed verdict, dismissal of charges or other final disposition of the matter in the same fiscal year, plus (2) all cases filed in prior years in which there was either a guilty plea, conviction at trial, acquittal at trial, directed verdict, dismissal of charges or other final disposition of the matter in the given fiscal year.  The numerator includes only those cases from the denominator that resulted in guilty pleas or convictions at trial, subtracting those cases that resulted in acquittals, directed verdicts, or the dismissal of charges.  Cases are defined here as every individual or corporation charged by either information or indictment.  Note that these statistics do not include cases that are pending, such as pending indictments of foreign nationals who remain fugitives in our international cartel prosecutions.  </w:t>
      </w:r>
      <w:r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p>
    <w:p w:rsidR="003B05E5" w:rsidRPr="00D061FA" w:rsidRDefault="003B05E5">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Pr="00D061FA" w:rsidRDefault="00633EA2">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r w:rsidRPr="00D061FA">
        <w:rPr>
          <w:rFonts w:ascii="Arial" w:hAnsi="Arial" w:cs="Arial"/>
          <w:bCs/>
          <w:color w:val="000000"/>
          <w:sz w:val="15"/>
          <w:szCs w:val="15"/>
        </w:rPr>
        <w:t xml:space="preserve">The </w:t>
      </w:r>
      <w:r w:rsidRPr="00D061FA">
        <w:rPr>
          <w:rFonts w:ascii="Arial" w:hAnsi="Arial" w:cs="Arial"/>
          <w:b/>
          <w:bCs/>
          <w:color w:val="000000"/>
          <w:sz w:val="15"/>
          <w:szCs w:val="15"/>
        </w:rPr>
        <w:t xml:space="preserve">Success Rate for Civil Matters </w:t>
      </w:r>
      <w:r w:rsidRPr="00D061FA">
        <w:rPr>
          <w:rFonts w:ascii="Arial" w:hAnsi="Arial" w:cs="Arial"/>
          <w:bCs/>
          <w:color w:val="000000"/>
          <w:sz w:val="15"/>
          <w:szCs w:val="15"/>
        </w:rPr>
        <w:t xml:space="preserve">is determined </w:t>
      </w:r>
      <w:r w:rsidR="003B05E5" w:rsidRPr="00D061FA">
        <w:rPr>
          <w:rFonts w:ascii="Arial" w:hAnsi="Arial" w:cs="Arial"/>
          <w:b/>
          <w:bCs/>
          <w:color w:val="000000"/>
          <w:sz w:val="15"/>
          <w:szCs w:val="15"/>
        </w:rPr>
        <w:t xml:space="preserve">Number of Merger </w:t>
      </w:r>
      <w:proofErr w:type="spellStart"/>
      <w:r w:rsidR="003B05E5" w:rsidRPr="00D061FA">
        <w:rPr>
          <w:rFonts w:ascii="WP TypographicSymbols" w:hAnsi="WP TypographicSymbols"/>
          <w:b/>
          <w:bCs/>
          <w:color w:val="000000"/>
          <w:sz w:val="15"/>
          <w:szCs w:val="15"/>
        </w:rPr>
        <w:t>A</w:t>
      </w:r>
      <w:r w:rsidR="003B05E5" w:rsidRPr="00D061FA">
        <w:rPr>
          <w:rFonts w:ascii="Arial" w:hAnsi="Arial" w:cs="Arial"/>
          <w:b/>
          <w:bCs/>
          <w:color w:val="000000"/>
          <w:sz w:val="15"/>
          <w:szCs w:val="15"/>
        </w:rPr>
        <w:t>Successes</w:t>
      </w:r>
      <w:proofErr w:type="spellEnd"/>
      <w:r w:rsidR="003B05E5" w:rsidRPr="00D061FA">
        <w:rPr>
          <w:rFonts w:ascii="WP TypographicSymbols" w:hAnsi="WP TypographicSymbols"/>
          <w:b/>
          <w:bCs/>
          <w:color w:val="000000"/>
          <w:sz w:val="15"/>
          <w:szCs w:val="15"/>
        </w:rPr>
        <w:t>@</w:t>
      </w:r>
      <w:r w:rsidR="003B05E5" w:rsidRPr="00D061FA">
        <w:rPr>
          <w:rFonts w:ascii="Arial" w:hAnsi="Arial" w:cs="Arial"/>
          <w:b/>
          <w:bCs/>
          <w:color w:val="000000"/>
          <w:sz w:val="15"/>
          <w:szCs w:val="15"/>
        </w:rPr>
        <w:t>/Challenges</w:t>
      </w:r>
      <w:r w:rsidR="003B05E5" w:rsidRPr="00D061FA">
        <w:rPr>
          <w:rFonts w:ascii="Arial" w:hAnsi="Arial" w:cs="Arial"/>
          <w:color w:val="000000"/>
          <w:sz w:val="15"/>
          <w:szCs w:val="15"/>
        </w:rPr>
        <w:t xml:space="preserve"> provides an overall view of the Division</w:t>
      </w:r>
      <w:r w:rsidR="003B05E5" w:rsidRPr="00D061FA">
        <w:rPr>
          <w:color w:val="000000"/>
          <w:sz w:val="15"/>
          <w:szCs w:val="15"/>
        </w:rPr>
        <w:t>’</w:t>
      </w:r>
      <w:r w:rsidR="003B05E5" w:rsidRPr="00D061FA">
        <w:rPr>
          <w:rFonts w:ascii="Arial" w:hAnsi="Arial" w:cs="Arial"/>
          <w:color w:val="000000"/>
          <w:sz w:val="15"/>
          <w:szCs w:val="15"/>
        </w:rPr>
        <w:t xml:space="preserve">s record, looking at situations where the Division determines there to be anticompetitive issues and noting our </w:t>
      </w:r>
      <w:proofErr w:type="spellStart"/>
      <w:r w:rsidR="003B05E5" w:rsidRPr="00D061FA">
        <w:rPr>
          <w:rFonts w:ascii="WP TypographicSymbols" w:hAnsi="WP TypographicSymbols"/>
          <w:color w:val="000000"/>
          <w:sz w:val="15"/>
          <w:szCs w:val="15"/>
        </w:rPr>
        <w:t>A</w:t>
      </w:r>
      <w:r w:rsidR="003B05E5" w:rsidRPr="00D061FA">
        <w:rPr>
          <w:rFonts w:ascii="Arial" w:hAnsi="Arial" w:cs="Arial"/>
          <w:color w:val="000000"/>
          <w:sz w:val="15"/>
          <w:szCs w:val="15"/>
        </w:rPr>
        <w:t>success</w:t>
      </w:r>
      <w:proofErr w:type="spellEnd"/>
      <w:r w:rsidR="003B05E5" w:rsidRPr="00D061FA">
        <w:rPr>
          <w:rFonts w:ascii="Arial" w:hAnsi="Arial" w:cs="Arial"/>
          <w:color w:val="000000"/>
          <w:sz w:val="15"/>
          <w:szCs w:val="15"/>
        </w:rPr>
        <w:t xml:space="preserve"> rate</w:t>
      </w:r>
      <w:r w:rsidR="003B05E5" w:rsidRPr="00D061FA">
        <w:rPr>
          <w:rFonts w:ascii="WP TypographicSymbols" w:hAnsi="WP TypographicSymbols"/>
          <w:color w:val="000000"/>
          <w:sz w:val="15"/>
          <w:szCs w:val="15"/>
        </w:rPr>
        <w:t>@</w:t>
      </w:r>
      <w:r w:rsidR="003B05E5" w:rsidRPr="00D061FA">
        <w:rPr>
          <w:rFonts w:ascii="Arial" w:hAnsi="Arial" w:cs="Arial"/>
          <w:color w:val="000000"/>
          <w:sz w:val="15"/>
          <w:szCs w:val="15"/>
        </w:rPr>
        <w:t xml:space="preserve"> in the outcomes for those situations.  A success in this context may be any one of the positive outcomes that includes the Number of Mergers Abandoned Due to Division Actions Before Compulsory Process Initiated, Number of Mergers Abandoned Due to Division Actions After Compulsory Process Initiated Without Case Filed, Number of Mergers </w:t>
      </w:r>
      <w:proofErr w:type="spellStart"/>
      <w:r w:rsidR="003B05E5" w:rsidRPr="00D061FA">
        <w:rPr>
          <w:rFonts w:ascii="WP TypographicSymbols" w:hAnsi="WP TypographicSymbols"/>
          <w:color w:val="000000"/>
          <w:sz w:val="15"/>
          <w:szCs w:val="15"/>
        </w:rPr>
        <w:t>A</w:t>
      </w:r>
      <w:r w:rsidR="003B05E5" w:rsidRPr="00D061FA">
        <w:rPr>
          <w:rFonts w:ascii="Arial" w:hAnsi="Arial" w:cs="Arial"/>
          <w:color w:val="000000"/>
          <w:sz w:val="15"/>
          <w:szCs w:val="15"/>
        </w:rPr>
        <w:t>Fixed</w:t>
      </w:r>
      <w:proofErr w:type="spellEnd"/>
      <w:r w:rsidR="003B05E5" w:rsidRPr="00D061FA">
        <w:rPr>
          <w:rFonts w:ascii="Arial" w:hAnsi="Arial" w:cs="Arial"/>
          <w:color w:val="000000"/>
          <w:sz w:val="15"/>
          <w:szCs w:val="15"/>
        </w:rPr>
        <w:t xml:space="preserve"> First</w:t>
      </w:r>
      <w:r w:rsidR="003B05E5" w:rsidRPr="00D061FA">
        <w:rPr>
          <w:rFonts w:ascii="WP TypographicSymbols" w:hAnsi="WP TypographicSymbols"/>
          <w:color w:val="000000"/>
          <w:sz w:val="15"/>
          <w:szCs w:val="15"/>
        </w:rPr>
        <w:t>@</w:t>
      </w:r>
      <w:r w:rsidR="003B05E5" w:rsidRPr="00D061FA">
        <w:rPr>
          <w:rFonts w:ascii="Arial" w:hAnsi="Arial" w:cs="Arial"/>
          <w:color w:val="000000"/>
          <w:sz w:val="15"/>
          <w:szCs w:val="15"/>
        </w:rPr>
        <w:t xml:space="preserve"> without Case Filed, Number of Mergers Cases Filed with Consent Decree, Number of Merger Cases Filed but Resolved Prior to Conclusion of Trial, and Number of Merger Cases Litigated Successfully to Judgment with No Pending Appeals.  </w:t>
      </w:r>
      <w:r w:rsidR="003B05E5"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r w:rsidR="003B05E5" w:rsidRPr="00D061FA">
        <w:rPr>
          <w:rFonts w:ascii="Arial" w:hAnsi="Arial" w:cs="Arial"/>
          <w:color w:val="000000"/>
          <w:sz w:val="15"/>
          <w:szCs w:val="15"/>
        </w:rPr>
        <w:t xml:space="preserve">  </w:t>
      </w:r>
    </w:p>
    <w:p w:rsidR="003B05E5" w:rsidRPr="00D061FA" w:rsidRDefault="003B05E5">
      <w:pPr>
        <w:keepNext/>
        <w:keepLines/>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2960"/>
        </w:tabs>
        <w:jc w:val="both"/>
        <w:rPr>
          <w:rFonts w:ascii="Arial" w:hAnsi="Arial" w:cs="Arial"/>
          <w:color w:val="000000"/>
          <w:sz w:val="15"/>
          <w:szCs w:val="15"/>
        </w:rPr>
      </w:pPr>
    </w:p>
    <w:p w:rsidR="003B05E5" w:rsidRDefault="003B05E5">
      <w:pPr>
        <w:rPr>
          <w:rFonts w:ascii="Arial" w:hAnsi="Arial" w:cs="Arial"/>
          <w:b/>
          <w:bCs/>
          <w:color w:val="000000"/>
          <w:sz w:val="15"/>
          <w:szCs w:val="15"/>
        </w:rPr>
      </w:pPr>
      <w:r w:rsidRPr="00D061FA">
        <w:rPr>
          <w:rFonts w:ascii="Arial" w:hAnsi="Arial" w:cs="Arial"/>
          <w:b/>
          <w:bCs/>
          <w:color w:val="000000"/>
          <w:sz w:val="15"/>
          <w:szCs w:val="15"/>
        </w:rPr>
        <w:t>Matters Challenged Where the Division Expressed Concern</w:t>
      </w:r>
      <w:r w:rsidRPr="00D061FA">
        <w:rPr>
          <w:rFonts w:ascii="Arial" w:hAnsi="Arial" w:cs="Arial"/>
          <w:color w:val="000000"/>
          <w:sz w:val="15"/>
          <w:szCs w:val="15"/>
        </w:rPr>
        <w:t xml:space="preserve"> include those in which: a complaint has been filed; the subject or target of an investigation has been informed that the Assistant Attorney General (AAG) has authorized the filing of a complaint; the subject or target of an investigation has been informed that the staff is recommending that a complaint be filed, and the subject or target changes its practices in a way that causes the matter to be closed before the AAG makes a decision whether to file a complaint; or the subject or target of an investigation has been informed that the staff has serious concerns about the practice, and the subject or target changes its practices in a way that causes the matter to be closed before the staff makes a recommendation to file a complaint.  </w:t>
      </w:r>
      <w:r w:rsidRPr="00D061FA">
        <w:rPr>
          <w:rFonts w:ascii="Arial" w:hAnsi="Arial" w:cs="Arial"/>
          <w:b/>
          <w:bCs/>
          <w:color w:val="000000"/>
          <w:sz w:val="15"/>
          <w:szCs w:val="15"/>
        </w:rPr>
        <w:t>This measure is part of a consolidated DOJ litigating component data element and actual performance is reported as a consolidated measure in the annual Performance &amp; Accountability Report.</w:t>
      </w:r>
    </w:p>
    <w:p w:rsidR="003B05E5" w:rsidRDefault="003B05E5">
      <w:pPr>
        <w:rPr>
          <w:rFonts w:ascii="Arial" w:hAnsi="Arial" w:cs="Arial"/>
          <w:b/>
          <w:bCs/>
          <w:color w:val="0000FF"/>
          <w:sz w:val="22"/>
          <w:szCs w:val="15"/>
        </w:rPr>
        <w:sectPr w:rsidR="003B05E5" w:rsidSect="0054642A">
          <w:endnotePr>
            <w:numFmt w:val="decimal"/>
          </w:endnotePr>
          <w:pgSz w:w="15840" w:h="12240" w:orient="landscape" w:code="1"/>
          <w:pgMar w:top="1440" w:right="1440" w:bottom="576" w:left="1440" w:header="0" w:footer="720" w:gutter="0"/>
          <w:cols w:space="720"/>
          <w:noEndnote/>
        </w:sectPr>
      </w:pPr>
    </w:p>
    <w:tbl>
      <w:tblPr>
        <w:tblpPr w:leftFromText="187" w:rightFromText="187" w:vertAnchor="page" w:horzAnchor="page" w:tblpXSpec="center" w:tblpYSpec="center"/>
        <w:tblW w:w="0" w:type="auto"/>
        <w:tblCellMar>
          <w:left w:w="115" w:type="dxa"/>
          <w:right w:w="115" w:type="dxa"/>
        </w:tblCellMar>
        <w:tblLook w:val="04A0"/>
      </w:tblPr>
      <w:tblGrid>
        <w:gridCol w:w="1816"/>
        <w:gridCol w:w="2601"/>
        <w:gridCol w:w="898"/>
        <w:gridCol w:w="835"/>
        <w:gridCol w:w="835"/>
        <w:gridCol w:w="835"/>
        <w:gridCol w:w="835"/>
        <w:gridCol w:w="898"/>
        <w:gridCol w:w="913"/>
        <w:gridCol w:w="898"/>
        <w:gridCol w:w="913"/>
        <w:gridCol w:w="913"/>
      </w:tblGrid>
      <w:tr w:rsidR="004F06E1" w:rsidRPr="00BB3F74" w:rsidTr="007E1A55">
        <w:trPr>
          <w:trHeight w:val="388"/>
        </w:trPr>
        <w:tc>
          <w:tcPr>
            <w:tcW w:w="0" w:type="auto"/>
            <w:gridSpan w:val="12"/>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 Report - Historical Data</w:t>
            </w:r>
          </w:p>
        </w:tc>
      </w:tr>
      <w:tr w:rsidR="004F06E1" w:rsidRPr="00BB3F74" w:rsidTr="007E1A55">
        <w:trPr>
          <w:trHeight w:val="388"/>
        </w:trPr>
        <w:tc>
          <w:tcPr>
            <w:tcW w:w="0" w:type="auto"/>
            <w:gridSpan w:val="12"/>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4F06E1" w:rsidRPr="00BB3F74" w:rsidRDefault="004F06E1" w:rsidP="007E1A55">
            <w:pPr>
              <w:widowControl/>
              <w:autoSpaceDE/>
              <w:autoSpaceDN/>
              <w:adjustRightInd/>
              <w:ind w:left="270" w:hanging="270"/>
              <w:rPr>
                <w:rFonts w:ascii="Arial" w:hAnsi="Arial" w:cs="Arial"/>
                <w:b/>
                <w:bCs/>
                <w:sz w:val="16"/>
                <w:szCs w:val="16"/>
              </w:rPr>
            </w:pPr>
            <w:r w:rsidRPr="00BB3F74">
              <w:rPr>
                <w:rFonts w:ascii="Arial" w:hAnsi="Arial" w:cs="Arial"/>
                <w:b/>
                <w:bCs/>
                <w:sz w:val="16"/>
                <w:szCs w:val="16"/>
              </w:rPr>
              <w:t>Decision Unit: Antitrust</w:t>
            </w:r>
          </w:p>
        </w:tc>
      </w:tr>
      <w:tr w:rsidR="004F06E1" w:rsidRPr="00BB3F74" w:rsidTr="007E1A55">
        <w:trPr>
          <w:trHeight w:val="292"/>
        </w:trPr>
        <w:tc>
          <w:tcPr>
            <w:tcW w:w="0" w:type="auto"/>
            <w:gridSpan w:val="2"/>
            <w:vMerge w:val="restart"/>
            <w:tcBorders>
              <w:top w:val="single" w:sz="4" w:space="0" w:color="auto"/>
              <w:left w:val="single" w:sz="12" w:space="0" w:color="auto"/>
              <w:bottom w:val="single" w:sz="4" w:space="0" w:color="000000"/>
              <w:right w:val="single" w:sz="4" w:space="0" w:color="000000"/>
            </w:tcBorders>
            <w:shd w:val="clear" w:color="auto" w:fill="auto"/>
            <w:noWrap/>
            <w:vAlign w:val="center"/>
            <w:hideMark/>
          </w:tcPr>
          <w:p w:rsidR="004F06E1" w:rsidRPr="007E1A55" w:rsidRDefault="004F06E1" w:rsidP="007E1A55">
            <w:pPr>
              <w:widowControl/>
              <w:autoSpaceDE/>
              <w:autoSpaceDN/>
              <w:adjustRightInd/>
              <w:jc w:val="center"/>
              <w:rPr>
                <w:rFonts w:ascii="Arial" w:hAnsi="Arial" w:cs="Arial"/>
                <w:b/>
                <w:bCs/>
                <w:sz w:val="16"/>
                <w:szCs w:val="16"/>
              </w:rPr>
            </w:pPr>
            <w:r w:rsidRPr="007E1A55">
              <w:rPr>
                <w:rFonts w:ascii="Arial" w:hAnsi="Arial" w:cs="Arial"/>
                <w:b/>
                <w:bCs/>
                <w:sz w:val="16"/>
                <w:szCs w:val="16"/>
              </w:rPr>
              <w:t>Performance Report and Performance Plan Targets</w:t>
            </w:r>
          </w:p>
        </w:tc>
        <w:tc>
          <w:tcPr>
            <w:tcW w:w="0" w:type="auto"/>
            <w:tcBorders>
              <w:top w:val="nil"/>
              <w:left w:val="nil"/>
              <w:bottom w:val="single" w:sz="4" w:space="0" w:color="auto"/>
              <w:right w:val="single" w:sz="4"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Pr>
                <w:rFonts w:ascii="Arial" w:hAnsi="Arial" w:cs="Arial"/>
                <w:b/>
                <w:bCs/>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Pr>
                <w:rFonts w:ascii="Arial" w:hAnsi="Arial" w:cs="Arial"/>
                <w:b/>
                <w:bCs/>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Pr>
                <w:rFonts w:ascii="Arial" w:hAnsi="Arial" w:cs="Arial"/>
                <w:b/>
                <w:bCs/>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200</w:t>
            </w:r>
            <w:r>
              <w:rPr>
                <w:rFonts w:ascii="Arial" w:hAnsi="Arial" w:cs="Arial"/>
                <w:b/>
                <w:bCs/>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w:t>
            </w:r>
            <w:r>
              <w:rPr>
                <w:rFonts w:ascii="Arial" w:hAnsi="Arial" w:cs="Arial"/>
                <w:b/>
                <w:bCs/>
                <w:sz w:val="16"/>
                <w:szCs w:val="16"/>
              </w:rPr>
              <w:t>10</w:t>
            </w:r>
          </w:p>
        </w:tc>
        <w:tc>
          <w:tcPr>
            <w:tcW w:w="0" w:type="auto"/>
            <w:tcBorders>
              <w:top w:val="nil"/>
              <w:left w:val="nil"/>
              <w:bottom w:val="single" w:sz="4" w:space="0" w:color="auto"/>
              <w:right w:val="single" w:sz="4" w:space="0" w:color="000000"/>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w:t>
            </w:r>
            <w:r>
              <w:rPr>
                <w:rFonts w:ascii="Arial" w:hAnsi="Arial" w:cs="Arial"/>
                <w:b/>
                <w:bCs/>
                <w:sz w:val="16"/>
                <w:szCs w:val="16"/>
              </w:rPr>
              <w:t>11</w:t>
            </w:r>
          </w:p>
        </w:tc>
        <w:tc>
          <w:tcPr>
            <w:tcW w:w="0" w:type="auto"/>
            <w:gridSpan w:val="2"/>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201</w:t>
            </w:r>
            <w:r>
              <w:rPr>
                <w:rFonts w:ascii="Arial" w:hAnsi="Arial" w:cs="Arial"/>
                <w:b/>
                <w:bCs/>
                <w:sz w:val="16"/>
                <w:szCs w:val="16"/>
              </w:rPr>
              <w:t>2</w:t>
            </w:r>
          </w:p>
        </w:tc>
        <w:tc>
          <w:tcPr>
            <w:tcW w:w="0" w:type="auto"/>
            <w:tcBorders>
              <w:top w:val="nil"/>
              <w:left w:val="nil"/>
              <w:bottom w:val="single" w:sz="4" w:space="0" w:color="auto"/>
              <w:right w:val="nil"/>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201</w:t>
            </w:r>
            <w:r>
              <w:rPr>
                <w:rFonts w:ascii="Arial" w:hAnsi="Arial" w:cs="Arial"/>
                <w:b/>
                <w:bCs/>
                <w:sz w:val="16"/>
                <w:szCs w:val="16"/>
              </w:rPr>
              <w:t>3</w:t>
            </w:r>
          </w:p>
        </w:tc>
        <w:tc>
          <w:tcPr>
            <w:tcW w:w="0" w:type="auto"/>
            <w:tcBorders>
              <w:top w:val="nil"/>
              <w:left w:val="single" w:sz="4" w:space="0" w:color="auto"/>
              <w:bottom w:val="single" w:sz="4" w:space="0" w:color="auto"/>
              <w:right w:val="single" w:sz="12"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FY 201</w:t>
            </w:r>
            <w:r>
              <w:rPr>
                <w:rFonts w:ascii="Arial" w:hAnsi="Arial" w:cs="Arial"/>
                <w:b/>
                <w:bCs/>
                <w:sz w:val="16"/>
                <w:szCs w:val="16"/>
              </w:rPr>
              <w:t>4</w:t>
            </w:r>
          </w:p>
        </w:tc>
      </w:tr>
      <w:tr w:rsidR="004F06E1" w:rsidRPr="00BB3F74" w:rsidTr="000C4E41">
        <w:trPr>
          <w:trHeight w:val="305"/>
        </w:trPr>
        <w:tc>
          <w:tcPr>
            <w:tcW w:w="0" w:type="auto"/>
            <w:gridSpan w:val="2"/>
            <w:vMerge/>
            <w:tcBorders>
              <w:top w:val="single" w:sz="4" w:space="0" w:color="auto"/>
              <w:left w:val="single" w:sz="12" w:space="0" w:color="auto"/>
              <w:bottom w:val="single" w:sz="4" w:space="0" w:color="000000"/>
              <w:right w:val="single" w:sz="4" w:space="0" w:color="000000"/>
            </w:tcBorders>
            <w:vAlign w:val="center"/>
            <w:hideMark/>
          </w:tcPr>
          <w:p w:rsidR="004F06E1" w:rsidRPr="00BB3F74" w:rsidRDefault="004F06E1" w:rsidP="007E1A55">
            <w:pPr>
              <w:widowControl/>
              <w:autoSpaceDE/>
              <w:autoSpaceDN/>
              <w:adjustRightInd/>
              <w:rPr>
                <w:rFonts w:ascii="Arial" w:hAnsi="Arial" w:cs="Arial"/>
                <w:b/>
                <w:bCs/>
                <w:sz w:val="16"/>
                <w:szCs w:val="16"/>
              </w:rPr>
            </w:pP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c>
          <w:tcPr>
            <w:tcW w:w="0" w:type="auto"/>
            <w:tcBorders>
              <w:top w:val="nil"/>
              <w:left w:val="nil"/>
              <w:bottom w:val="single" w:sz="4" w:space="0" w:color="auto"/>
              <w:right w:val="nil"/>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Actual</w:t>
            </w:r>
          </w:p>
        </w:tc>
        <w:tc>
          <w:tcPr>
            <w:tcW w:w="0" w:type="auto"/>
            <w:tcBorders>
              <w:top w:val="nil"/>
              <w:left w:val="single" w:sz="4" w:space="0" w:color="auto"/>
              <w:bottom w:val="single" w:sz="4" w:space="0" w:color="auto"/>
              <w:right w:val="nil"/>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c>
          <w:tcPr>
            <w:tcW w:w="0" w:type="auto"/>
            <w:tcBorders>
              <w:top w:val="nil"/>
              <w:left w:val="single" w:sz="4" w:space="0" w:color="auto"/>
              <w:bottom w:val="single" w:sz="4" w:space="0" w:color="auto"/>
              <w:right w:val="single" w:sz="12"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Target</w:t>
            </w:r>
          </w:p>
        </w:tc>
      </w:tr>
      <w:tr w:rsidR="004F06E1" w:rsidRPr="00BB3F74" w:rsidTr="000C4E41">
        <w:trPr>
          <w:trHeight w:val="632"/>
        </w:trPr>
        <w:tc>
          <w:tcPr>
            <w:tcW w:w="0" w:type="auto"/>
            <w:tcBorders>
              <w:top w:val="nil"/>
              <w:left w:val="single" w:sz="12" w:space="0" w:color="auto"/>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 xml:space="preserve">Performance Measure:  </w:t>
            </w:r>
            <w:r w:rsidRPr="00BB3F74">
              <w:rPr>
                <w:rFonts w:ascii="Arial" w:hAnsi="Arial" w:cs="Arial"/>
                <w:b/>
                <w:bCs/>
                <w:sz w:val="16"/>
                <w:szCs w:val="16"/>
              </w:rPr>
              <w:br/>
              <w:t>Criminal</w:t>
            </w:r>
          </w:p>
        </w:tc>
        <w:tc>
          <w:tcPr>
            <w:tcW w:w="0" w:type="auto"/>
            <w:tcBorders>
              <w:top w:val="nil"/>
              <w:left w:val="nil"/>
              <w:bottom w:val="single" w:sz="4" w:space="0" w:color="auto"/>
              <w:right w:val="single" w:sz="4" w:space="0" w:color="auto"/>
            </w:tcBorders>
            <w:vAlign w:val="center"/>
            <w:hideMark/>
          </w:tcPr>
          <w:p w:rsidR="004F06E1" w:rsidRPr="00BB3F74" w:rsidRDefault="004F06E1" w:rsidP="007E1A55">
            <w:pPr>
              <w:widowControl/>
              <w:autoSpaceDE/>
              <w:autoSpaceDN/>
              <w:adjustRightInd/>
              <w:rPr>
                <w:rFonts w:ascii="Arial" w:hAnsi="Arial" w:cs="Arial"/>
                <w:sz w:val="16"/>
                <w:szCs w:val="16"/>
              </w:rPr>
            </w:pPr>
            <w:r w:rsidRPr="00BB3F74">
              <w:rPr>
                <w:rFonts w:ascii="Arial" w:hAnsi="Arial" w:cs="Arial"/>
                <w:sz w:val="16"/>
                <w:szCs w:val="16"/>
              </w:rPr>
              <w:t>Number of Active Grand Juries</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1</w:t>
            </w:r>
            <w:r>
              <w:rPr>
                <w:rFonts w:ascii="Arial" w:hAnsi="Arial" w:cs="Arial"/>
                <w:sz w:val="16"/>
                <w:szCs w:val="16"/>
              </w:rPr>
              <w:t>52</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1</w:t>
            </w:r>
            <w:r>
              <w:rPr>
                <w:rFonts w:ascii="Arial" w:hAnsi="Arial" w:cs="Arial"/>
                <w:sz w:val="16"/>
                <w:szCs w:val="16"/>
              </w:rPr>
              <w:t>41</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1</w:t>
            </w:r>
            <w:r>
              <w:rPr>
                <w:rFonts w:ascii="Arial" w:hAnsi="Arial" w:cs="Arial"/>
                <w:sz w:val="16"/>
                <w:szCs w:val="16"/>
              </w:rPr>
              <w:t>67</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1</w:t>
            </w:r>
            <w:r>
              <w:rPr>
                <w:rFonts w:ascii="Arial" w:hAnsi="Arial" w:cs="Arial"/>
                <w:sz w:val="16"/>
                <w:szCs w:val="16"/>
              </w:rPr>
              <w:t>75</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1</w:t>
            </w:r>
            <w:r>
              <w:rPr>
                <w:rFonts w:ascii="Arial" w:hAnsi="Arial" w:cs="Arial"/>
                <w:sz w:val="16"/>
                <w:szCs w:val="16"/>
              </w:rPr>
              <w:t>68</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141</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95</w:t>
            </w:r>
          </w:p>
        </w:tc>
        <w:tc>
          <w:tcPr>
            <w:tcW w:w="0" w:type="auto"/>
            <w:tcBorders>
              <w:top w:val="nil"/>
              <w:left w:val="nil"/>
              <w:bottom w:val="single" w:sz="4" w:space="0" w:color="auto"/>
              <w:right w:val="nil"/>
            </w:tcBorders>
            <w:shd w:val="clear" w:color="auto" w:fill="auto"/>
            <w:noWrap/>
            <w:vAlign w:val="center"/>
            <w:hideMark/>
          </w:tcPr>
          <w:p w:rsidR="004F06E1" w:rsidRPr="00BB3F74" w:rsidRDefault="005D06B1" w:rsidP="007E1A55">
            <w:pPr>
              <w:widowControl/>
              <w:autoSpaceDE/>
              <w:autoSpaceDN/>
              <w:adjustRightInd/>
              <w:jc w:val="center"/>
              <w:rPr>
                <w:rFonts w:ascii="Arial" w:hAnsi="Arial" w:cs="Arial"/>
                <w:sz w:val="16"/>
                <w:szCs w:val="16"/>
              </w:rPr>
            </w:pPr>
            <w:r>
              <w:rPr>
                <w:rFonts w:ascii="Arial" w:hAnsi="Arial" w:cs="Arial"/>
                <w:sz w:val="16"/>
                <w:szCs w:val="16"/>
              </w:rPr>
              <w:t>87</w:t>
            </w:r>
            <w:r w:rsidR="004F06E1" w:rsidRPr="00BB3F74">
              <w:rPr>
                <w:rFonts w:ascii="Arial" w:hAnsi="Arial" w:cs="Arial"/>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06E1" w:rsidRPr="00BB3F74" w:rsidRDefault="005D06B1" w:rsidP="007E1A55">
            <w:pPr>
              <w:widowControl/>
              <w:autoSpaceDE/>
              <w:autoSpaceDN/>
              <w:adjustRightInd/>
              <w:jc w:val="center"/>
              <w:rPr>
                <w:rFonts w:ascii="Arial" w:hAnsi="Arial" w:cs="Arial"/>
                <w:sz w:val="16"/>
                <w:szCs w:val="16"/>
              </w:rPr>
            </w:pPr>
            <w:r>
              <w:rPr>
                <w:rFonts w:ascii="Arial" w:hAnsi="Arial" w:cs="Arial"/>
                <w:sz w:val="16"/>
                <w:szCs w:val="16"/>
              </w:rPr>
              <w:t>75</w:t>
            </w:r>
          </w:p>
        </w:tc>
        <w:tc>
          <w:tcPr>
            <w:tcW w:w="0" w:type="auto"/>
            <w:tcBorders>
              <w:top w:val="nil"/>
              <w:left w:val="nil"/>
              <w:bottom w:val="single" w:sz="4" w:space="0" w:color="auto"/>
              <w:right w:val="single" w:sz="12" w:space="0" w:color="auto"/>
            </w:tcBorders>
            <w:shd w:val="clear" w:color="auto" w:fill="auto"/>
            <w:noWrap/>
            <w:vAlign w:val="center"/>
            <w:hideMark/>
          </w:tcPr>
          <w:p w:rsidR="004F06E1" w:rsidRPr="00BB3F74" w:rsidRDefault="005D06B1" w:rsidP="007E1A55">
            <w:pPr>
              <w:widowControl/>
              <w:autoSpaceDE/>
              <w:autoSpaceDN/>
              <w:adjustRightInd/>
              <w:jc w:val="center"/>
              <w:rPr>
                <w:rFonts w:ascii="Arial" w:hAnsi="Arial" w:cs="Arial"/>
                <w:sz w:val="16"/>
                <w:szCs w:val="16"/>
              </w:rPr>
            </w:pPr>
            <w:r>
              <w:rPr>
                <w:rFonts w:ascii="Arial" w:hAnsi="Arial" w:cs="Arial"/>
                <w:sz w:val="16"/>
                <w:szCs w:val="16"/>
              </w:rPr>
              <w:t>7</w:t>
            </w:r>
            <w:r w:rsidR="004F06E1" w:rsidRPr="00BB3F74">
              <w:rPr>
                <w:rFonts w:ascii="Arial" w:hAnsi="Arial" w:cs="Arial"/>
                <w:sz w:val="16"/>
                <w:szCs w:val="16"/>
              </w:rPr>
              <w:t>5</w:t>
            </w:r>
          </w:p>
        </w:tc>
      </w:tr>
      <w:tr w:rsidR="004F06E1" w:rsidRPr="00BB3F74" w:rsidTr="000C4E41">
        <w:trPr>
          <w:trHeight w:val="745"/>
        </w:trPr>
        <w:tc>
          <w:tcPr>
            <w:tcW w:w="0" w:type="auto"/>
            <w:tcBorders>
              <w:top w:val="nil"/>
              <w:left w:val="single" w:sz="12" w:space="0" w:color="auto"/>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 xml:space="preserve">Performance Measure:  </w:t>
            </w:r>
            <w:r w:rsidRPr="00BB3F74">
              <w:rPr>
                <w:rFonts w:ascii="Arial" w:hAnsi="Arial" w:cs="Arial"/>
                <w:b/>
                <w:bCs/>
                <w:sz w:val="16"/>
                <w:szCs w:val="16"/>
              </w:rPr>
              <w:br/>
              <w:t>Criminal</w:t>
            </w:r>
          </w:p>
        </w:tc>
        <w:tc>
          <w:tcPr>
            <w:tcW w:w="0" w:type="auto"/>
            <w:tcBorders>
              <w:top w:val="nil"/>
              <w:left w:val="nil"/>
              <w:bottom w:val="single" w:sz="4" w:space="0" w:color="auto"/>
              <w:right w:val="single" w:sz="4" w:space="0" w:color="auto"/>
            </w:tcBorders>
            <w:vAlign w:val="center"/>
            <w:hideMark/>
          </w:tcPr>
          <w:p w:rsidR="004F06E1" w:rsidRPr="00BB3F74" w:rsidRDefault="004F06E1" w:rsidP="007E1A55">
            <w:pPr>
              <w:widowControl/>
              <w:autoSpaceDE/>
              <w:autoSpaceDN/>
              <w:adjustRightInd/>
              <w:rPr>
                <w:rFonts w:ascii="Arial" w:hAnsi="Arial" w:cs="Arial"/>
                <w:sz w:val="16"/>
                <w:szCs w:val="16"/>
              </w:rPr>
            </w:pPr>
            <w:r w:rsidRPr="00BB3F74">
              <w:rPr>
                <w:rFonts w:ascii="Arial" w:hAnsi="Arial" w:cs="Arial"/>
                <w:sz w:val="16"/>
                <w:szCs w:val="16"/>
              </w:rPr>
              <w:t>Dollar Volume of U.S. Commerce Affected in Relevant Markets Where Pleas/Cases Favorably Resolved ($ in millions)</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550</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5,612</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210</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6,056</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502</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2,486.4</w:t>
            </w:r>
          </w:p>
        </w:tc>
        <w:tc>
          <w:tcPr>
            <w:tcW w:w="0" w:type="auto"/>
            <w:tcBorders>
              <w:top w:val="nil"/>
              <w:left w:val="nil"/>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0" w:type="auto"/>
            <w:tcBorders>
              <w:top w:val="single" w:sz="4" w:space="0" w:color="auto"/>
              <w:left w:val="nil"/>
              <w:bottom w:val="single" w:sz="4" w:space="0" w:color="auto"/>
              <w:right w:val="nil"/>
            </w:tcBorders>
            <w:shd w:val="clear" w:color="auto" w:fill="auto"/>
            <w:vAlign w:val="center"/>
            <w:hideMark/>
          </w:tcPr>
          <w:p w:rsidR="004F06E1" w:rsidRPr="00BB3F74" w:rsidRDefault="00B87F98" w:rsidP="007E1A55">
            <w:pPr>
              <w:widowControl/>
              <w:autoSpaceDE/>
              <w:autoSpaceDN/>
              <w:adjustRightInd/>
              <w:jc w:val="center"/>
              <w:rPr>
                <w:rFonts w:ascii="Arial" w:hAnsi="Arial" w:cs="Arial"/>
                <w:sz w:val="16"/>
                <w:szCs w:val="16"/>
              </w:rPr>
            </w:pPr>
            <w:r>
              <w:rPr>
                <w:rFonts w:ascii="Arial" w:hAnsi="Arial" w:cs="Arial"/>
                <w:sz w:val="16"/>
                <w:szCs w:val="16"/>
              </w:rPr>
              <w:t>$4,469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0" w:type="auto"/>
            <w:tcBorders>
              <w:top w:val="nil"/>
              <w:left w:val="nil"/>
              <w:bottom w:val="single" w:sz="4" w:space="0" w:color="auto"/>
              <w:right w:val="single" w:sz="12" w:space="0" w:color="auto"/>
            </w:tcBorders>
            <w:shd w:val="clear" w:color="auto" w:fill="auto"/>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4F06E1" w:rsidRPr="00BB3F74" w:rsidTr="000C4E41">
        <w:trPr>
          <w:trHeight w:val="643"/>
        </w:trPr>
        <w:tc>
          <w:tcPr>
            <w:tcW w:w="0" w:type="auto"/>
            <w:tcBorders>
              <w:top w:val="nil"/>
              <w:left w:val="single" w:sz="12" w:space="0" w:color="auto"/>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Merger</w:t>
            </w:r>
          </w:p>
        </w:tc>
        <w:tc>
          <w:tcPr>
            <w:tcW w:w="0" w:type="auto"/>
            <w:tcBorders>
              <w:top w:val="nil"/>
              <w:left w:val="nil"/>
              <w:bottom w:val="single" w:sz="4" w:space="0" w:color="auto"/>
              <w:right w:val="single" w:sz="4" w:space="0" w:color="auto"/>
            </w:tcBorders>
            <w:vAlign w:val="center"/>
            <w:hideMark/>
          </w:tcPr>
          <w:p w:rsidR="004F06E1" w:rsidRPr="00BB3F74" w:rsidRDefault="004F06E1" w:rsidP="007E1A55">
            <w:pPr>
              <w:widowControl/>
              <w:autoSpaceDE/>
              <w:autoSpaceDN/>
              <w:adjustRightInd/>
              <w:rPr>
                <w:rFonts w:ascii="Arial" w:hAnsi="Arial" w:cs="Arial"/>
                <w:sz w:val="16"/>
                <w:szCs w:val="16"/>
              </w:rPr>
            </w:pPr>
            <w:r w:rsidRPr="00BB3F74">
              <w:rPr>
                <w:rFonts w:ascii="Arial" w:hAnsi="Arial" w:cs="Arial"/>
                <w:sz w:val="16"/>
                <w:szCs w:val="16"/>
              </w:rPr>
              <w:t>Number of Preliminary Inquiries Opened</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96</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101</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85</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65</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64</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90</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1</w:t>
            </w:r>
            <w:r>
              <w:rPr>
                <w:rFonts w:ascii="Arial" w:hAnsi="Arial" w:cs="Arial"/>
                <w:sz w:val="16"/>
                <w:szCs w:val="16"/>
              </w:rPr>
              <w:t>10</w:t>
            </w:r>
          </w:p>
        </w:tc>
        <w:tc>
          <w:tcPr>
            <w:tcW w:w="0" w:type="auto"/>
            <w:tcBorders>
              <w:top w:val="single" w:sz="4" w:space="0" w:color="auto"/>
              <w:left w:val="nil"/>
              <w:bottom w:val="single" w:sz="4" w:space="0" w:color="auto"/>
              <w:right w:val="nil"/>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 </w:t>
            </w:r>
            <w:r w:rsidR="00B87F98">
              <w:rPr>
                <w:rFonts w:ascii="Arial" w:hAnsi="Arial" w:cs="Arial"/>
                <w:sz w:val="16"/>
                <w:szCs w:val="16"/>
              </w:rPr>
              <w:t>74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06E1" w:rsidRPr="00BB3F74" w:rsidRDefault="00B87F98" w:rsidP="007E1A55">
            <w:pPr>
              <w:widowControl/>
              <w:autoSpaceDE/>
              <w:autoSpaceDN/>
              <w:adjustRightInd/>
              <w:jc w:val="center"/>
              <w:rPr>
                <w:rFonts w:ascii="Arial" w:hAnsi="Arial" w:cs="Arial"/>
                <w:sz w:val="16"/>
                <w:szCs w:val="16"/>
              </w:rPr>
            </w:pPr>
            <w:r>
              <w:rPr>
                <w:rFonts w:ascii="Arial" w:hAnsi="Arial" w:cs="Arial"/>
                <w:sz w:val="16"/>
                <w:szCs w:val="16"/>
              </w:rPr>
              <w:t>70</w:t>
            </w:r>
          </w:p>
        </w:tc>
        <w:tc>
          <w:tcPr>
            <w:tcW w:w="0" w:type="auto"/>
            <w:tcBorders>
              <w:top w:val="nil"/>
              <w:left w:val="nil"/>
              <w:bottom w:val="single" w:sz="4" w:space="0" w:color="auto"/>
              <w:right w:val="single" w:sz="12" w:space="0" w:color="auto"/>
            </w:tcBorders>
            <w:shd w:val="clear" w:color="auto" w:fill="auto"/>
            <w:noWrap/>
            <w:vAlign w:val="center"/>
            <w:hideMark/>
          </w:tcPr>
          <w:p w:rsidR="004F06E1" w:rsidRPr="00BB3F74" w:rsidRDefault="00B87F98" w:rsidP="007E1A55">
            <w:pPr>
              <w:widowControl/>
              <w:autoSpaceDE/>
              <w:autoSpaceDN/>
              <w:adjustRightInd/>
              <w:jc w:val="center"/>
              <w:rPr>
                <w:rFonts w:ascii="Arial" w:hAnsi="Arial" w:cs="Arial"/>
                <w:sz w:val="16"/>
                <w:szCs w:val="16"/>
              </w:rPr>
            </w:pPr>
            <w:r>
              <w:rPr>
                <w:rFonts w:ascii="Arial" w:hAnsi="Arial" w:cs="Arial"/>
                <w:sz w:val="16"/>
                <w:szCs w:val="16"/>
              </w:rPr>
              <w:t>70</w:t>
            </w:r>
          </w:p>
        </w:tc>
      </w:tr>
      <w:tr w:rsidR="004F06E1" w:rsidRPr="00BB3F74" w:rsidTr="000C4E41">
        <w:trPr>
          <w:trHeight w:val="632"/>
        </w:trPr>
        <w:tc>
          <w:tcPr>
            <w:tcW w:w="0" w:type="auto"/>
            <w:tcBorders>
              <w:top w:val="single" w:sz="4" w:space="0" w:color="auto"/>
              <w:left w:val="single" w:sz="12" w:space="0" w:color="auto"/>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Non-Merger</w:t>
            </w:r>
          </w:p>
        </w:tc>
        <w:tc>
          <w:tcPr>
            <w:tcW w:w="0" w:type="auto"/>
            <w:tcBorders>
              <w:top w:val="single" w:sz="4" w:space="0" w:color="auto"/>
              <w:left w:val="nil"/>
              <w:bottom w:val="single" w:sz="4" w:space="0" w:color="auto"/>
              <w:right w:val="single" w:sz="4" w:space="0" w:color="auto"/>
            </w:tcBorders>
            <w:vAlign w:val="center"/>
            <w:hideMark/>
          </w:tcPr>
          <w:p w:rsidR="004F06E1" w:rsidRPr="00BB3F74" w:rsidRDefault="004F06E1" w:rsidP="007E1A55">
            <w:pPr>
              <w:widowControl/>
              <w:autoSpaceDE/>
              <w:autoSpaceDN/>
              <w:adjustRightInd/>
              <w:rPr>
                <w:rFonts w:ascii="Arial" w:hAnsi="Arial" w:cs="Arial"/>
                <w:sz w:val="16"/>
                <w:szCs w:val="16"/>
              </w:rPr>
            </w:pPr>
            <w:r w:rsidRPr="00BB3F74">
              <w:rPr>
                <w:rFonts w:ascii="Arial" w:hAnsi="Arial" w:cs="Arial"/>
                <w:sz w:val="16"/>
                <w:szCs w:val="16"/>
              </w:rPr>
              <w:t>Number of Active Investigations</w:t>
            </w:r>
          </w:p>
        </w:tc>
        <w:tc>
          <w:tcPr>
            <w:tcW w:w="0" w:type="auto"/>
            <w:tcBorders>
              <w:top w:val="single" w:sz="4" w:space="0" w:color="auto"/>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73</w:t>
            </w:r>
          </w:p>
        </w:tc>
        <w:tc>
          <w:tcPr>
            <w:tcW w:w="0" w:type="auto"/>
            <w:tcBorders>
              <w:top w:val="single" w:sz="4" w:space="0" w:color="auto"/>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52</w:t>
            </w:r>
          </w:p>
        </w:tc>
        <w:tc>
          <w:tcPr>
            <w:tcW w:w="0" w:type="auto"/>
            <w:tcBorders>
              <w:top w:val="single" w:sz="4" w:space="0" w:color="auto"/>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57</w:t>
            </w:r>
          </w:p>
        </w:tc>
        <w:tc>
          <w:tcPr>
            <w:tcW w:w="0" w:type="auto"/>
            <w:tcBorders>
              <w:top w:val="single" w:sz="4" w:space="0" w:color="auto"/>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73</w:t>
            </w:r>
          </w:p>
        </w:tc>
        <w:tc>
          <w:tcPr>
            <w:tcW w:w="0" w:type="auto"/>
            <w:tcBorders>
              <w:top w:val="single" w:sz="4" w:space="0" w:color="auto"/>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61</w:t>
            </w:r>
          </w:p>
        </w:tc>
        <w:tc>
          <w:tcPr>
            <w:tcW w:w="0" w:type="auto"/>
            <w:tcBorders>
              <w:top w:val="single" w:sz="4" w:space="0" w:color="auto"/>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Pr>
                <w:rFonts w:ascii="Arial" w:hAnsi="Arial" w:cs="Arial"/>
                <w:sz w:val="16"/>
                <w:szCs w:val="16"/>
              </w:rPr>
              <w:t>50</w:t>
            </w:r>
          </w:p>
        </w:tc>
        <w:tc>
          <w:tcPr>
            <w:tcW w:w="0" w:type="auto"/>
            <w:tcBorders>
              <w:top w:val="single" w:sz="4" w:space="0" w:color="auto"/>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77</w:t>
            </w:r>
          </w:p>
        </w:tc>
        <w:tc>
          <w:tcPr>
            <w:tcW w:w="0" w:type="auto"/>
            <w:tcBorders>
              <w:top w:val="single" w:sz="4" w:space="0" w:color="auto"/>
              <w:left w:val="nil"/>
              <w:bottom w:val="single" w:sz="4" w:space="0" w:color="auto"/>
              <w:right w:val="nil"/>
            </w:tcBorders>
            <w:shd w:val="clear" w:color="auto" w:fill="auto"/>
            <w:noWrap/>
            <w:vAlign w:val="center"/>
            <w:hideMark/>
          </w:tcPr>
          <w:p w:rsidR="004F06E1" w:rsidRPr="00BB3F74" w:rsidRDefault="00B87F98" w:rsidP="007E1A55">
            <w:pPr>
              <w:widowControl/>
              <w:autoSpaceDE/>
              <w:autoSpaceDN/>
              <w:adjustRightInd/>
              <w:jc w:val="center"/>
              <w:rPr>
                <w:rFonts w:ascii="Arial" w:hAnsi="Arial" w:cs="Arial"/>
                <w:sz w:val="16"/>
                <w:szCs w:val="16"/>
              </w:rPr>
            </w:pPr>
            <w:r>
              <w:rPr>
                <w:rFonts w:ascii="Arial" w:hAnsi="Arial" w:cs="Arial"/>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7</w:t>
            </w:r>
            <w:r w:rsidR="00B87F98">
              <w:rPr>
                <w:rFonts w:ascii="Arial" w:hAnsi="Arial" w:cs="Arial"/>
                <w:sz w:val="16"/>
                <w:szCs w:val="16"/>
              </w:rPr>
              <w:t>0</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7</w:t>
            </w:r>
            <w:r w:rsidR="00B87F98">
              <w:rPr>
                <w:rFonts w:ascii="Arial" w:hAnsi="Arial" w:cs="Arial"/>
                <w:sz w:val="16"/>
                <w:szCs w:val="16"/>
              </w:rPr>
              <w:t>0</w:t>
            </w:r>
          </w:p>
        </w:tc>
      </w:tr>
      <w:tr w:rsidR="004F06E1" w:rsidRPr="00BB3F74" w:rsidTr="000C4E41">
        <w:trPr>
          <w:trHeight w:val="876"/>
        </w:trPr>
        <w:tc>
          <w:tcPr>
            <w:tcW w:w="0" w:type="auto"/>
            <w:tcBorders>
              <w:top w:val="nil"/>
              <w:left w:val="single" w:sz="12" w:space="0" w:color="auto"/>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Performance Measure:</w:t>
            </w:r>
            <w:r w:rsidRPr="00BB3F74">
              <w:rPr>
                <w:rFonts w:ascii="Arial" w:hAnsi="Arial" w:cs="Arial"/>
                <w:b/>
                <w:bCs/>
                <w:sz w:val="16"/>
                <w:szCs w:val="16"/>
              </w:rPr>
              <w:br/>
              <w:t>Civil (Merger and Non-Merger)</w:t>
            </w:r>
          </w:p>
        </w:tc>
        <w:tc>
          <w:tcPr>
            <w:tcW w:w="0" w:type="auto"/>
            <w:tcBorders>
              <w:top w:val="nil"/>
              <w:left w:val="nil"/>
              <w:bottom w:val="single" w:sz="4" w:space="0" w:color="auto"/>
              <w:right w:val="single" w:sz="4" w:space="0" w:color="auto"/>
            </w:tcBorders>
            <w:vAlign w:val="center"/>
            <w:hideMark/>
          </w:tcPr>
          <w:p w:rsidR="004F06E1" w:rsidRPr="00BB3F74" w:rsidRDefault="004F06E1" w:rsidP="007E1A55">
            <w:pPr>
              <w:widowControl/>
              <w:autoSpaceDE/>
              <w:autoSpaceDN/>
              <w:adjustRightInd/>
              <w:rPr>
                <w:rFonts w:ascii="Arial" w:hAnsi="Arial" w:cs="Arial"/>
                <w:color w:val="000000"/>
                <w:sz w:val="15"/>
                <w:szCs w:val="15"/>
              </w:rPr>
            </w:pPr>
            <w:r w:rsidRPr="00BB3F74">
              <w:rPr>
                <w:rFonts w:ascii="Arial" w:hAnsi="Arial" w:cs="Arial"/>
                <w:color w:val="000000"/>
                <w:sz w:val="15"/>
                <w:szCs w:val="15"/>
              </w:rPr>
              <w:t xml:space="preserve">Dollar Volume of U.S. Commerce Affected in Relevant Markets for all Merger Wins and All Non-Merger Pleas/Cases Favorably Resolved </w:t>
            </w:r>
            <w:r w:rsidR="00FC1327">
              <w:rPr>
                <w:rFonts w:ascii="Arial" w:hAnsi="Arial" w:cs="Arial"/>
                <w:color w:val="000000"/>
                <w:sz w:val="15"/>
                <w:szCs w:val="15"/>
              </w:rPr>
              <w:t xml:space="preserve">   </w:t>
            </w:r>
            <w:r w:rsidRPr="00BB3F74">
              <w:rPr>
                <w:rFonts w:ascii="Arial" w:hAnsi="Arial" w:cs="Arial"/>
                <w:color w:val="000000"/>
                <w:sz w:val="15"/>
                <w:szCs w:val="15"/>
              </w:rPr>
              <w:t>($ in millions)</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100,832</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2,967</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16,085</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94,629</w:t>
            </w:r>
          </w:p>
        </w:tc>
        <w:tc>
          <w:tcPr>
            <w:tcW w:w="0" w:type="auto"/>
            <w:tcBorders>
              <w:top w:val="nil"/>
              <w:left w:val="nil"/>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8,114</w:t>
            </w:r>
          </w:p>
        </w:tc>
        <w:tc>
          <w:tcPr>
            <w:tcW w:w="0" w:type="auto"/>
            <w:tcBorders>
              <w:top w:val="nil"/>
              <w:left w:val="single" w:sz="4" w:space="0" w:color="auto"/>
              <w:bottom w:val="single" w:sz="4" w:space="0" w:color="auto"/>
              <w:right w:val="single" w:sz="4" w:space="0" w:color="auto"/>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129,069</w:t>
            </w:r>
          </w:p>
        </w:tc>
        <w:tc>
          <w:tcPr>
            <w:tcW w:w="0" w:type="auto"/>
            <w:tcBorders>
              <w:top w:val="nil"/>
              <w:left w:val="nil"/>
              <w:bottom w:val="single" w:sz="4" w:space="0" w:color="auto"/>
              <w:right w:val="nil"/>
            </w:tcBorders>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E1" w:rsidRPr="00BB3F74" w:rsidRDefault="00FC1327" w:rsidP="007E1A55">
            <w:pPr>
              <w:widowControl/>
              <w:autoSpaceDE/>
              <w:autoSpaceDN/>
              <w:adjustRightInd/>
              <w:rPr>
                <w:rFonts w:ascii="Arial" w:hAnsi="Arial" w:cs="Arial"/>
                <w:sz w:val="16"/>
                <w:szCs w:val="16"/>
              </w:rPr>
            </w:pPr>
            <w:r>
              <w:rPr>
                <w:rFonts w:ascii="Arial" w:hAnsi="Arial" w:cs="Arial"/>
                <w:sz w:val="16"/>
                <w:szCs w:val="16"/>
              </w:rPr>
              <w:t>$437,410</w:t>
            </w:r>
          </w:p>
        </w:tc>
        <w:tc>
          <w:tcPr>
            <w:tcW w:w="0" w:type="auto"/>
            <w:tcBorders>
              <w:top w:val="nil"/>
              <w:left w:val="nil"/>
              <w:bottom w:val="single" w:sz="4" w:space="0" w:color="auto"/>
              <w:right w:val="nil"/>
            </w:tcBorders>
            <w:shd w:val="clear" w:color="auto" w:fill="auto"/>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4F06E1" w:rsidRPr="00BB3F74" w:rsidTr="000C4E41">
        <w:trPr>
          <w:trHeight w:val="934"/>
        </w:trPr>
        <w:tc>
          <w:tcPr>
            <w:tcW w:w="0" w:type="auto"/>
            <w:tcBorders>
              <w:top w:val="nil"/>
              <w:left w:val="single" w:sz="12" w:space="0" w:color="auto"/>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Consumer Savings - Criminal</w:t>
            </w:r>
          </w:p>
        </w:tc>
        <w:tc>
          <w:tcPr>
            <w:tcW w:w="0" w:type="auto"/>
            <w:tcBorders>
              <w:top w:val="nil"/>
              <w:left w:val="nil"/>
              <w:bottom w:val="single" w:sz="4" w:space="0" w:color="auto"/>
              <w:right w:val="single" w:sz="4" w:space="0" w:color="auto"/>
            </w:tcBorders>
            <w:vAlign w:val="center"/>
            <w:hideMark/>
          </w:tcPr>
          <w:p w:rsidR="004F06E1" w:rsidRPr="00BB3F74" w:rsidRDefault="004F06E1" w:rsidP="007E1A55">
            <w:pPr>
              <w:widowControl/>
              <w:autoSpaceDE/>
              <w:autoSpaceDN/>
              <w:adjustRightInd/>
              <w:rPr>
                <w:rFonts w:ascii="Arial" w:hAnsi="Arial" w:cs="Arial"/>
                <w:sz w:val="16"/>
                <w:szCs w:val="16"/>
              </w:rPr>
            </w:pPr>
            <w:r w:rsidRPr="00BB3F74">
              <w:rPr>
                <w:rFonts w:ascii="Arial" w:hAnsi="Arial" w:cs="Arial"/>
                <w:sz w:val="16"/>
                <w:szCs w:val="16"/>
              </w:rPr>
              <w:t>Criminal - Total Dollar Value of Savings to U.S. Consumers ($ in millions)</w:t>
            </w:r>
          </w:p>
        </w:tc>
        <w:tc>
          <w:tcPr>
            <w:tcW w:w="0" w:type="auto"/>
            <w:tcBorders>
              <w:top w:val="nil"/>
              <w:left w:val="nil"/>
              <w:bottom w:val="single" w:sz="4" w:space="0" w:color="auto"/>
              <w:right w:val="nil"/>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sidR="00604CB7">
              <w:rPr>
                <w:rFonts w:ascii="Arial" w:hAnsi="Arial" w:cs="Arial"/>
                <w:sz w:val="16"/>
                <w:szCs w:val="16"/>
              </w:rPr>
              <w:t>55</w:t>
            </w:r>
          </w:p>
        </w:tc>
        <w:tc>
          <w:tcPr>
            <w:tcW w:w="0" w:type="auto"/>
            <w:tcBorders>
              <w:top w:val="nil"/>
              <w:left w:val="single" w:sz="4" w:space="0" w:color="auto"/>
              <w:bottom w:val="single" w:sz="4" w:space="0" w:color="auto"/>
              <w:right w:val="nil"/>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Pr>
                <w:rFonts w:ascii="Arial" w:hAnsi="Arial" w:cs="Arial"/>
                <w:sz w:val="16"/>
                <w:szCs w:val="16"/>
              </w:rPr>
              <w:t>5</w:t>
            </w:r>
            <w:r w:rsidR="00604CB7">
              <w:rPr>
                <w:rFonts w:ascii="Arial" w:hAnsi="Arial" w:cs="Arial"/>
                <w:sz w:val="16"/>
                <w:szCs w:val="16"/>
              </w:rPr>
              <w:t>61</w:t>
            </w:r>
          </w:p>
        </w:tc>
        <w:tc>
          <w:tcPr>
            <w:tcW w:w="0" w:type="auto"/>
            <w:tcBorders>
              <w:top w:val="nil"/>
              <w:left w:val="single" w:sz="4" w:space="0" w:color="auto"/>
              <w:bottom w:val="single" w:sz="4" w:space="0" w:color="auto"/>
              <w:right w:val="nil"/>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sidR="00604CB7">
              <w:rPr>
                <w:rFonts w:ascii="Arial" w:hAnsi="Arial" w:cs="Arial"/>
                <w:sz w:val="16"/>
                <w:szCs w:val="16"/>
              </w:rPr>
              <w:t>21</w:t>
            </w:r>
          </w:p>
        </w:tc>
        <w:tc>
          <w:tcPr>
            <w:tcW w:w="0" w:type="auto"/>
            <w:tcBorders>
              <w:top w:val="nil"/>
              <w:left w:val="single" w:sz="4" w:space="0" w:color="auto"/>
              <w:bottom w:val="single" w:sz="4" w:space="0" w:color="auto"/>
              <w:right w:val="nil"/>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sidR="00604CB7">
              <w:rPr>
                <w:rFonts w:ascii="Arial" w:hAnsi="Arial" w:cs="Arial"/>
                <w:sz w:val="16"/>
                <w:szCs w:val="16"/>
              </w:rPr>
              <w:t>606</w:t>
            </w:r>
          </w:p>
        </w:tc>
        <w:tc>
          <w:tcPr>
            <w:tcW w:w="0" w:type="auto"/>
            <w:tcBorders>
              <w:top w:val="nil"/>
              <w:left w:val="single" w:sz="4" w:space="0" w:color="auto"/>
              <w:bottom w:val="single" w:sz="4" w:space="0" w:color="auto"/>
              <w:right w:val="nil"/>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sidR="00604CB7">
              <w:rPr>
                <w:rFonts w:ascii="Arial" w:hAnsi="Arial" w:cs="Arial"/>
                <w:sz w:val="16"/>
                <w:szCs w:val="16"/>
              </w:rPr>
              <w:t>50.2</w:t>
            </w:r>
          </w:p>
        </w:tc>
        <w:tc>
          <w:tcPr>
            <w:tcW w:w="0" w:type="auto"/>
            <w:tcBorders>
              <w:top w:val="nil"/>
              <w:left w:val="single" w:sz="4" w:space="0" w:color="auto"/>
              <w:bottom w:val="single" w:sz="4" w:space="0" w:color="auto"/>
              <w:right w:val="nil"/>
            </w:tcBorders>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w:t>
            </w:r>
            <w:r w:rsidR="00604CB7">
              <w:rPr>
                <w:rFonts w:ascii="Arial" w:hAnsi="Arial" w:cs="Arial"/>
                <w:sz w:val="16"/>
                <w:szCs w:val="16"/>
              </w:rPr>
              <w:t>248.6</w:t>
            </w:r>
          </w:p>
        </w:tc>
        <w:tc>
          <w:tcPr>
            <w:tcW w:w="0" w:type="auto"/>
            <w:tcBorders>
              <w:top w:val="nil"/>
              <w:left w:val="single" w:sz="4" w:space="0" w:color="auto"/>
              <w:bottom w:val="single" w:sz="4" w:space="0" w:color="auto"/>
              <w:right w:val="nil"/>
            </w:tcBorders>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 </w:t>
            </w:r>
            <w:r w:rsidR="00FC1327">
              <w:rPr>
                <w:rFonts w:ascii="Arial" w:hAnsi="Arial" w:cs="Arial"/>
                <w:sz w:val="16"/>
                <w:szCs w:val="16"/>
              </w:rPr>
              <w:t>$447</w:t>
            </w:r>
          </w:p>
        </w:tc>
        <w:tc>
          <w:tcPr>
            <w:tcW w:w="0" w:type="auto"/>
            <w:tcBorders>
              <w:top w:val="nil"/>
              <w:left w:val="nil"/>
              <w:bottom w:val="single" w:sz="4" w:space="0" w:color="auto"/>
              <w:right w:val="nil"/>
            </w:tcBorders>
            <w:shd w:val="clear" w:color="auto" w:fill="auto"/>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4F06E1" w:rsidRPr="00BB3F74" w:rsidRDefault="004F06E1" w:rsidP="007E1A55">
            <w:pPr>
              <w:widowControl/>
              <w:autoSpaceDE/>
              <w:autoSpaceDN/>
              <w:adjustRightInd/>
              <w:jc w:val="center"/>
              <w:rPr>
                <w:rFonts w:ascii="Arial" w:hAnsi="Arial" w:cs="Arial"/>
                <w:sz w:val="16"/>
                <w:szCs w:val="16"/>
              </w:rPr>
            </w:pPr>
            <w:r w:rsidRPr="00BB3F74">
              <w:rPr>
                <w:rFonts w:ascii="Arial" w:hAnsi="Arial" w:cs="Arial"/>
                <w:sz w:val="16"/>
                <w:szCs w:val="16"/>
              </w:rPr>
              <w:t>Not Projected</w:t>
            </w:r>
          </w:p>
        </w:tc>
      </w:tr>
      <w:tr w:rsidR="004F06E1" w:rsidRPr="00BB3F74" w:rsidTr="000C4E41">
        <w:trPr>
          <w:trHeight w:val="847"/>
        </w:trPr>
        <w:tc>
          <w:tcPr>
            <w:tcW w:w="0" w:type="auto"/>
            <w:tcBorders>
              <w:top w:val="nil"/>
              <w:left w:val="single" w:sz="12" w:space="0" w:color="auto"/>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Consumer Savings - Civil</w:t>
            </w:r>
          </w:p>
        </w:tc>
        <w:tc>
          <w:tcPr>
            <w:tcW w:w="0" w:type="auto"/>
            <w:tcBorders>
              <w:top w:val="nil"/>
              <w:left w:val="nil"/>
              <w:bottom w:val="single" w:sz="4" w:space="0" w:color="auto"/>
              <w:right w:val="single" w:sz="4" w:space="0" w:color="auto"/>
            </w:tcBorders>
            <w:vAlign w:val="center"/>
            <w:hideMark/>
          </w:tcPr>
          <w:p w:rsidR="004F06E1" w:rsidRPr="00BB3F74" w:rsidRDefault="004F06E1" w:rsidP="007E1A55">
            <w:pPr>
              <w:widowControl/>
              <w:autoSpaceDE/>
              <w:autoSpaceDN/>
              <w:adjustRightInd/>
              <w:rPr>
                <w:rFonts w:ascii="Arial" w:hAnsi="Arial" w:cs="Arial"/>
                <w:sz w:val="16"/>
                <w:szCs w:val="16"/>
              </w:rPr>
            </w:pPr>
            <w:r w:rsidRPr="00BB3F74">
              <w:rPr>
                <w:rFonts w:ascii="Arial" w:hAnsi="Arial" w:cs="Arial"/>
                <w:sz w:val="16"/>
                <w:szCs w:val="16"/>
              </w:rPr>
              <w:t>Civil (Merger and Non-Merger) - Total Dollar Value of Savings to U.S. Consumers ($ in millions)</w:t>
            </w:r>
          </w:p>
        </w:tc>
        <w:tc>
          <w:tcPr>
            <w:tcW w:w="0" w:type="auto"/>
            <w:tcBorders>
              <w:top w:val="nil"/>
              <w:left w:val="nil"/>
              <w:bottom w:val="single" w:sz="4"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$1</w:t>
            </w:r>
            <w:r w:rsidR="00604CB7" w:rsidRPr="00D21886">
              <w:rPr>
                <w:rFonts w:ascii="Arial" w:hAnsi="Arial" w:cs="Arial"/>
                <w:sz w:val="16"/>
                <w:szCs w:val="16"/>
              </w:rPr>
              <w:t>,952.3</w:t>
            </w:r>
          </w:p>
        </w:tc>
        <w:tc>
          <w:tcPr>
            <w:tcW w:w="0" w:type="auto"/>
            <w:tcBorders>
              <w:top w:val="nil"/>
              <w:left w:val="nil"/>
              <w:bottom w:val="single" w:sz="4"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$1</w:t>
            </w:r>
            <w:r w:rsidR="00604CB7" w:rsidRPr="00D21886">
              <w:rPr>
                <w:rFonts w:ascii="Arial" w:hAnsi="Arial" w:cs="Arial"/>
                <w:sz w:val="16"/>
                <w:szCs w:val="16"/>
              </w:rPr>
              <w:t>66</w:t>
            </w:r>
          </w:p>
        </w:tc>
        <w:tc>
          <w:tcPr>
            <w:tcW w:w="0" w:type="auto"/>
            <w:tcBorders>
              <w:top w:val="nil"/>
              <w:left w:val="nil"/>
              <w:bottom w:val="single" w:sz="4"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w:t>
            </w:r>
            <w:r w:rsidR="00604CB7" w:rsidRPr="00D21886">
              <w:rPr>
                <w:rFonts w:ascii="Arial" w:hAnsi="Arial" w:cs="Arial"/>
                <w:sz w:val="16"/>
                <w:szCs w:val="16"/>
              </w:rPr>
              <w:t>509.7</w:t>
            </w:r>
          </w:p>
        </w:tc>
        <w:tc>
          <w:tcPr>
            <w:tcW w:w="0" w:type="auto"/>
            <w:tcBorders>
              <w:top w:val="nil"/>
              <w:left w:val="nil"/>
              <w:bottom w:val="single" w:sz="4"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w:t>
            </w:r>
            <w:r w:rsidR="00604CB7" w:rsidRPr="00D21886">
              <w:rPr>
                <w:rFonts w:ascii="Arial" w:hAnsi="Arial" w:cs="Arial"/>
                <w:sz w:val="16"/>
                <w:szCs w:val="16"/>
              </w:rPr>
              <w:t>1,222</w:t>
            </w:r>
          </w:p>
        </w:tc>
        <w:tc>
          <w:tcPr>
            <w:tcW w:w="0" w:type="auto"/>
            <w:tcBorders>
              <w:top w:val="nil"/>
              <w:left w:val="nil"/>
              <w:bottom w:val="single" w:sz="4"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$1</w:t>
            </w:r>
            <w:r w:rsidR="00604CB7" w:rsidRPr="00D21886">
              <w:rPr>
                <w:rFonts w:ascii="Arial" w:hAnsi="Arial" w:cs="Arial"/>
                <w:sz w:val="16"/>
                <w:szCs w:val="16"/>
              </w:rPr>
              <w:t>86.7</w:t>
            </w:r>
          </w:p>
        </w:tc>
        <w:tc>
          <w:tcPr>
            <w:tcW w:w="0" w:type="auto"/>
            <w:tcBorders>
              <w:top w:val="nil"/>
              <w:left w:val="nil"/>
              <w:bottom w:val="single" w:sz="4" w:space="0" w:color="auto"/>
              <w:right w:val="nil"/>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w:t>
            </w:r>
            <w:r w:rsidR="00604CB7" w:rsidRPr="00D21886">
              <w:rPr>
                <w:rFonts w:ascii="Arial" w:hAnsi="Arial" w:cs="Arial"/>
                <w:sz w:val="16"/>
                <w:szCs w:val="16"/>
              </w:rPr>
              <w:t>1,431.1</w:t>
            </w:r>
          </w:p>
        </w:tc>
        <w:tc>
          <w:tcPr>
            <w:tcW w:w="0" w:type="auto"/>
            <w:tcBorders>
              <w:top w:val="nil"/>
              <w:left w:val="single" w:sz="4" w:space="0" w:color="auto"/>
              <w:bottom w:val="single" w:sz="4" w:space="0" w:color="auto"/>
              <w:right w:val="nil"/>
            </w:tcBorders>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Not Projected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6E1" w:rsidRPr="00D21886" w:rsidRDefault="00FC1327" w:rsidP="007E1A55">
            <w:pPr>
              <w:widowControl/>
              <w:autoSpaceDE/>
              <w:autoSpaceDN/>
              <w:adjustRightInd/>
              <w:jc w:val="center"/>
              <w:rPr>
                <w:rFonts w:ascii="Arial" w:hAnsi="Arial" w:cs="Arial"/>
                <w:sz w:val="16"/>
                <w:szCs w:val="16"/>
              </w:rPr>
            </w:pPr>
            <w:r w:rsidRPr="00D21886">
              <w:rPr>
                <w:rFonts w:ascii="Arial" w:hAnsi="Arial" w:cs="Arial"/>
                <w:sz w:val="16"/>
                <w:szCs w:val="16"/>
              </w:rPr>
              <w:t>$8,965.6</w:t>
            </w:r>
            <w:r w:rsidR="004F06E1" w:rsidRPr="00D21886">
              <w:rPr>
                <w:rFonts w:ascii="Arial" w:hAnsi="Arial" w:cs="Arial"/>
                <w:sz w:val="16"/>
                <w:szCs w:val="16"/>
              </w:rPr>
              <w:t> </w:t>
            </w:r>
          </w:p>
        </w:tc>
        <w:tc>
          <w:tcPr>
            <w:tcW w:w="0" w:type="auto"/>
            <w:tcBorders>
              <w:top w:val="nil"/>
              <w:left w:val="nil"/>
              <w:bottom w:val="single" w:sz="4" w:space="0" w:color="auto"/>
              <w:right w:val="nil"/>
            </w:tcBorders>
            <w:shd w:val="clear" w:color="auto" w:fill="auto"/>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Not Projected</w:t>
            </w:r>
          </w:p>
        </w:tc>
        <w:tc>
          <w:tcPr>
            <w:tcW w:w="0" w:type="auto"/>
            <w:tcBorders>
              <w:top w:val="nil"/>
              <w:left w:val="single" w:sz="4" w:space="0" w:color="auto"/>
              <w:bottom w:val="single" w:sz="4" w:space="0" w:color="auto"/>
              <w:right w:val="single" w:sz="12" w:space="0" w:color="auto"/>
            </w:tcBorders>
            <w:shd w:val="clear" w:color="auto" w:fill="auto"/>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Not Projected</w:t>
            </w:r>
          </w:p>
        </w:tc>
      </w:tr>
      <w:tr w:rsidR="004F06E1" w:rsidRPr="00BB3F74" w:rsidTr="000C4E41">
        <w:trPr>
          <w:trHeight w:val="657"/>
        </w:trPr>
        <w:tc>
          <w:tcPr>
            <w:tcW w:w="0" w:type="auto"/>
            <w:tcBorders>
              <w:top w:val="nil"/>
              <w:left w:val="single" w:sz="12" w:space="0" w:color="auto"/>
              <w:bottom w:val="single" w:sz="4"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Success Rate - Criminal</w:t>
            </w:r>
          </w:p>
        </w:tc>
        <w:tc>
          <w:tcPr>
            <w:tcW w:w="0" w:type="auto"/>
            <w:tcBorders>
              <w:top w:val="nil"/>
              <w:left w:val="nil"/>
              <w:bottom w:val="single" w:sz="4" w:space="0" w:color="auto"/>
              <w:right w:val="single" w:sz="4" w:space="0" w:color="auto"/>
            </w:tcBorders>
            <w:vAlign w:val="center"/>
            <w:hideMark/>
          </w:tcPr>
          <w:p w:rsidR="004F06E1" w:rsidRPr="00D21886" w:rsidRDefault="004F06E1" w:rsidP="007E1A55">
            <w:pPr>
              <w:widowControl/>
              <w:autoSpaceDE/>
              <w:autoSpaceDN/>
              <w:adjustRightInd/>
              <w:rPr>
                <w:rFonts w:ascii="Arial" w:hAnsi="Arial" w:cs="Arial"/>
                <w:sz w:val="16"/>
                <w:szCs w:val="16"/>
              </w:rPr>
            </w:pPr>
            <w:r w:rsidRPr="00D21886">
              <w:rPr>
                <w:rFonts w:ascii="Arial" w:hAnsi="Arial" w:cs="Arial"/>
                <w:sz w:val="16"/>
                <w:szCs w:val="16"/>
              </w:rPr>
              <w:t xml:space="preserve">Criminal - Percentage of cases favorably resolved </w:t>
            </w:r>
          </w:p>
        </w:tc>
        <w:tc>
          <w:tcPr>
            <w:tcW w:w="0" w:type="auto"/>
            <w:tcBorders>
              <w:top w:val="nil"/>
              <w:left w:val="nil"/>
              <w:bottom w:val="single" w:sz="4" w:space="0" w:color="auto"/>
              <w:right w:val="single" w:sz="4" w:space="0" w:color="auto"/>
            </w:tcBorders>
            <w:noWrap/>
            <w:vAlign w:val="center"/>
            <w:hideMark/>
          </w:tcPr>
          <w:p w:rsidR="004F06E1" w:rsidRPr="00D21886" w:rsidRDefault="00604CB7" w:rsidP="007E1A55">
            <w:pPr>
              <w:widowControl/>
              <w:autoSpaceDE/>
              <w:autoSpaceDN/>
              <w:adjustRightInd/>
              <w:jc w:val="center"/>
              <w:rPr>
                <w:rFonts w:ascii="Arial" w:hAnsi="Arial" w:cs="Arial"/>
                <w:sz w:val="16"/>
                <w:szCs w:val="16"/>
              </w:rPr>
            </w:pPr>
            <w:r w:rsidRPr="00D21886">
              <w:rPr>
                <w:rFonts w:ascii="Arial" w:hAnsi="Arial" w:cs="Arial"/>
                <w:sz w:val="16"/>
                <w:szCs w:val="16"/>
              </w:rPr>
              <w:t>100</w:t>
            </w:r>
            <w:r w:rsidR="004F06E1" w:rsidRPr="00D21886">
              <w:rPr>
                <w:rFonts w:ascii="Arial" w:hAnsi="Arial" w:cs="Arial"/>
                <w:sz w:val="16"/>
                <w:szCs w:val="16"/>
              </w:rPr>
              <w:t>%</w:t>
            </w:r>
          </w:p>
        </w:tc>
        <w:tc>
          <w:tcPr>
            <w:tcW w:w="0" w:type="auto"/>
            <w:tcBorders>
              <w:top w:val="nil"/>
              <w:left w:val="nil"/>
              <w:bottom w:val="single" w:sz="4" w:space="0" w:color="auto"/>
              <w:right w:val="single" w:sz="4" w:space="0" w:color="auto"/>
            </w:tcBorders>
            <w:noWrap/>
            <w:vAlign w:val="center"/>
            <w:hideMark/>
          </w:tcPr>
          <w:p w:rsidR="004F06E1" w:rsidRPr="00D21886" w:rsidRDefault="0043643C" w:rsidP="007E1A55">
            <w:pPr>
              <w:widowControl/>
              <w:autoSpaceDE/>
              <w:autoSpaceDN/>
              <w:adjustRightInd/>
              <w:jc w:val="center"/>
              <w:rPr>
                <w:rFonts w:ascii="Arial" w:hAnsi="Arial" w:cs="Arial"/>
                <w:sz w:val="16"/>
                <w:szCs w:val="16"/>
              </w:rPr>
            </w:pPr>
            <w:r w:rsidRPr="00D21886">
              <w:rPr>
                <w:rFonts w:ascii="Arial" w:hAnsi="Arial" w:cs="Arial"/>
                <w:sz w:val="16"/>
                <w:szCs w:val="16"/>
              </w:rPr>
              <w:t>98</w:t>
            </w:r>
            <w:r w:rsidR="004F06E1" w:rsidRPr="00D21886">
              <w:rPr>
                <w:rFonts w:ascii="Arial" w:hAnsi="Arial" w:cs="Arial"/>
                <w:sz w:val="16"/>
                <w:szCs w:val="16"/>
              </w:rPr>
              <w:t>%</w:t>
            </w:r>
          </w:p>
        </w:tc>
        <w:tc>
          <w:tcPr>
            <w:tcW w:w="0" w:type="auto"/>
            <w:tcBorders>
              <w:top w:val="nil"/>
              <w:left w:val="nil"/>
              <w:bottom w:val="single" w:sz="4" w:space="0" w:color="auto"/>
              <w:right w:val="single" w:sz="4" w:space="0" w:color="auto"/>
            </w:tcBorders>
            <w:noWrap/>
            <w:vAlign w:val="center"/>
            <w:hideMark/>
          </w:tcPr>
          <w:p w:rsidR="004F06E1" w:rsidRPr="00D21886" w:rsidRDefault="0043643C" w:rsidP="007E1A55">
            <w:pPr>
              <w:widowControl/>
              <w:autoSpaceDE/>
              <w:autoSpaceDN/>
              <w:adjustRightInd/>
              <w:jc w:val="center"/>
              <w:rPr>
                <w:rFonts w:ascii="Arial" w:hAnsi="Arial" w:cs="Arial"/>
                <w:sz w:val="16"/>
                <w:szCs w:val="16"/>
              </w:rPr>
            </w:pPr>
            <w:r w:rsidRPr="00D21886">
              <w:rPr>
                <w:rFonts w:ascii="Arial" w:hAnsi="Arial" w:cs="Arial"/>
                <w:sz w:val="16"/>
                <w:szCs w:val="16"/>
              </w:rPr>
              <w:t>85</w:t>
            </w:r>
            <w:r w:rsidR="004F06E1" w:rsidRPr="00D21886">
              <w:rPr>
                <w:rFonts w:ascii="Arial" w:hAnsi="Arial" w:cs="Arial"/>
                <w:sz w:val="16"/>
                <w:szCs w:val="16"/>
              </w:rPr>
              <w:t>%</w:t>
            </w:r>
          </w:p>
        </w:tc>
        <w:tc>
          <w:tcPr>
            <w:tcW w:w="0" w:type="auto"/>
            <w:tcBorders>
              <w:top w:val="nil"/>
              <w:left w:val="nil"/>
              <w:bottom w:val="single" w:sz="4" w:space="0" w:color="auto"/>
              <w:right w:val="single" w:sz="4" w:space="0" w:color="auto"/>
            </w:tcBorders>
            <w:noWrap/>
            <w:vAlign w:val="center"/>
            <w:hideMark/>
          </w:tcPr>
          <w:p w:rsidR="004F06E1" w:rsidRPr="00D21886" w:rsidRDefault="0043643C" w:rsidP="007E1A55">
            <w:pPr>
              <w:widowControl/>
              <w:autoSpaceDE/>
              <w:autoSpaceDN/>
              <w:adjustRightInd/>
              <w:jc w:val="center"/>
              <w:rPr>
                <w:rFonts w:ascii="Arial" w:hAnsi="Arial" w:cs="Arial"/>
                <w:sz w:val="16"/>
                <w:szCs w:val="16"/>
              </w:rPr>
            </w:pPr>
            <w:r w:rsidRPr="00D21886">
              <w:rPr>
                <w:rFonts w:ascii="Arial" w:hAnsi="Arial" w:cs="Arial"/>
                <w:sz w:val="16"/>
                <w:szCs w:val="16"/>
              </w:rPr>
              <w:t>97</w:t>
            </w:r>
            <w:r w:rsidR="004F06E1" w:rsidRPr="00D21886">
              <w:rPr>
                <w:rFonts w:ascii="Arial" w:hAnsi="Arial" w:cs="Arial"/>
                <w:sz w:val="16"/>
                <w:szCs w:val="16"/>
              </w:rPr>
              <w:t>%</w:t>
            </w:r>
          </w:p>
        </w:tc>
        <w:tc>
          <w:tcPr>
            <w:tcW w:w="0" w:type="auto"/>
            <w:tcBorders>
              <w:top w:val="nil"/>
              <w:left w:val="nil"/>
              <w:bottom w:val="single" w:sz="4" w:space="0" w:color="auto"/>
              <w:right w:val="single" w:sz="4" w:space="0" w:color="auto"/>
            </w:tcBorders>
            <w:noWrap/>
            <w:vAlign w:val="center"/>
            <w:hideMark/>
          </w:tcPr>
          <w:p w:rsidR="004F06E1" w:rsidRPr="00D21886" w:rsidRDefault="0043643C" w:rsidP="007E1A55">
            <w:pPr>
              <w:widowControl/>
              <w:autoSpaceDE/>
              <w:autoSpaceDN/>
              <w:adjustRightInd/>
              <w:jc w:val="center"/>
              <w:rPr>
                <w:rFonts w:ascii="Arial" w:hAnsi="Arial" w:cs="Arial"/>
                <w:sz w:val="16"/>
                <w:szCs w:val="16"/>
              </w:rPr>
            </w:pPr>
            <w:r w:rsidRPr="00D21886">
              <w:rPr>
                <w:rFonts w:ascii="Arial" w:hAnsi="Arial" w:cs="Arial"/>
                <w:sz w:val="16"/>
                <w:szCs w:val="16"/>
              </w:rPr>
              <w:t>98</w:t>
            </w:r>
            <w:r w:rsidR="004F06E1" w:rsidRPr="00D21886">
              <w:rPr>
                <w:rFonts w:ascii="Arial" w:hAnsi="Arial" w:cs="Arial"/>
                <w:sz w:val="16"/>
                <w:szCs w:val="16"/>
              </w:rPr>
              <w:t>%</w:t>
            </w:r>
          </w:p>
        </w:tc>
        <w:tc>
          <w:tcPr>
            <w:tcW w:w="0" w:type="auto"/>
            <w:tcBorders>
              <w:top w:val="nil"/>
              <w:left w:val="nil"/>
              <w:bottom w:val="single" w:sz="4"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9</w:t>
            </w:r>
            <w:r w:rsidR="0043643C" w:rsidRPr="00D21886">
              <w:rPr>
                <w:rFonts w:ascii="Arial" w:hAnsi="Arial" w:cs="Arial"/>
                <w:sz w:val="16"/>
                <w:szCs w:val="16"/>
              </w:rPr>
              <w:t>7</w:t>
            </w:r>
            <w:r w:rsidRPr="00D21886">
              <w:rPr>
                <w:rFonts w:ascii="Arial" w:hAnsi="Arial" w:cs="Arial"/>
                <w:sz w:val="16"/>
                <w:szCs w:val="16"/>
              </w:rPr>
              <w:t>%</w:t>
            </w:r>
          </w:p>
        </w:tc>
        <w:tc>
          <w:tcPr>
            <w:tcW w:w="0" w:type="auto"/>
            <w:tcBorders>
              <w:top w:val="nil"/>
              <w:left w:val="nil"/>
              <w:bottom w:val="single" w:sz="4"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 </w:t>
            </w:r>
            <w:r w:rsidR="00FC1327" w:rsidRPr="00D21886">
              <w:rPr>
                <w:rFonts w:ascii="Arial" w:hAnsi="Arial" w:cs="Arial"/>
                <w:sz w:val="16"/>
                <w:szCs w:val="16"/>
              </w:rPr>
              <w:t>93%</w:t>
            </w:r>
          </w:p>
        </w:tc>
        <w:tc>
          <w:tcPr>
            <w:tcW w:w="0" w:type="auto"/>
            <w:tcBorders>
              <w:top w:val="nil"/>
              <w:left w:val="nil"/>
              <w:bottom w:val="single" w:sz="4" w:space="0" w:color="auto"/>
              <w:right w:val="single" w:sz="4" w:space="0" w:color="auto"/>
            </w:tcBorders>
            <w:shd w:val="clear" w:color="auto" w:fill="auto"/>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90%</w:t>
            </w:r>
          </w:p>
        </w:tc>
        <w:tc>
          <w:tcPr>
            <w:tcW w:w="0" w:type="auto"/>
            <w:tcBorders>
              <w:top w:val="nil"/>
              <w:left w:val="nil"/>
              <w:bottom w:val="single" w:sz="4" w:space="0" w:color="auto"/>
              <w:right w:val="single" w:sz="12" w:space="0" w:color="auto"/>
            </w:tcBorders>
            <w:shd w:val="clear" w:color="auto" w:fill="auto"/>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90%</w:t>
            </w:r>
          </w:p>
        </w:tc>
      </w:tr>
      <w:tr w:rsidR="004F06E1" w:rsidRPr="00BB3F74" w:rsidTr="000C4E41">
        <w:trPr>
          <w:trHeight w:val="891"/>
        </w:trPr>
        <w:tc>
          <w:tcPr>
            <w:tcW w:w="0" w:type="auto"/>
            <w:tcBorders>
              <w:top w:val="nil"/>
              <w:left w:val="single" w:sz="12" w:space="0" w:color="auto"/>
              <w:bottom w:val="single" w:sz="12" w:space="0" w:color="auto"/>
              <w:right w:val="single" w:sz="4" w:space="0" w:color="auto"/>
            </w:tcBorders>
            <w:vAlign w:val="center"/>
            <w:hideMark/>
          </w:tcPr>
          <w:p w:rsidR="004F06E1" w:rsidRPr="00BB3F74" w:rsidRDefault="004F06E1" w:rsidP="007E1A55">
            <w:pPr>
              <w:widowControl/>
              <w:autoSpaceDE/>
              <w:autoSpaceDN/>
              <w:adjustRightInd/>
              <w:jc w:val="center"/>
              <w:rPr>
                <w:rFonts w:ascii="Arial" w:hAnsi="Arial" w:cs="Arial"/>
                <w:b/>
                <w:bCs/>
                <w:sz w:val="16"/>
                <w:szCs w:val="16"/>
              </w:rPr>
            </w:pPr>
            <w:r w:rsidRPr="00BB3F74">
              <w:rPr>
                <w:rFonts w:ascii="Arial" w:hAnsi="Arial" w:cs="Arial"/>
                <w:b/>
                <w:bCs/>
                <w:sz w:val="16"/>
                <w:szCs w:val="16"/>
              </w:rPr>
              <w:t>Outcome Measure: Success Rate - Civil (Merger and Non-Merger)</w:t>
            </w:r>
          </w:p>
        </w:tc>
        <w:tc>
          <w:tcPr>
            <w:tcW w:w="0" w:type="auto"/>
            <w:tcBorders>
              <w:top w:val="nil"/>
              <w:left w:val="nil"/>
              <w:bottom w:val="single" w:sz="12" w:space="0" w:color="auto"/>
              <w:right w:val="single" w:sz="4" w:space="0" w:color="auto"/>
            </w:tcBorders>
            <w:vAlign w:val="center"/>
            <w:hideMark/>
          </w:tcPr>
          <w:p w:rsidR="004F06E1" w:rsidRPr="00D21886" w:rsidRDefault="004F06E1" w:rsidP="007E1A55">
            <w:pPr>
              <w:widowControl/>
              <w:autoSpaceDE/>
              <w:autoSpaceDN/>
              <w:adjustRightInd/>
              <w:rPr>
                <w:rFonts w:ascii="Arial" w:hAnsi="Arial" w:cs="Arial"/>
                <w:sz w:val="16"/>
                <w:szCs w:val="16"/>
              </w:rPr>
            </w:pPr>
            <w:r w:rsidRPr="00D21886">
              <w:rPr>
                <w:rFonts w:ascii="Arial" w:hAnsi="Arial" w:cs="Arial"/>
                <w:sz w:val="16"/>
                <w:szCs w:val="16"/>
              </w:rPr>
              <w:t xml:space="preserve">Civil - Percentage of cases favorably resolved </w:t>
            </w:r>
          </w:p>
        </w:tc>
        <w:tc>
          <w:tcPr>
            <w:tcW w:w="0" w:type="auto"/>
            <w:tcBorders>
              <w:top w:val="nil"/>
              <w:left w:val="nil"/>
              <w:bottom w:val="single" w:sz="12"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100%</w:t>
            </w:r>
          </w:p>
        </w:tc>
        <w:tc>
          <w:tcPr>
            <w:tcW w:w="0" w:type="auto"/>
            <w:tcBorders>
              <w:top w:val="nil"/>
              <w:left w:val="nil"/>
              <w:bottom w:val="single" w:sz="12"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100%</w:t>
            </w:r>
          </w:p>
        </w:tc>
        <w:tc>
          <w:tcPr>
            <w:tcW w:w="0" w:type="auto"/>
            <w:tcBorders>
              <w:top w:val="nil"/>
              <w:left w:val="nil"/>
              <w:bottom w:val="single" w:sz="12"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100%</w:t>
            </w:r>
          </w:p>
        </w:tc>
        <w:tc>
          <w:tcPr>
            <w:tcW w:w="0" w:type="auto"/>
            <w:tcBorders>
              <w:top w:val="nil"/>
              <w:left w:val="nil"/>
              <w:bottom w:val="single" w:sz="12"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100%</w:t>
            </w:r>
          </w:p>
        </w:tc>
        <w:tc>
          <w:tcPr>
            <w:tcW w:w="0" w:type="auto"/>
            <w:tcBorders>
              <w:top w:val="nil"/>
              <w:left w:val="nil"/>
              <w:bottom w:val="single" w:sz="12"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100%</w:t>
            </w:r>
          </w:p>
        </w:tc>
        <w:tc>
          <w:tcPr>
            <w:tcW w:w="0" w:type="auto"/>
            <w:tcBorders>
              <w:top w:val="nil"/>
              <w:left w:val="nil"/>
              <w:bottom w:val="single" w:sz="12" w:space="0" w:color="auto"/>
              <w:right w:val="single" w:sz="4" w:space="0" w:color="auto"/>
            </w:tcBorders>
            <w:noWrap/>
            <w:vAlign w:val="center"/>
            <w:hideMark/>
          </w:tcPr>
          <w:p w:rsidR="004F06E1" w:rsidRPr="00D21886" w:rsidRDefault="0043643C" w:rsidP="007E1A55">
            <w:pPr>
              <w:widowControl/>
              <w:autoSpaceDE/>
              <w:autoSpaceDN/>
              <w:adjustRightInd/>
              <w:jc w:val="center"/>
              <w:rPr>
                <w:rFonts w:ascii="Arial" w:hAnsi="Arial" w:cs="Arial"/>
                <w:sz w:val="16"/>
                <w:szCs w:val="16"/>
              </w:rPr>
            </w:pPr>
            <w:r w:rsidRPr="00D21886">
              <w:rPr>
                <w:rFonts w:ascii="Arial" w:hAnsi="Arial" w:cs="Arial"/>
                <w:sz w:val="16"/>
                <w:szCs w:val="16"/>
              </w:rPr>
              <w:t>98</w:t>
            </w:r>
            <w:r w:rsidR="004F06E1" w:rsidRPr="00D21886">
              <w:rPr>
                <w:rFonts w:ascii="Arial" w:hAnsi="Arial" w:cs="Arial"/>
                <w:sz w:val="16"/>
                <w:szCs w:val="16"/>
              </w:rPr>
              <w:t>%</w:t>
            </w:r>
          </w:p>
        </w:tc>
        <w:tc>
          <w:tcPr>
            <w:tcW w:w="0" w:type="auto"/>
            <w:tcBorders>
              <w:top w:val="nil"/>
              <w:left w:val="nil"/>
              <w:bottom w:val="single" w:sz="12" w:space="0" w:color="auto"/>
              <w:right w:val="single" w:sz="4" w:space="0" w:color="auto"/>
            </w:tcBorders>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80%</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 </w:t>
            </w:r>
            <w:r w:rsidR="00FC1327" w:rsidRPr="00D21886">
              <w:rPr>
                <w:rFonts w:ascii="Arial" w:hAnsi="Arial" w:cs="Arial"/>
                <w:sz w:val="16"/>
                <w:szCs w:val="16"/>
              </w:rPr>
              <w:t>100%</w:t>
            </w:r>
          </w:p>
        </w:tc>
        <w:tc>
          <w:tcPr>
            <w:tcW w:w="0" w:type="auto"/>
            <w:tcBorders>
              <w:top w:val="nil"/>
              <w:left w:val="nil"/>
              <w:bottom w:val="single" w:sz="12" w:space="0" w:color="auto"/>
              <w:right w:val="single" w:sz="4" w:space="0" w:color="auto"/>
            </w:tcBorders>
            <w:shd w:val="clear" w:color="auto" w:fill="auto"/>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80%</w:t>
            </w:r>
          </w:p>
        </w:tc>
        <w:tc>
          <w:tcPr>
            <w:tcW w:w="0" w:type="auto"/>
            <w:tcBorders>
              <w:top w:val="nil"/>
              <w:left w:val="nil"/>
              <w:bottom w:val="single" w:sz="12" w:space="0" w:color="auto"/>
              <w:right w:val="single" w:sz="12" w:space="0" w:color="auto"/>
            </w:tcBorders>
            <w:shd w:val="clear" w:color="auto" w:fill="auto"/>
            <w:noWrap/>
            <w:vAlign w:val="center"/>
            <w:hideMark/>
          </w:tcPr>
          <w:p w:rsidR="004F06E1" w:rsidRPr="00D21886" w:rsidRDefault="004F06E1" w:rsidP="007E1A55">
            <w:pPr>
              <w:widowControl/>
              <w:autoSpaceDE/>
              <w:autoSpaceDN/>
              <w:adjustRightInd/>
              <w:jc w:val="center"/>
              <w:rPr>
                <w:rFonts w:ascii="Arial" w:hAnsi="Arial" w:cs="Arial"/>
                <w:sz w:val="16"/>
                <w:szCs w:val="16"/>
              </w:rPr>
            </w:pPr>
            <w:r w:rsidRPr="00D21886">
              <w:rPr>
                <w:rFonts w:ascii="Arial" w:hAnsi="Arial" w:cs="Arial"/>
                <w:sz w:val="16"/>
                <w:szCs w:val="16"/>
              </w:rPr>
              <w:t>80%</w:t>
            </w:r>
          </w:p>
        </w:tc>
      </w:tr>
      <w:tr w:rsidR="004F06E1" w:rsidRPr="00BB3F74" w:rsidTr="007E1A55">
        <w:trPr>
          <w:trHeight w:val="248"/>
        </w:trPr>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nil"/>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c>
          <w:tcPr>
            <w:tcW w:w="0" w:type="auto"/>
            <w:tcBorders>
              <w:top w:val="nil"/>
              <w:left w:val="nil"/>
              <w:bottom w:val="nil"/>
              <w:right w:val="single" w:sz="12" w:space="0" w:color="auto"/>
            </w:tcBorders>
            <w:shd w:val="clear" w:color="auto" w:fill="auto"/>
            <w:noWrap/>
            <w:hideMark/>
          </w:tcPr>
          <w:p w:rsidR="004F06E1" w:rsidRPr="00BB3F74" w:rsidRDefault="004F06E1" w:rsidP="007E1A55">
            <w:pPr>
              <w:widowControl/>
              <w:autoSpaceDE/>
              <w:autoSpaceDN/>
              <w:adjustRightInd/>
              <w:rPr>
                <w:rFonts w:ascii="Arial" w:hAnsi="Arial" w:cs="Arial"/>
                <w:sz w:val="18"/>
                <w:szCs w:val="18"/>
              </w:rPr>
            </w:pPr>
          </w:p>
        </w:tc>
      </w:tr>
    </w:tbl>
    <w:p w:rsidR="007E1A55" w:rsidRDefault="007E1A55" w:rsidP="007E1A55">
      <w:pPr>
        <w:ind w:right="-1440"/>
      </w:pPr>
    </w:p>
    <w:p w:rsidR="003B05E5" w:rsidRDefault="003B05E5" w:rsidP="004F06E1">
      <w:pPr>
        <w:ind w:left="-90" w:firstLine="90"/>
        <w:sectPr w:rsidR="003B05E5" w:rsidSect="007E1A55">
          <w:endnotePr>
            <w:numFmt w:val="decimal"/>
          </w:endnotePr>
          <w:pgSz w:w="15840" w:h="12240" w:orient="landscape" w:code="1"/>
          <w:pgMar w:top="1440" w:right="1440" w:bottom="1008" w:left="1440" w:header="720" w:footer="720" w:gutter="0"/>
          <w:cols w:space="720"/>
          <w:noEndnote/>
        </w:sectPr>
      </w:pPr>
    </w:p>
    <w:p w:rsidR="003B05E5" w:rsidRPr="001C3314" w:rsidRDefault="00DD5825" w:rsidP="001C3314">
      <w:pPr>
        <w:pStyle w:val="TOC4"/>
      </w:pPr>
      <w:r>
        <w:pict>
          <v:shape id="_x0000_s1038" type="#_x0000_t202" style="position:absolute;left:0;text-align:left;margin-left:-34.95pt;margin-top:27.2pt;width:708pt;height:84pt;z-index:251639296" filled="f" fillcolor="#0c9" stroked="f">
            <v:textbox style="mso-next-textbox:#_x0000_s1038">
              <w:txbxContent>
                <w:p w:rsidR="00145476" w:rsidRDefault="00145476">
                  <w:pPr>
                    <w:rPr>
                      <w:color w:val="000000"/>
                      <w:sz w:val="48"/>
                      <w:szCs w:val="48"/>
                    </w:rPr>
                  </w:pPr>
                  <w:r>
                    <w:rPr>
                      <w:b/>
                      <w:bCs/>
                      <w:i/>
                      <w:iCs/>
                      <w:color w:val="000000"/>
                      <w:sz w:val="32"/>
                      <w:szCs w:val="32"/>
                    </w:rPr>
                    <w:t xml:space="preserve">  </w:t>
                  </w:r>
                  <w:r>
                    <w:rPr>
                      <w:i/>
                      <w:iCs/>
                      <w:color w:val="000000"/>
                      <w:sz w:val="32"/>
                      <w:szCs w:val="32"/>
                    </w:rPr>
                    <w:t xml:space="preserve">                                                 Antitrust Division, Department of Justice</w:t>
                  </w:r>
                </w:p>
                <w:p w:rsidR="00145476" w:rsidRDefault="00145476">
                  <w:pPr>
                    <w:jc w:val="center"/>
                    <w:rPr>
                      <w:color w:val="000000"/>
                      <w:sz w:val="48"/>
                      <w:szCs w:val="48"/>
                    </w:rPr>
                  </w:pPr>
                  <w:r>
                    <w:rPr>
                      <w:color w:val="000000"/>
                      <w:sz w:val="48"/>
                      <w:szCs w:val="48"/>
                    </w:rPr>
                    <w:t>Performance Measurement Framework</w:t>
                  </w:r>
                  <w:r>
                    <w:rPr>
                      <w:color w:val="000000"/>
                      <w:sz w:val="48"/>
                      <w:szCs w:val="48"/>
                    </w:rPr>
                    <w:br/>
                    <w:t>FY 2014</w:t>
                  </w:r>
                </w:p>
              </w:txbxContent>
            </v:textbox>
            <w10:wrap type="topAndBottom" side="left"/>
          </v:shape>
        </w:pict>
      </w:r>
      <w:bookmarkStart w:id="182" w:name="_Toc349640471"/>
      <w:r w:rsidR="003B05E5" w:rsidRPr="001C3314">
        <w:t>3.  Performance Measurement Framework</w:t>
      </w:r>
      <w:bookmarkEnd w:id="182"/>
    </w:p>
    <w:p w:rsidR="003B05E5" w:rsidRDefault="003B05E5"/>
    <w:p w:rsidR="003B05E5" w:rsidRDefault="00DD5825" w:rsidP="00D746E9">
      <w:pPr>
        <w:pStyle w:val="FootnoteText"/>
        <w:ind w:left="763"/>
        <w:rPr>
          <w:noProof/>
          <w:szCs w:val="24"/>
        </w:rPr>
      </w:pPr>
      <w:r>
        <w:rPr>
          <w:noProof/>
          <w:szCs w:val="24"/>
        </w:rPr>
        <w:pict>
          <v:line id="_x0000_s1058" style="position:absolute;left:0;text-align:left;flip:x;z-index:251657728;v-text-anchor:middle" from="314.95pt,45.1pt" to="314.95pt,65.55pt">
            <w10:wrap type="topAndBottom" side="left"/>
          </v:line>
        </w:pict>
      </w:r>
      <w:r>
        <w:rPr>
          <w:noProof/>
          <w:szCs w:val="24"/>
        </w:rPr>
        <w:pict>
          <v:rect id="_x0000_s1040" style="position:absolute;left:0;text-align:left;margin-left:191.55pt;margin-top:65.55pt;width:237.15pt;height:47.4pt;z-index:251641344;v-text-anchor:middle" strokeweight="2.5pt">
            <v:stroke linestyle="thinThick"/>
            <v:textbox style="mso-next-textbox:#_x0000_s1040" inset="3.6pt,,3.6pt">
              <w:txbxContent>
                <w:p w:rsidR="00145476" w:rsidRPr="009B0AFD" w:rsidRDefault="00145476">
                  <w:pPr>
                    <w:rPr>
                      <w:rFonts w:ascii="Arial" w:hAnsi="Arial" w:cs="Arial"/>
                      <w:color w:val="000000"/>
                    </w:rPr>
                  </w:pPr>
                  <w:r w:rsidRPr="009B0AFD">
                    <w:rPr>
                      <w:rFonts w:ascii="Arial" w:hAnsi="Arial" w:cs="Arial"/>
                      <w:b/>
                      <w:bCs/>
                      <w:color w:val="000000"/>
                    </w:rPr>
                    <w:t>Vision:</w:t>
                  </w:r>
                </w:p>
                <w:p w:rsidR="00145476" w:rsidRPr="009B0AFD" w:rsidRDefault="00145476">
                  <w:pPr>
                    <w:rPr>
                      <w:rFonts w:ascii="Arial" w:hAnsi="Arial" w:cs="Arial"/>
                      <w:color w:val="000000"/>
                      <w:sz w:val="20"/>
                      <w:szCs w:val="20"/>
                    </w:rPr>
                  </w:pPr>
                  <w:r w:rsidRPr="009B0AFD">
                    <w:rPr>
                      <w:rFonts w:ascii="Arial" w:hAnsi="Arial" w:cs="Arial"/>
                      <w:b/>
                      <w:bCs/>
                      <w:color w:val="000000"/>
                      <w:sz w:val="20"/>
                      <w:szCs w:val="20"/>
                    </w:rPr>
                    <w:t>Consumers:</w:t>
                  </w:r>
                  <w:r w:rsidRPr="009B0AFD">
                    <w:rPr>
                      <w:rFonts w:ascii="Arial" w:hAnsi="Arial" w:cs="Arial"/>
                      <w:color w:val="000000"/>
                      <w:sz w:val="20"/>
                      <w:szCs w:val="20"/>
                    </w:rPr>
                    <w:t xml:space="preserve"> High Quality, Low </w:t>
                  </w:r>
                  <w:r>
                    <w:rPr>
                      <w:rFonts w:ascii="Arial" w:hAnsi="Arial" w:cs="Arial"/>
                      <w:color w:val="000000"/>
                      <w:sz w:val="20"/>
                      <w:szCs w:val="20"/>
                    </w:rPr>
                    <w:t>P</w:t>
                  </w:r>
                  <w:r w:rsidRPr="009B0AFD">
                    <w:rPr>
                      <w:rFonts w:ascii="Arial" w:hAnsi="Arial" w:cs="Arial"/>
                      <w:color w:val="000000"/>
                      <w:sz w:val="20"/>
                      <w:szCs w:val="20"/>
                    </w:rPr>
                    <w:t>rice</w:t>
                  </w:r>
                </w:p>
                <w:p w:rsidR="00145476" w:rsidRPr="009B0AFD" w:rsidRDefault="00145476">
                  <w:pPr>
                    <w:rPr>
                      <w:color w:val="000000"/>
                      <w:sz w:val="20"/>
                      <w:szCs w:val="20"/>
                    </w:rPr>
                  </w:pPr>
                  <w:r w:rsidRPr="009B0AFD">
                    <w:rPr>
                      <w:rFonts w:ascii="Arial" w:hAnsi="Arial" w:cs="Arial"/>
                      <w:b/>
                      <w:bCs/>
                      <w:color w:val="000000"/>
                      <w:sz w:val="20"/>
                      <w:szCs w:val="20"/>
                    </w:rPr>
                    <w:t>Businesses:</w:t>
                  </w:r>
                  <w:r w:rsidRPr="009B0AFD">
                    <w:rPr>
                      <w:rFonts w:ascii="Arial" w:hAnsi="Arial" w:cs="Arial"/>
                      <w:color w:val="000000"/>
                      <w:sz w:val="20"/>
                      <w:szCs w:val="20"/>
                    </w:rPr>
                    <w:t xml:space="preserve"> Fair Competition</w:t>
                  </w:r>
                </w:p>
              </w:txbxContent>
            </v:textbox>
            <w10:wrap type="topAndBottom" side="left"/>
          </v:rect>
        </w:pict>
      </w:r>
      <w:r>
        <w:rPr>
          <w:noProof/>
          <w:szCs w:val="24"/>
        </w:rPr>
        <w:pict>
          <v:rect id="_x0000_s1039" style="position:absolute;left:0;text-align:left;margin-left:183.2pt;margin-top:18.65pt;width:256.95pt;height:26.45pt;z-index:251640320;v-text-anchor:middle" strokeweight="2.5pt">
            <v:stroke linestyle="thinThick"/>
            <v:textbox style="mso-next-textbox:#_x0000_s1039">
              <w:txbxContent>
                <w:p w:rsidR="00145476" w:rsidRPr="00D746E9" w:rsidRDefault="00145476" w:rsidP="00D746E9">
                  <w:pPr>
                    <w:jc w:val="center"/>
                    <w:rPr>
                      <w:color w:val="000000"/>
                      <w:sz w:val="28"/>
                      <w:szCs w:val="28"/>
                    </w:rPr>
                  </w:pPr>
                  <w:r w:rsidRPr="00D746E9">
                    <w:rPr>
                      <w:rFonts w:ascii="Arial" w:hAnsi="Arial" w:cs="Arial"/>
                      <w:b/>
                      <w:bCs/>
                      <w:color w:val="000000"/>
                      <w:sz w:val="28"/>
                      <w:szCs w:val="28"/>
                    </w:rPr>
                    <w:t>Mission:</w:t>
                  </w:r>
                  <w:r>
                    <w:rPr>
                      <w:rFonts w:ascii="Arial" w:hAnsi="Arial" w:cs="Arial"/>
                      <w:b/>
                      <w:bCs/>
                      <w:color w:val="000000"/>
                      <w:sz w:val="28"/>
                      <w:szCs w:val="28"/>
                    </w:rPr>
                    <w:t xml:space="preserve">  </w:t>
                  </w:r>
                  <w:r w:rsidRPr="00D746E9">
                    <w:rPr>
                      <w:rFonts w:ascii="Arial" w:hAnsi="Arial" w:cs="Arial"/>
                      <w:color w:val="000000"/>
                      <w:sz w:val="28"/>
                      <w:szCs w:val="28"/>
                    </w:rPr>
                    <w:t>Promote Competition</w:t>
                  </w:r>
                </w:p>
              </w:txbxContent>
            </v:textbox>
            <w10:wrap type="topAndBottom" side="left"/>
          </v:rect>
        </w:pict>
      </w:r>
      <w:r>
        <w:rPr>
          <w:noProof/>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3" type="#_x0000_t34" style="position:absolute;left:0;text-align:left;margin-left:366pt;margin-top:58.35pt;width:18.25pt;height:130pt;rotation:90;flip:x;z-index:251652608;v-text-anchor:middle" o:connectortype="elbow" adj="10770,45726,-452298">
            <w10:wrap type="topAndBottom" side="left"/>
          </v:shape>
        </w:pict>
      </w:r>
      <w:r>
        <w:rPr>
          <w:noProof/>
          <w:szCs w:val="24"/>
        </w:rPr>
        <w:pict>
          <v:group id="_x0000_s1043" style="position:absolute;left:0;text-align:left;margin-left:385.05pt;margin-top:133.7pt;width:266.25pt;height:54pt;z-index:251644416" coordorigin="2366,993" coordsize="1392,288">
            <v:rect id="_x0000_s1044" style="position:absolute;left:2366;top:993;width:576;height:288;v-text-anchor:middle" strokeweight="2.5pt">
              <v:stroke linestyle="thinThick"/>
              <v:textbox style="mso-next-textbox:#_x0000_s1044" inset="3.6pt,,3.6pt">
                <w:txbxContent>
                  <w:p w:rsidR="00145476" w:rsidRPr="00EA2E09" w:rsidRDefault="00145476">
                    <w:pPr>
                      <w:rPr>
                        <w:rFonts w:ascii="Arial" w:hAnsi="Arial" w:cs="Arial"/>
                        <w:b/>
                        <w:bCs/>
                        <w:color w:val="000000"/>
                      </w:rPr>
                    </w:pPr>
                    <w:r w:rsidRPr="00EA2E09">
                      <w:rPr>
                        <w:rFonts w:ascii="Arial" w:hAnsi="Arial" w:cs="Arial"/>
                        <w:b/>
                        <w:bCs/>
                        <w:color w:val="000000"/>
                      </w:rPr>
                      <w:t xml:space="preserve">Goal: </w:t>
                    </w:r>
                  </w:p>
                  <w:p w:rsidR="00145476" w:rsidRPr="00EA2E09" w:rsidRDefault="00145476">
                    <w:pPr>
                      <w:rPr>
                        <w:color w:val="000000"/>
                      </w:rPr>
                    </w:pPr>
                    <w:r w:rsidRPr="00EA2E09">
                      <w:rPr>
                        <w:rFonts w:ascii="Arial" w:hAnsi="Arial" w:cs="Arial"/>
                        <w:b/>
                        <w:bCs/>
                        <w:color w:val="000000"/>
                      </w:rPr>
                      <w:t>Civil</w:t>
                    </w:r>
                  </w:p>
                </w:txbxContent>
              </v:textbox>
            </v:rect>
            <v:rect id="_x0000_s1045" style="position:absolute;left:2942;top:993;width:816;height:288;v-text-anchor:middle" strokeweight="2.5pt">
              <v:stroke linestyle="thinThick"/>
              <v:textbox style="mso-next-textbox:#_x0000_s1045" inset="3.6pt,,3.6pt">
                <w:txbxContent>
                  <w:p w:rsidR="00145476" w:rsidRDefault="00145476">
                    <w:pPr>
                      <w:rPr>
                        <w:rFonts w:ascii="Arial" w:hAnsi="Arial" w:cs="Arial"/>
                        <w:b/>
                        <w:bCs/>
                        <w:color w:val="000000"/>
                        <w:sz w:val="18"/>
                        <w:szCs w:val="18"/>
                      </w:rPr>
                    </w:pPr>
                    <w:r>
                      <w:rPr>
                        <w:rFonts w:ascii="Arial" w:hAnsi="Arial" w:cs="Arial"/>
                        <w:b/>
                        <w:bCs/>
                        <w:color w:val="000000"/>
                        <w:sz w:val="18"/>
                        <w:szCs w:val="18"/>
                      </w:rPr>
                      <w:t xml:space="preserve">Outcomes: </w:t>
                    </w:r>
                  </w:p>
                  <w:p w:rsidR="00145476" w:rsidRDefault="00145476" w:rsidP="00D95EBB">
                    <w:pPr>
                      <w:numPr>
                        <w:ilvl w:val="0"/>
                        <w:numId w:val="32"/>
                      </w:numPr>
                      <w:rPr>
                        <w:rFonts w:ascii="Arial" w:hAnsi="Arial" w:cs="Arial"/>
                        <w:color w:val="000000"/>
                        <w:sz w:val="18"/>
                        <w:szCs w:val="18"/>
                      </w:rPr>
                    </w:pPr>
                    <w:r>
                      <w:rPr>
                        <w:rFonts w:ascii="Arial" w:hAnsi="Arial" w:cs="Arial"/>
                        <w:color w:val="000000"/>
                        <w:sz w:val="18"/>
                        <w:szCs w:val="18"/>
                      </w:rPr>
                      <w:t>Success rates: merger and civil non-merger</w:t>
                    </w:r>
                  </w:p>
                  <w:p w:rsidR="00145476" w:rsidRDefault="00145476" w:rsidP="00D95EBB">
                    <w:pPr>
                      <w:numPr>
                        <w:ilvl w:val="0"/>
                        <w:numId w:val="32"/>
                      </w:numPr>
                      <w:rPr>
                        <w:rFonts w:ascii="Arial" w:hAnsi="Arial" w:cs="Arial"/>
                        <w:color w:val="000000"/>
                        <w:sz w:val="18"/>
                        <w:szCs w:val="18"/>
                      </w:rPr>
                    </w:pPr>
                    <w:r>
                      <w:rPr>
                        <w:rFonts w:ascii="Arial" w:hAnsi="Arial" w:cs="Arial"/>
                        <w:color w:val="000000"/>
                        <w:sz w:val="18"/>
                        <w:szCs w:val="18"/>
                      </w:rPr>
                      <w:t>Savings to consumer</w:t>
                    </w:r>
                  </w:p>
                </w:txbxContent>
              </v:textbox>
            </v:rect>
            <w10:wrap type="topAndBottom" side="left"/>
          </v:group>
        </w:pict>
      </w:r>
      <w:r>
        <w:rPr>
          <w:noProof/>
          <w:szCs w:val="24"/>
        </w:rPr>
        <w:pict>
          <v:rect id="_x0000_s1041" style="position:absolute;left:0;text-align:left;margin-left:52.05pt;margin-top:146.8pt;width:83.35pt;height:41.1pt;z-index:251642368;v-text-anchor:middle" strokeweight="2.5pt">
            <v:stroke linestyle="thinThick"/>
            <v:textbox style="mso-next-textbox:#_x0000_s1041" inset="3.6pt,,3.6pt">
              <w:txbxContent>
                <w:p w:rsidR="00145476" w:rsidRPr="00EA2E09" w:rsidRDefault="00145476">
                  <w:pPr>
                    <w:rPr>
                      <w:rFonts w:ascii="Arial" w:hAnsi="Arial" w:cs="Arial"/>
                      <w:b/>
                      <w:bCs/>
                      <w:color w:val="000000"/>
                    </w:rPr>
                  </w:pPr>
                  <w:r w:rsidRPr="00EA2E09">
                    <w:rPr>
                      <w:rFonts w:ascii="Arial" w:hAnsi="Arial" w:cs="Arial"/>
                      <w:b/>
                      <w:bCs/>
                      <w:color w:val="000000"/>
                    </w:rPr>
                    <w:t xml:space="preserve">Goal: </w:t>
                  </w:r>
                </w:p>
                <w:p w:rsidR="00145476" w:rsidRPr="00EA2E09" w:rsidRDefault="00145476">
                  <w:pPr>
                    <w:rPr>
                      <w:color w:val="000000"/>
                    </w:rPr>
                  </w:pPr>
                  <w:r w:rsidRPr="00EA2E09">
                    <w:rPr>
                      <w:rFonts w:ascii="Arial" w:hAnsi="Arial" w:cs="Arial"/>
                      <w:b/>
                      <w:bCs/>
                      <w:color w:val="000000"/>
                    </w:rPr>
                    <w:t>Criminal</w:t>
                  </w:r>
                </w:p>
              </w:txbxContent>
            </v:textbox>
            <w10:wrap type="topAndBottom" side="left"/>
          </v:rect>
        </w:pict>
      </w:r>
      <w:r>
        <w:rPr>
          <w:noProof/>
          <w:szCs w:val="24"/>
        </w:rPr>
        <w:pict>
          <v:rect id="_x0000_s1042" style="position:absolute;left:0;text-align:left;margin-left:135.4pt;margin-top:145.85pt;width:142.05pt;height:42.05pt;z-index:251643392;v-text-anchor:middle" strokeweight="2.5pt">
            <v:stroke linestyle="thinThick"/>
            <v:textbox style="mso-next-textbox:#_x0000_s1042" inset="3.6pt,,3.6pt">
              <w:txbxContent>
                <w:p w:rsidR="00145476" w:rsidRDefault="00145476">
                  <w:pPr>
                    <w:rPr>
                      <w:rFonts w:ascii="Arial" w:hAnsi="Arial" w:cs="Arial"/>
                      <w:b/>
                      <w:bCs/>
                      <w:color w:val="000000"/>
                      <w:sz w:val="18"/>
                      <w:szCs w:val="18"/>
                    </w:rPr>
                  </w:pPr>
                  <w:r>
                    <w:rPr>
                      <w:rFonts w:ascii="Arial" w:hAnsi="Arial" w:cs="Arial"/>
                      <w:b/>
                      <w:bCs/>
                      <w:color w:val="000000"/>
                      <w:sz w:val="18"/>
                      <w:szCs w:val="18"/>
                    </w:rPr>
                    <w:t xml:space="preserve">Outcomes: </w:t>
                  </w:r>
                </w:p>
                <w:p w:rsidR="00145476" w:rsidRDefault="00145476" w:rsidP="0021255F">
                  <w:pPr>
                    <w:numPr>
                      <w:ilvl w:val="0"/>
                      <w:numId w:val="24"/>
                    </w:numPr>
                    <w:rPr>
                      <w:rFonts w:ascii="Arial" w:hAnsi="Arial" w:cs="Arial"/>
                      <w:color w:val="000000"/>
                      <w:sz w:val="18"/>
                      <w:szCs w:val="18"/>
                    </w:rPr>
                  </w:pPr>
                  <w:r>
                    <w:rPr>
                      <w:rFonts w:ascii="Arial" w:hAnsi="Arial" w:cs="Arial"/>
                      <w:color w:val="000000"/>
                      <w:sz w:val="18"/>
                      <w:szCs w:val="18"/>
                    </w:rPr>
                    <w:t>Success rates: criminal</w:t>
                  </w:r>
                </w:p>
                <w:p w:rsidR="00145476" w:rsidRDefault="00145476" w:rsidP="00C7341C">
                  <w:pPr>
                    <w:numPr>
                      <w:ilvl w:val="0"/>
                      <w:numId w:val="24"/>
                    </w:numPr>
                    <w:rPr>
                      <w:rFonts w:ascii="Arial" w:hAnsi="Arial" w:cs="Arial"/>
                      <w:color w:val="000000"/>
                      <w:sz w:val="18"/>
                      <w:szCs w:val="18"/>
                    </w:rPr>
                  </w:pPr>
                  <w:r>
                    <w:rPr>
                      <w:rFonts w:ascii="Arial" w:hAnsi="Arial" w:cs="Arial"/>
                      <w:color w:val="000000"/>
                      <w:sz w:val="18"/>
                      <w:szCs w:val="18"/>
                    </w:rPr>
                    <w:t>Savings to consumer</w:t>
                  </w:r>
                </w:p>
              </w:txbxContent>
            </v:textbox>
            <w10:wrap type="topAndBottom" side="left"/>
          </v:rect>
        </w:pict>
      </w:r>
      <w:r>
        <w:rPr>
          <w:noProof/>
          <w:szCs w:val="24"/>
        </w:rPr>
        <w:pict>
          <v:line id="_x0000_s1059" style="position:absolute;left:0;text-align:left;flip:x;z-index:251658752;v-text-anchor:middle" from="181.05pt,124.2pt" to="313.05pt,124.2pt">
            <w10:wrap type="topAndBottom" side="left"/>
          </v:line>
        </w:pict>
      </w:r>
      <w:r>
        <w:rPr>
          <w:noProof/>
          <w:szCs w:val="24"/>
        </w:rPr>
        <w:pict>
          <v:line id="_x0000_s1060" style="position:absolute;left:0;text-align:left;flip:y;z-index:251659776;v-text-anchor:middle" from="181.05pt,124.2pt" to="181.05pt,147.2pt">
            <w10:wrap type="topAndBottom" side="left"/>
          </v:line>
        </w:pict>
      </w:r>
    </w:p>
    <w:p w:rsidR="003B05E5" w:rsidRDefault="00DD5825">
      <w:r>
        <w:rPr>
          <w:noProof/>
        </w:rPr>
        <w:pict>
          <v:rect id="_x0000_s1051" style="position:absolute;margin-left:174.2pt;margin-top:193.4pt;width:108.75pt;height:118.05pt;z-index:251650560;v-text-anchor:middle" filled="f" fillcolor="#b2b2b2" strokeweight="1pt">
            <v:textbox style="mso-next-textbox:#_x0000_s1051" inset="3.6pt,,3.6pt">
              <w:txbxContent>
                <w:p w:rsidR="00145476" w:rsidRDefault="00145476">
                  <w:pPr>
                    <w:rPr>
                      <w:rFonts w:ascii="Arial" w:hAnsi="Arial" w:cs="Arial"/>
                      <w:b/>
                      <w:bCs/>
                      <w:i/>
                      <w:iCs/>
                      <w:color w:val="000000"/>
                      <w:sz w:val="16"/>
                      <w:szCs w:val="16"/>
                    </w:rPr>
                  </w:pPr>
                  <w:r>
                    <w:rPr>
                      <w:rFonts w:ascii="Arial" w:hAnsi="Arial" w:cs="Arial"/>
                      <w:b/>
                      <w:bCs/>
                      <w:i/>
                      <w:iCs/>
                      <w:color w:val="000000"/>
                      <w:sz w:val="16"/>
                      <w:szCs w:val="16"/>
                    </w:rPr>
                    <w:t>Exemplars:</w:t>
                  </w:r>
                </w:p>
                <w:p w:rsidR="00145476" w:rsidRDefault="00145476">
                  <w:pPr>
                    <w:rPr>
                      <w:rFonts w:ascii="Arial" w:hAnsi="Arial" w:cs="Arial"/>
                      <w:b/>
                      <w:bCs/>
                      <w:i/>
                      <w:iCs/>
                      <w:color w:val="000000"/>
                      <w:sz w:val="16"/>
                      <w:szCs w:val="16"/>
                    </w:rPr>
                  </w:pPr>
                </w:p>
                <w:p w:rsidR="00145476" w:rsidRPr="009B7DA8" w:rsidRDefault="00145476">
                  <w:pPr>
                    <w:rPr>
                      <w:rFonts w:ascii="Arial" w:hAnsi="Arial" w:cs="Arial"/>
                      <w:b/>
                      <w:bCs/>
                      <w:i/>
                      <w:iCs/>
                      <w:color w:val="000000"/>
                      <w:sz w:val="8"/>
                      <w:szCs w:val="8"/>
                    </w:rPr>
                  </w:pPr>
                </w:p>
                <w:p w:rsidR="00145476" w:rsidRPr="002A4176" w:rsidRDefault="00145476" w:rsidP="00197914">
                  <w:pPr>
                    <w:numPr>
                      <w:ilvl w:val="0"/>
                      <w:numId w:val="64"/>
                    </w:numPr>
                    <w:ind w:left="720" w:hanging="450"/>
                    <w:rPr>
                      <w:rFonts w:ascii="Arial" w:hAnsi="Arial" w:cs="Arial"/>
                      <w:color w:val="000000"/>
                      <w:sz w:val="16"/>
                      <w:szCs w:val="16"/>
                    </w:rPr>
                  </w:pPr>
                  <w:r>
                    <w:rPr>
                      <w:rFonts w:ascii="Arial"/>
                      <w:color w:val="000000"/>
                      <w:sz w:val="16"/>
                      <w:szCs w:val="16"/>
                    </w:rPr>
                    <w:t>Financial Fraud Enforcement</w:t>
                  </w:r>
                </w:p>
                <w:p w:rsidR="00145476" w:rsidRDefault="00145476" w:rsidP="00197914">
                  <w:pPr>
                    <w:ind w:left="720"/>
                    <w:rPr>
                      <w:rFonts w:ascii="Arial"/>
                      <w:color w:val="000000"/>
                      <w:sz w:val="16"/>
                      <w:szCs w:val="16"/>
                    </w:rPr>
                  </w:pPr>
                  <w:r>
                    <w:rPr>
                      <w:rFonts w:ascii="Arial"/>
                      <w:color w:val="000000"/>
                      <w:sz w:val="16"/>
                      <w:szCs w:val="16"/>
                    </w:rPr>
                    <w:t>(Real Estate, Municipal Bonds and Economic Recovery)</w:t>
                  </w:r>
                </w:p>
                <w:p w:rsidR="00145476" w:rsidRDefault="00145476" w:rsidP="00197914">
                  <w:pPr>
                    <w:ind w:left="720"/>
                    <w:rPr>
                      <w:rFonts w:ascii="Arial"/>
                      <w:color w:val="000000"/>
                      <w:sz w:val="16"/>
                      <w:szCs w:val="16"/>
                    </w:rPr>
                  </w:pPr>
                </w:p>
                <w:p w:rsidR="00145476" w:rsidRDefault="00145476" w:rsidP="00197914">
                  <w:pPr>
                    <w:numPr>
                      <w:ilvl w:val="0"/>
                      <w:numId w:val="64"/>
                    </w:numPr>
                    <w:ind w:left="720" w:hanging="450"/>
                    <w:rPr>
                      <w:rFonts w:ascii="Arial"/>
                      <w:color w:val="000000"/>
                      <w:sz w:val="16"/>
                      <w:szCs w:val="16"/>
                    </w:rPr>
                  </w:pPr>
                  <w:r>
                    <w:rPr>
                      <w:rFonts w:ascii="Arial"/>
                      <w:color w:val="000000"/>
                      <w:sz w:val="16"/>
                      <w:szCs w:val="16"/>
                    </w:rPr>
                    <w:t xml:space="preserve">Automobile Parts </w:t>
                  </w:r>
                </w:p>
                <w:p w:rsidR="00145476" w:rsidRDefault="00145476" w:rsidP="00197914">
                  <w:pPr>
                    <w:rPr>
                      <w:rFonts w:ascii="Arial"/>
                      <w:color w:val="000000"/>
                      <w:sz w:val="16"/>
                      <w:szCs w:val="16"/>
                    </w:rPr>
                  </w:pPr>
                </w:p>
                <w:p w:rsidR="00145476" w:rsidRDefault="00145476">
                  <w:pPr>
                    <w:ind w:left="720"/>
                    <w:rPr>
                      <w:rFonts w:ascii="Arial" w:hAnsi="Arial" w:cs="Arial"/>
                      <w:color w:val="000000"/>
                      <w:sz w:val="16"/>
                      <w:szCs w:val="16"/>
                    </w:rPr>
                  </w:pPr>
                </w:p>
                <w:p w:rsidR="00145476" w:rsidRPr="00C26AFE" w:rsidRDefault="00145476" w:rsidP="00385926">
                  <w:pPr>
                    <w:rPr>
                      <w:rFonts w:ascii="Arial" w:hAnsi="Arial" w:cs="Arial"/>
                      <w:color w:val="000000"/>
                      <w:sz w:val="16"/>
                      <w:szCs w:val="16"/>
                    </w:rPr>
                  </w:pPr>
                </w:p>
              </w:txbxContent>
            </v:textbox>
            <w10:wrap type="topAndBottom" side="left"/>
          </v:rect>
        </w:pict>
      </w:r>
      <w:r w:rsidRPr="00DD5825">
        <w:rPr>
          <w:noProof/>
          <w:sz w:val="20"/>
        </w:rPr>
        <w:pict>
          <v:rect id="_x0000_s1064" style="position:absolute;margin-left:495.2pt;margin-top:262.15pt;width:177.85pt;height:75.3pt;z-index:251660800;v-text-anchor:middle" filled="f" fillcolor="#b2b2b2" strokeweight="1pt">
            <v:textbox style="mso-next-textbox:#_x0000_s1064" inset="3.6pt,,3.6pt">
              <w:txbxContent>
                <w:p w:rsidR="00145476" w:rsidRDefault="00145476">
                  <w:pPr>
                    <w:rPr>
                      <w:rFonts w:ascii="Arial" w:hAnsi="Arial" w:cs="Arial"/>
                      <w:b/>
                      <w:bCs/>
                      <w:i/>
                      <w:iCs/>
                      <w:color w:val="000000"/>
                      <w:sz w:val="16"/>
                      <w:szCs w:val="16"/>
                    </w:rPr>
                  </w:pPr>
                  <w:r>
                    <w:rPr>
                      <w:rFonts w:ascii="Arial" w:hAnsi="Arial" w:cs="Arial"/>
                      <w:b/>
                      <w:bCs/>
                      <w:i/>
                      <w:iCs/>
                      <w:color w:val="000000"/>
                      <w:sz w:val="16"/>
                      <w:szCs w:val="16"/>
                    </w:rPr>
                    <w:t>Exemplars:</w:t>
                  </w:r>
                </w:p>
                <w:p w:rsidR="00145476" w:rsidRDefault="00145476">
                  <w:pPr>
                    <w:rPr>
                      <w:rFonts w:ascii="Arial" w:hAnsi="Arial" w:cs="Arial"/>
                      <w:b/>
                      <w:bCs/>
                      <w:i/>
                      <w:iCs/>
                      <w:color w:val="000000"/>
                      <w:sz w:val="16"/>
                      <w:szCs w:val="16"/>
                    </w:rPr>
                  </w:pPr>
                </w:p>
                <w:p w:rsidR="00145476" w:rsidRPr="00D746E9" w:rsidRDefault="00145476">
                  <w:pPr>
                    <w:rPr>
                      <w:rFonts w:ascii="Arial" w:hAnsi="Arial" w:cs="Arial"/>
                      <w:b/>
                      <w:bCs/>
                      <w:i/>
                      <w:iCs/>
                      <w:color w:val="000000"/>
                      <w:sz w:val="8"/>
                      <w:szCs w:val="8"/>
                    </w:rPr>
                  </w:pPr>
                </w:p>
                <w:p w:rsidR="00145476" w:rsidRPr="00197914" w:rsidRDefault="00145476" w:rsidP="00DE4CFE">
                  <w:pPr>
                    <w:pStyle w:val="H4"/>
                    <w:widowControl/>
                    <w:numPr>
                      <w:ilvl w:val="0"/>
                      <w:numId w:val="13"/>
                    </w:numPr>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900"/>
                    </w:tabs>
                    <w:ind w:left="900" w:hanging="450"/>
                    <w:rPr>
                      <w:rFonts w:ascii="Arial" w:hAnsi="Arial" w:cs="Arial"/>
                      <w:b w:val="0"/>
                      <w:bCs/>
                      <w:sz w:val="16"/>
                      <w:szCs w:val="16"/>
                    </w:rPr>
                  </w:pPr>
                  <w:r w:rsidRPr="00197914">
                    <w:rPr>
                      <w:rFonts w:ascii="Arial" w:hAnsi="Arial" w:cs="Arial"/>
                      <w:b w:val="0"/>
                      <w:bCs/>
                      <w:sz w:val="16"/>
                      <w:szCs w:val="16"/>
                    </w:rPr>
                    <w:t>American Express, MasterCard and Visa – Credit Card Merchant Restraints</w:t>
                  </w:r>
                </w:p>
                <w:p w:rsidR="00145476" w:rsidRPr="00D746E9" w:rsidRDefault="00145476">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rFonts w:ascii="Arial" w:hAnsi="Arial" w:cs="Arial"/>
                      <w:b w:val="0"/>
                      <w:bCs/>
                      <w:sz w:val="8"/>
                      <w:szCs w:val="8"/>
                    </w:rPr>
                  </w:pPr>
                </w:p>
              </w:txbxContent>
            </v:textbox>
            <w10:wrap type="topAndBottom" side="left"/>
          </v:rect>
        </w:pict>
      </w:r>
      <w:r w:rsidRPr="00DD5825">
        <w:rPr>
          <w:noProof/>
          <w:sz w:val="20"/>
        </w:rPr>
        <w:pict>
          <v:rect id="_x0000_s1047" style="position:absolute;margin-left:503.5pt;margin-top:193.4pt;width:159.05pt;height:60.15pt;z-index:251646464;v-text-anchor:middle" filled="f" fillcolor="#b2b2b2" strokeweight="1pt">
            <v:textbox style="mso-next-textbox:#_x0000_s1047" inset="3.6pt,,3.6pt">
              <w:txbxContent>
                <w:p w:rsidR="00145476" w:rsidRDefault="00145476">
                  <w:pPr>
                    <w:rPr>
                      <w:rFonts w:ascii="Arial" w:hAnsi="Arial" w:cs="Arial"/>
                      <w:b/>
                      <w:bCs/>
                      <w:i/>
                      <w:iCs/>
                      <w:color w:val="000000"/>
                      <w:sz w:val="16"/>
                      <w:szCs w:val="16"/>
                    </w:rPr>
                  </w:pPr>
                  <w:r>
                    <w:rPr>
                      <w:rFonts w:ascii="Arial" w:hAnsi="Arial" w:cs="Arial"/>
                      <w:b/>
                      <w:bCs/>
                      <w:i/>
                      <w:iCs/>
                      <w:color w:val="000000"/>
                      <w:sz w:val="16"/>
                      <w:szCs w:val="16"/>
                    </w:rPr>
                    <w:t>Exemplars:</w:t>
                  </w:r>
                </w:p>
                <w:p w:rsidR="00145476" w:rsidRPr="00D95EBB" w:rsidRDefault="00145476">
                  <w:pPr>
                    <w:rPr>
                      <w:rFonts w:ascii="Arial" w:hAnsi="Arial" w:cs="Arial"/>
                      <w:b/>
                      <w:bCs/>
                      <w:i/>
                      <w:iCs/>
                      <w:color w:val="000000"/>
                      <w:sz w:val="8"/>
                      <w:szCs w:val="8"/>
                    </w:rPr>
                  </w:pPr>
                </w:p>
                <w:p w:rsidR="00145476" w:rsidRPr="00197914" w:rsidRDefault="00145476" w:rsidP="00D95EBB">
                  <w:pPr>
                    <w:pStyle w:val="H4"/>
                    <w:widowControl/>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Style w:val="Strong"/>
                      <w:rFonts w:ascii="Arial" w:hAnsi="Arial" w:cs="Arial"/>
                      <w:bCs w:val="0"/>
                      <w:sz w:val="16"/>
                      <w:szCs w:val="16"/>
                    </w:rPr>
                  </w:pPr>
                  <w:r w:rsidRPr="00197914">
                    <w:rPr>
                      <w:rStyle w:val="Strong"/>
                      <w:rFonts w:ascii="Arial" w:hAnsi="Arial" w:cs="Arial"/>
                      <w:bCs w:val="0"/>
                      <w:sz w:val="16"/>
                      <w:szCs w:val="16"/>
                    </w:rPr>
                    <w:t>H&amp;R Block, Inc./2SS Holdings, Inc. (</w:t>
                  </w:r>
                  <w:proofErr w:type="spellStart"/>
                  <w:r w:rsidRPr="00197914">
                    <w:rPr>
                      <w:rStyle w:val="Strong"/>
                      <w:rFonts w:ascii="Arial" w:hAnsi="Arial" w:cs="Arial"/>
                      <w:bCs w:val="0"/>
                      <w:sz w:val="16"/>
                      <w:szCs w:val="16"/>
                    </w:rPr>
                    <w:t>TaxACT</w:t>
                  </w:r>
                  <w:proofErr w:type="spellEnd"/>
                  <w:r w:rsidRPr="00197914">
                    <w:rPr>
                      <w:rStyle w:val="Strong"/>
                      <w:rFonts w:ascii="Arial" w:hAnsi="Arial" w:cs="Arial"/>
                      <w:bCs w:val="0"/>
                      <w:sz w:val="16"/>
                      <w:szCs w:val="16"/>
                    </w:rPr>
                    <w:t>)</w:t>
                  </w:r>
                </w:p>
                <w:p w:rsidR="00145476" w:rsidRPr="00197914" w:rsidRDefault="00145476" w:rsidP="001A23DC">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rStyle w:val="Strong"/>
                      <w:rFonts w:ascii="Arial" w:hAnsi="Arial" w:cs="Arial"/>
                      <w:bCs w:val="0"/>
                      <w:sz w:val="16"/>
                      <w:szCs w:val="16"/>
                    </w:rPr>
                  </w:pPr>
                </w:p>
                <w:p w:rsidR="00145476" w:rsidRPr="00197914" w:rsidRDefault="00145476" w:rsidP="00D95EBB">
                  <w:pPr>
                    <w:pStyle w:val="H4"/>
                    <w:widowControl/>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Style w:val="Strong"/>
                      <w:rFonts w:ascii="Arial" w:hAnsi="Arial" w:cs="Arial"/>
                      <w:bCs w:val="0"/>
                      <w:sz w:val="16"/>
                      <w:szCs w:val="16"/>
                    </w:rPr>
                  </w:pPr>
                  <w:r w:rsidRPr="00197914">
                    <w:rPr>
                      <w:rStyle w:val="Strong"/>
                      <w:rFonts w:ascii="Arial" w:hAnsi="Arial" w:cs="Arial"/>
                      <w:bCs w:val="0"/>
                      <w:sz w:val="16"/>
                      <w:szCs w:val="16"/>
                    </w:rPr>
                    <w:t>AT&amp;T, Inc. /T-Mobile USA, Inc.</w:t>
                  </w:r>
                </w:p>
                <w:p w:rsidR="00145476" w:rsidRDefault="00145476">
                  <w:pPr>
                    <w:tabs>
                      <w:tab w:val="left" w:pos="180"/>
                      <w:tab w:val="left" w:pos="270"/>
                    </w:tabs>
                    <w:rPr>
                      <w:rFonts w:ascii="Arial" w:hAnsi="Arial" w:cs="Arial"/>
                      <w:bCs/>
                      <w:sz w:val="16"/>
                      <w:szCs w:val="16"/>
                    </w:rPr>
                  </w:pPr>
                </w:p>
                <w:p w:rsidR="00145476" w:rsidRDefault="00145476">
                  <w:pPr>
                    <w:tabs>
                      <w:tab w:val="left" w:pos="180"/>
                      <w:tab w:val="left" w:pos="270"/>
                    </w:tabs>
                    <w:rPr>
                      <w:rFonts w:ascii="Arial" w:hAnsi="Arial" w:cs="Arial"/>
                      <w:bCs/>
                      <w:sz w:val="16"/>
                      <w:szCs w:val="16"/>
                    </w:rPr>
                  </w:pPr>
                </w:p>
                <w:p w:rsidR="00145476" w:rsidRDefault="00145476">
                  <w:pPr>
                    <w:tabs>
                      <w:tab w:val="left" w:pos="180"/>
                      <w:tab w:val="left" w:pos="270"/>
                    </w:tabs>
                    <w:rPr>
                      <w:rFonts w:ascii="Arial" w:hAnsi="Arial" w:cs="Arial"/>
                      <w:i/>
                      <w:color w:val="000000"/>
                      <w:sz w:val="16"/>
                      <w:szCs w:val="16"/>
                    </w:rPr>
                  </w:pPr>
                </w:p>
                <w:p w:rsidR="00145476" w:rsidRDefault="00145476">
                  <w:pPr>
                    <w:tabs>
                      <w:tab w:val="left" w:pos="180"/>
                      <w:tab w:val="left" w:pos="270"/>
                    </w:tabs>
                    <w:rPr>
                      <w:rFonts w:ascii="Arial" w:hAnsi="Arial" w:cs="Arial"/>
                      <w:bCs/>
                      <w:sz w:val="16"/>
                      <w:szCs w:val="16"/>
                    </w:rPr>
                  </w:pPr>
                </w:p>
                <w:p w:rsidR="00145476" w:rsidRDefault="00145476">
                  <w:pPr>
                    <w:tabs>
                      <w:tab w:val="left" w:pos="180"/>
                      <w:tab w:val="left" w:pos="270"/>
                    </w:tabs>
                    <w:rPr>
                      <w:rFonts w:ascii="Arial" w:hAnsi="Arial" w:cs="Arial"/>
                      <w:bCs/>
                      <w:sz w:val="16"/>
                      <w:szCs w:val="16"/>
                    </w:rPr>
                  </w:pPr>
                </w:p>
                <w:p w:rsidR="00145476" w:rsidRDefault="00145476">
                  <w:pPr>
                    <w:tabs>
                      <w:tab w:val="left" w:pos="180"/>
                      <w:tab w:val="left" w:pos="270"/>
                    </w:tabs>
                    <w:rPr>
                      <w:rFonts w:ascii="Arial" w:hAnsi="Arial" w:cs="Arial"/>
                      <w:bCs/>
                      <w:sz w:val="16"/>
                      <w:szCs w:val="16"/>
                    </w:rPr>
                  </w:pPr>
                </w:p>
                <w:p w:rsidR="00145476" w:rsidRDefault="00145476">
                  <w:pPr>
                    <w:tabs>
                      <w:tab w:val="left" w:pos="180"/>
                      <w:tab w:val="left" w:pos="270"/>
                    </w:tabs>
                    <w:rPr>
                      <w:rFonts w:ascii="Arial" w:hAnsi="Arial" w:cs="Arial"/>
                      <w:i/>
                      <w:color w:val="000000"/>
                      <w:sz w:val="16"/>
                      <w:szCs w:val="16"/>
                    </w:rPr>
                  </w:pPr>
                </w:p>
              </w:txbxContent>
            </v:textbox>
            <w10:wrap type="topAndBottom" side="left"/>
          </v:rect>
        </w:pict>
      </w:r>
      <w:r>
        <w:rPr>
          <w:noProof/>
        </w:rPr>
        <w:pict>
          <v:rect id="_x0000_s1050" style="position:absolute;margin-left:73pt;margin-top:202.7pt;width:100.8pt;height:64.05pt;z-index:251649536;v-text-anchor:middle" strokeweight="1pt">
            <v:textbox style="mso-next-textbox:#_x0000_s1050" inset="3.6pt,,3.6pt">
              <w:txbxContent>
                <w:p w:rsidR="00145476" w:rsidRDefault="00145476">
                  <w:pPr>
                    <w:rPr>
                      <w:rFonts w:ascii="Arial" w:hAnsi="Arial" w:cs="Arial"/>
                      <w:b/>
                      <w:bCs/>
                      <w:i/>
                      <w:iCs/>
                      <w:color w:val="000000"/>
                      <w:sz w:val="16"/>
                      <w:szCs w:val="16"/>
                    </w:rPr>
                  </w:pPr>
                  <w:r>
                    <w:rPr>
                      <w:rFonts w:ascii="Arial" w:hAnsi="Arial" w:cs="Arial"/>
                      <w:b/>
                      <w:bCs/>
                      <w:i/>
                      <w:iCs/>
                      <w:color w:val="000000"/>
                      <w:sz w:val="16"/>
                      <w:szCs w:val="16"/>
                    </w:rPr>
                    <w:t>Annual Performance:</w:t>
                  </w:r>
                </w:p>
                <w:p w:rsidR="00145476" w:rsidRPr="00D746E9" w:rsidRDefault="00145476">
                  <w:pPr>
                    <w:rPr>
                      <w:rFonts w:ascii="Arial" w:hAnsi="Arial" w:cs="Arial"/>
                      <w:b/>
                      <w:bCs/>
                      <w:i/>
                      <w:iCs/>
                      <w:color w:val="000000"/>
                      <w:sz w:val="8"/>
                      <w:szCs w:val="8"/>
                    </w:rPr>
                  </w:pPr>
                </w:p>
                <w:p w:rsidR="00145476" w:rsidRDefault="00145476" w:rsidP="009B0AFD">
                  <w:pPr>
                    <w:numPr>
                      <w:ilvl w:val="0"/>
                      <w:numId w:val="43"/>
                    </w:numPr>
                    <w:rPr>
                      <w:rFonts w:ascii="Arial" w:hAnsi="Arial" w:cs="Arial"/>
                      <w:color w:val="000000"/>
                      <w:sz w:val="16"/>
                      <w:szCs w:val="16"/>
                    </w:rPr>
                  </w:pPr>
                  <w:r>
                    <w:rPr>
                      <w:rFonts w:ascii="Arial" w:hAnsi="Arial" w:cs="Arial"/>
                      <w:color w:val="000000"/>
                      <w:sz w:val="16"/>
                      <w:szCs w:val="16"/>
                    </w:rPr>
                    <w:t>90% success rate</w:t>
                  </w:r>
                </w:p>
                <w:p w:rsidR="00145476" w:rsidRDefault="00145476" w:rsidP="009B0AFD">
                  <w:pPr>
                    <w:numPr>
                      <w:ilvl w:val="0"/>
                      <w:numId w:val="43"/>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DD5825">
        <w:rPr>
          <w:noProof/>
          <w:sz w:val="20"/>
        </w:rPr>
        <w:pict>
          <v:rect id="_x0000_s1048" style="position:absolute;margin-left:395.75pt;margin-top:266.75pt;width:99.45pt;height:64.75pt;z-index:251647488;v-text-anchor:middle" strokeweight="1pt">
            <v:textbox style="mso-next-textbox:#_x0000_s1048" inset="3.6pt,,3.6pt">
              <w:txbxContent>
                <w:p w:rsidR="00145476" w:rsidRDefault="00145476">
                  <w:pPr>
                    <w:rPr>
                      <w:rFonts w:ascii="Arial" w:hAnsi="Arial" w:cs="Arial"/>
                      <w:b/>
                      <w:bCs/>
                      <w:i/>
                      <w:iCs/>
                      <w:color w:val="000000"/>
                      <w:sz w:val="16"/>
                      <w:szCs w:val="16"/>
                    </w:rPr>
                  </w:pPr>
                  <w:r>
                    <w:rPr>
                      <w:rFonts w:ascii="Arial" w:hAnsi="Arial" w:cs="Arial"/>
                      <w:b/>
                      <w:bCs/>
                      <w:i/>
                      <w:iCs/>
                      <w:color w:val="000000"/>
                      <w:sz w:val="16"/>
                      <w:szCs w:val="16"/>
                    </w:rPr>
                    <w:t>Annual Performance:</w:t>
                  </w:r>
                </w:p>
                <w:p w:rsidR="00145476" w:rsidRPr="00D746E9" w:rsidRDefault="00145476">
                  <w:pPr>
                    <w:rPr>
                      <w:rFonts w:ascii="Arial" w:hAnsi="Arial" w:cs="Arial"/>
                      <w:b/>
                      <w:bCs/>
                      <w:i/>
                      <w:iCs/>
                      <w:color w:val="000000"/>
                      <w:sz w:val="8"/>
                      <w:szCs w:val="8"/>
                    </w:rPr>
                  </w:pPr>
                </w:p>
                <w:p w:rsidR="00145476" w:rsidRDefault="00145476" w:rsidP="00D746E9">
                  <w:pPr>
                    <w:numPr>
                      <w:ilvl w:val="0"/>
                      <w:numId w:val="42"/>
                    </w:numPr>
                    <w:rPr>
                      <w:rFonts w:ascii="Arial" w:hAnsi="Arial" w:cs="Arial"/>
                      <w:color w:val="000000"/>
                      <w:sz w:val="16"/>
                      <w:szCs w:val="16"/>
                    </w:rPr>
                  </w:pPr>
                  <w:r>
                    <w:rPr>
                      <w:rFonts w:ascii="Arial" w:hAnsi="Arial" w:cs="Arial"/>
                      <w:color w:val="000000"/>
                      <w:sz w:val="16"/>
                      <w:szCs w:val="16"/>
                    </w:rPr>
                    <w:t>80% success rate</w:t>
                  </w:r>
                </w:p>
                <w:p w:rsidR="00145476" w:rsidRDefault="00145476" w:rsidP="00D746E9">
                  <w:pPr>
                    <w:numPr>
                      <w:ilvl w:val="0"/>
                      <w:numId w:val="42"/>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DD5825">
        <w:rPr>
          <w:noProof/>
          <w:sz w:val="20"/>
        </w:rPr>
        <w:pict>
          <v:rect id="_x0000_s1052" style="position:absolute;margin-left:312.9pt;margin-top:274.7pt;width:82.7pt;height:52.95pt;z-index:251651584;v-text-anchor:middle" fillcolor="#b2b2b2" strokeweight="1pt">
            <v:textbox style="mso-next-textbox:#_x0000_s1052" inset="3.6pt,,3.6pt">
              <w:txbxContent>
                <w:p w:rsidR="00145476" w:rsidRPr="00EA2E09" w:rsidRDefault="00145476">
                  <w:pPr>
                    <w:rPr>
                      <w:rFonts w:ascii="Arial" w:hAnsi="Arial" w:cs="Arial"/>
                      <w:b/>
                      <w:bCs/>
                      <w:i/>
                      <w:iCs/>
                      <w:color w:val="000000"/>
                      <w:sz w:val="20"/>
                      <w:szCs w:val="20"/>
                    </w:rPr>
                  </w:pPr>
                  <w:r w:rsidRPr="00EA2E09">
                    <w:rPr>
                      <w:rFonts w:ascii="Arial" w:hAnsi="Arial" w:cs="Arial"/>
                      <w:b/>
                      <w:bCs/>
                      <w:i/>
                      <w:iCs/>
                      <w:color w:val="000000"/>
                      <w:sz w:val="20"/>
                      <w:szCs w:val="20"/>
                    </w:rPr>
                    <w:t>Strategy:</w:t>
                  </w:r>
                </w:p>
                <w:p w:rsidR="00145476" w:rsidRPr="00EA2E09" w:rsidRDefault="00145476">
                  <w:pPr>
                    <w:rPr>
                      <w:color w:val="000000"/>
                      <w:sz w:val="20"/>
                      <w:szCs w:val="20"/>
                    </w:rPr>
                  </w:pPr>
                  <w:r w:rsidRPr="00EA2E09">
                    <w:rPr>
                      <w:rFonts w:ascii="Arial" w:hAnsi="Arial" w:cs="Arial"/>
                      <w:color w:val="000000"/>
                      <w:sz w:val="20"/>
                      <w:szCs w:val="20"/>
                    </w:rPr>
                    <w:t>Civil Non-Merger</w:t>
                  </w:r>
                </w:p>
              </w:txbxContent>
            </v:textbox>
            <w10:wrap type="topAndBottom" side="left"/>
          </v:rect>
        </w:pict>
      </w:r>
      <w:r>
        <w:rPr>
          <w:noProof/>
        </w:rPr>
        <w:pict>
          <v:shape id="_x0000_s1056" type="#_x0000_t34" style="position:absolute;margin-left:313.05pt;margin-top:235.3pt;width:.15pt;height:46.65pt;rotation:180;flip:x y;z-index:251655680;v-text-anchor:middle" o:connectortype="elbow" adj="-3016800,94739,56138400">
            <w10:wrap type="topAndBottom" side="left"/>
          </v:shape>
        </w:pict>
      </w:r>
      <w:r>
        <w:rPr>
          <w:noProof/>
        </w:rPr>
        <w:pict>
          <v:rect id="_x0000_s1049" style="position:absolute;margin-left:1pt;margin-top:210.3pt;width:1in;height:38.1pt;z-index:251648512;v-text-anchor:middle" fillcolor="#b2b2b2" strokeweight="1pt">
            <v:textbox style="mso-next-textbox:#_x0000_s1049" inset="3.6pt,,3.6pt">
              <w:txbxContent>
                <w:p w:rsidR="00145476" w:rsidRPr="00EA2E09" w:rsidRDefault="00145476">
                  <w:pPr>
                    <w:rPr>
                      <w:rFonts w:ascii="Arial" w:hAnsi="Arial" w:cs="Arial"/>
                      <w:b/>
                      <w:bCs/>
                      <w:i/>
                      <w:iCs/>
                      <w:color w:val="000000"/>
                      <w:sz w:val="20"/>
                      <w:szCs w:val="20"/>
                    </w:rPr>
                  </w:pPr>
                  <w:r w:rsidRPr="00EA2E09">
                    <w:rPr>
                      <w:rFonts w:ascii="Arial" w:hAnsi="Arial" w:cs="Arial"/>
                      <w:b/>
                      <w:bCs/>
                      <w:i/>
                      <w:iCs/>
                      <w:color w:val="000000"/>
                      <w:sz w:val="20"/>
                      <w:szCs w:val="20"/>
                    </w:rPr>
                    <w:t>Strategy:</w:t>
                  </w:r>
                </w:p>
                <w:p w:rsidR="00145476" w:rsidRPr="00EA2E09" w:rsidRDefault="00145476">
                  <w:pPr>
                    <w:rPr>
                      <w:color w:val="000000"/>
                      <w:sz w:val="20"/>
                      <w:szCs w:val="20"/>
                    </w:rPr>
                  </w:pPr>
                  <w:r w:rsidRPr="00EA2E09">
                    <w:rPr>
                      <w:rFonts w:ascii="Arial" w:hAnsi="Arial" w:cs="Arial"/>
                      <w:color w:val="000000"/>
                      <w:sz w:val="20"/>
                      <w:szCs w:val="20"/>
                    </w:rPr>
                    <w:t>Criminal</w:t>
                  </w:r>
                </w:p>
              </w:txbxContent>
            </v:textbox>
            <w10:wrap type="topAndBottom" side="left"/>
          </v:rect>
        </w:pict>
      </w:r>
      <w:r>
        <w:rPr>
          <w:noProof/>
        </w:rPr>
        <w:pict>
          <v:shape id="_x0000_s1054" type="#_x0000_t34" style="position:absolute;margin-left:49.05pt;margin-top:165.6pt;width:32.65pt;height:56.75pt;rotation:90;z-index:251653632;v-text-anchor:middle" o:connectortype="elbow" adj="10387,-133273,-109654">
            <w10:wrap type="topAndBottom" side="left"/>
          </v:shape>
        </w:pict>
      </w:r>
      <w:r w:rsidRPr="00DD5825">
        <w:rPr>
          <w:noProof/>
          <w:sz w:val="20"/>
        </w:rPr>
        <w:pict>
          <v:rect id="_x0000_s1046" style="position:absolute;margin-left:385.05pt;margin-top:200.4pt;width:118.45pt;height:48pt;z-index:251645440;v-text-anchor:middle" strokeweight="1pt">
            <v:textbox style="mso-next-textbox:#_x0000_s1046" inset="3.6pt,,3.6pt">
              <w:txbxContent>
                <w:p w:rsidR="00145476" w:rsidRDefault="00145476">
                  <w:pPr>
                    <w:rPr>
                      <w:rFonts w:ascii="Arial" w:hAnsi="Arial" w:cs="Arial"/>
                      <w:b/>
                      <w:bCs/>
                      <w:i/>
                      <w:iCs/>
                      <w:color w:val="000000"/>
                      <w:sz w:val="16"/>
                      <w:szCs w:val="16"/>
                    </w:rPr>
                  </w:pPr>
                  <w:r>
                    <w:rPr>
                      <w:rFonts w:ascii="Arial" w:hAnsi="Arial" w:cs="Arial"/>
                      <w:b/>
                      <w:bCs/>
                      <w:i/>
                      <w:iCs/>
                      <w:color w:val="000000"/>
                      <w:sz w:val="16"/>
                      <w:szCs w:val="16"/>
                    </w:rPr>
                    <w:t>Annual Performance:</w:t>
                  </w:r>
                </w:p>
                <w:p w:rsidR="00145476" w:rsidRPr="00D95EBB" w:rsidRDefault="00145476">
                  <w:pPr>
                    <w:rPr>
                      <w:rFonts w:ascii="Arial" w:hAnsi="Arial" w:cs="Arial"/>
                      <w:b/>
                      <w:bCs/>
                      <w:i/>
                      <w:iCs/>
                      <w:color w:val="000000"/>
                      <w:sz w:val="8"/>
                      <w:szCs w:val="8"/>
                    </w:rPr>
                  </w:pPr>
                </w:p>
                <w:p w:rsidR="00145476" w:rsidRDefault="00145476" w:rsidP="00D95EBB">
                  <w:pPr>
                    <w:numPr>
                      <w:ilvl w:val="0"/>
                      <w:numId w:val="37"/>
                    </w:numPr>
                    <w:rPr>
                      <w:rFonts w:ascii="Arial" w:hAnsi="Arial" w:cs="Arial"/>
                      <w:color w:val="000000"/>
                      <w:sz w:val="16"/>
                      <w:szCs w:val="16"/>
                    </w:rPr>
                  </w:pPr>
                  <w:r>
                    <w:rPr>
                      <w:rFonts w:ascii="Arial" w:hAnsi="Arial" w:cs="Arial"/>
                      <w:color w:val="000000"/>
                      <w:sz w:val="16"/>
                      <w:szCs w:val="16"/>
                    </w:rPr>
                    <w:t>80% success rate</w:t>
                  </w:r>
                </w:p>
                <w:p w:rsidR="00145476" w:rsidRDefault="00145476" w:rsidP="00D95EBB">
                  <w:pPr>
                    <w:numPr>
                      <w:ilvl w:val="0"/>
                      <w:numId w:val="37"/>
                    </w:numPr>
                    <w:rPr>
                      <w:rFonts w:ascii="Arial" w:hAnsi="Arial" w:cs="Arial"/>
                      <w:color w:val="000000"/>
                      <w:sz w:val="16"/>
                      <w:szCs w:val="16"/>
                    </w:rPr>
                  </w:pPr>
                  <w:r>
                    <w:rPr>
                      <w:rFonts w:ascii="Arial" w:hAnsi="Arial" w:cs="Arial"/>
                      <w:color w:val="000000"/>
                      <w:sz w:val="16"/>
                      <w:szCs w:val="16"/>
                    </w:rPr>
                    <w:t>Consumer savings</w:t>
                  </w:r>
                </w:p>
              </w:txbxContent>
            </v:textbox>
            <w10:wrap type="topAndBottom" side="left"/>
          </v:rect>
        </w:pict>
      </w:r>
      <w:r w:rsidRPr="00DD5825">
        <w:rPr>
          <w:noProof/>
          <w:sz w:val="20"/>
        </w:rPr>
        <w:pict>
          <v:rect id="_x0000_s1057" style="position:absolute;margin-left:313.05pt;margin-top:206.1pt;width:1in;height:35.55pt;z-index:251656704;v-text-anchor:middle" fillcolor="#b2b2b2" strokeweight="1pt">
            <v:textbox style="mso-next-textbox:#_x0000_s1057" inset="3.6pt,,3.6pt">
              <w:txbxContent>
                <w:p w:rsidR="00145476" w:rsidRPr="00EA2E09" w:rsidRDefault="00145476">
                  <w:pPr>
                    <w:rPr>
                      <w:rFonts w:ascii="Arial" w:hAnsi="Arial" w:cs="Arial"/>
                      <w:b/>
                      <w:bCs/>
                      <w:i/>
                      <w:iCs/>
                      <w:color w:val="000000"/>
                      <w:sz w:val="20"/>
                      <w:szCs w:val="20"/>
                    </w:rPr>
                  </w:pPr>
                  <w:r w:rsidRPr="00EA2E09">
                    <w:rPr>
                      <w:rFonts w:ascii="Arial" w:hAnsi="Arial" w:cs="Arial"/>
                      <w:b/>
                      <w:bCs/>
                      <w:i/>
                      <w:iCs/>
                      <w:color w:val="000000"/>
                      <w:sz w:val="20"/>
                      <w:szCs w:val="20"/>
                    </w:rPr>
                    <w:t>Strategy:</w:t>
                  </w:r>
                </w:p>
                <w:p w:rsidR="00145476" w:rsidRPr="00EA2E09" w:rsidRDefault="00145476">
                  <w:pPr>
                    <w:rPr>
                      <w:color w:val="000000"/>
                      <w:sz w:val="20"/>
                      <w:szCs w:val="20"/>
                    </w:rPr>
                  </w:pPr>
                  <w:r w:rsidRPr="00EA2E09">
                    <w:rPr>
                      <w:rFonts w:ascii="Arial" w:hAnsi="Arial" w:cs="Arial"/>
                      <w:color w:val="000000"/>
                      <w:sz w:val="20"/>
                      <w:szCs w:val="20"/>
                    </w:rPr>
                    <w:t>Merger</w:t>
                  </w:r>
                </w:p>
              </w:txbxContent>
            </v:textbox>
            <w10:wrap type="topAndBottom" side="left"/>
          </v:rect>
        </w:pict>
      </w:r>
      <w:r w:rsidRPr="00DD5825">
        <w:rPr>
          <w:noProof/>
          <w:sz w:val="20"/>
        </w:rPr>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55" type="#_x0000_t35" style="position:absolute;margin-left:370.75pt;margin-top:174.95pt;width:36.9pt;height:39.75pt;rotation:90;z-index:251654656;v-text-anchor:middle" o:connectortype="elbow" adj="5503,32552,-247781">
            <w10:wrap type="topAndBottom" side="left"/>
          </v:shape>
        </w:pict>
      </w:r>
    </w:p>
    <w:p w:rsidR="003B05E5" w:rsidRDefault="003B05E5"/>
    <w:p w:rsidR="003B05E5" w:rsidRDefault="003B05E5"/>
    <w:p w:rsidR="003B05E5" w:rsidRDefault="003B05E5"/>
    <w:p w:rsidR="003B05E5" w:rsidRDefault="003B05E5"/>
    <w:p w:rsidR="003B05E5" w:rsidRDefault="003B05E5">
      <w:pPr>
        <w:sectPr w:rsidR="003B05E5" w:rsidSect="0054642A">
          <w:footerReference w:type="default" r:id="rId40"/>
          <w:endnotePr>
            <w:numFmt w:val="decimal"/>
          </w:endnotePr>
          <w:pgSz w:w="15840" w:h="12240" w:orient="landscape" w:code="1"/>
          <w:pgMar w:top="720" w:right="1440" w:bottom="288" w:left="1440" w:header="0" w:footer="0" w:gutter="0"/>
          <w:cols w:space="720"/>
          <w:noEndnote/>
        </w:sectPr>
      </w:pPr>
    </w:p>
    <w:p w:rsidR="003B05E5" w:rsidRDefault="003B05E5" w:rsidP="00506916">
      <w:pPr>
        <w:pStyle w:val="TOC4"/>
      </w:pPr>
      <w:r>
        <w:t xml:space="preserve"> </w:t>
      </w:r>
      <w:bookmarkStart w:id="183" w:name="_Toc349640472"/>
      <w:r>
        <w:t>4.  Performance, Resources, and Strategies</w:t>
      </w:r>
      <w:bookmarkEnd w:id="183"/>
    </w:p>
    <w:p w:rsidR="003B05E5" w:rsidRDefault="003B05E5">
      <w:pPr>
        <w:pStyle w:val="Header"/>
        <w:tabs>
          <w:tab w:val="clear" w:pos="4320"/>
          <w:tab w:val="clear" w:pos="8640"/>
        </w:tabs>
      </w:pPr>
    </w:p>
    <w:p w:rsidR="003B05E5" w:rsidRDefault="003B05E5">
      <w:pPr>
        <w:ind w:left="720"/>
      </w:pPr>
      <w:r>
        <w:t xml:space="preserve">The Antitrust Decision Unit contributes to the Department’s </w:t>
      </w:r>
      <w:r w:rsidR="00E3256B" w:rsidRPr="001335A0">
        <w:t>Strategic Goal II:  Prevent Crime, Enforce Federal Laws and Represent the Rights and Interests of the American People.  Within this Goal, the Decision Unit’s resources specifically address Strategic Objective 2.</w:t>
      </w:r>
      <w:r w:rsidR="00775E79">
        <w:t>6</w:t>
      </w:r>
      <w:r w:rsidR="00E3256B" w:rsidRPr="001335A0">
        <w:t xml:space="preserve">:  </w:t>
      </w:r>
      <w:r w:rsidR="00775E79" w:rsidRPr="00EF0B7B">
        <w:t xml:space="preserve">Protect the federal </w:t>
      </w:r>
      <w:proofErr w:type="spellStart"/>
      <w:r w:rsidR="00775E79" w:rsidRPr="00EF0B7B">
        <w:t>fisc</w:t>
      </w:r>
      <w:proofErr w:type="spellEnd"/>
      <w:r w:rsidR="00775E79" w:rsidRPr="00EF0B7B">
        <w:t xml:space="preserve"> and defend the interests of the United States.</w:t>
      </w:r>
    </w:p>
    <w:p w:rsidR="003B05E5" w:rsidRDefault="003B05E5">
      <w:pPr>
        <w:ind w:left="720"/>
      </w:pPr>
    </w:p>
    <w:p w:rsidR="003B05E5" w:rsidRDefault="003B05E5">
      <w:pPr>
        <w:pStyle w:val="TOC5"/>
      </w:pPr>
      <w:r>
        <w:t xml:space="preserve"> a.  Performance Plan and Report for Outcomes</w:t>
      </w:r>
    </w:p>
    <w:p w:rsidR="003B05E5" w:rsidRDefault="003B05E5">
      <w:pPr>
        <w:tabs>
          <w:tab w:val="num" w:pos="1440"/>
        </w:tabs>
      </w:pPr>
    </w:p>
    <w:p w:rsidR="003B05E5" w:rsidRDefault="003B05E5">
      <w:pPr>
        <w:ind w:firstLine="720"/>
        <w:rPr>
          <w:b/>
          <w:bCs/>
        </w:rPr>
      </w:pPr>
      <w:r>
        <w:rPr>
          <w:b/>
          <w:bCs/>
        </w:rPr>
        <w:t>Prosecute International Price Fixing Cartels</w:t>
      </w:r>
    </w:p>
    <w:p w:rsidR="003B05E5" w:rsidRDefault="003B05E5">
      <w:pPr>
        <w:tabs>
          <w:tab w:val="num" w:pos="1440"/>
        </w:tabs>
        <w:ind w:left="720"/>
      </w:pPr>
    </w:p>
    <w:p w:rsidR="003B05E5" w:rsidRDefault="003B05E5">
      <w:pPr>
        <w:tabs>
          <w:tab w:val="num" w:pos="1440"/>
        </w:tabs>
        <w:ind w:left="720"/>
      </w:pPr>
      <w:r>
        <w:t xml:space="preserve">The charts below illustrate the Criminal Outcome Performance Measures for the Antitrust Decision Unit, to include:  Success Rate for Antitrust Criminal Cases and Savings to U.S. Consumers (as a result of the Antitrust Division’s criminal enforcement efforts).  It is the Division’s goal to achieve a successful outcome in every case it tries.  The Antitrust Division has been aggressive in its pursuit of criminal anticompetitive behavior.  </w:t>
      </w:r>
    </w:p>
    <w:p w:rsidR="003B05E5" w:rsidRDefault="003B05E5">
      <w:pPr>
        <w:tabs>
          <w:tab w:val="num" w:pos="1440"/>
        </w:tabs>
        <w:ind w:left="720"/>
      </w:pPr>
    </w:p>
    <w:p w:rsidR="003B05E5" w:rsidRDefault="0063193C">
      <w:pPr>
        <w:tabs>
          <w:tab w:val="num" w:pos="1440"/>
        </w:tabs>
        <w:ind w:left="720"/>
      </w:pPr>
      <w:r>
        <w:rPr>
          <w:noProof/>
          <w:sz w:val="20"/>
        </w:rPr>
        <w:drawing>
          <wp:anchor distT="0" distB="0" distL="114300" distR="114300" simplePos="0" relativeHeight="251713024" behindDoc="0" locked="0" layoutInCell="1" allowOverlap="1">
            <wp:simplePos x="0" y="0"/>
            <wp:positionH relativeFrom="margin">
              <wp:posOffset>2921000</wp:posOffset>
            </wp:positionH>
            <wp:positionV relativeFrom="margin">
              <wp:posOffset>5433060</wp:posOffset>
            </wp:positionV>
            <wp:extent cx="3103245" cy="2027555"/>
            <wp:effectExtent l="19050" t="0" r="20955" b="1079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240E60">
        <w:rPr>
          <w:noProof/>
          <w:sz w:val="20"/>
        </w:rPr>
        <w:drawing>
          <wp:anchor distT="0" distB="0" distL="114300" distR="114300" simplePos="0" relativeHeight="251689472" behindDoc="1" locked="0" layoutInCell="1" allowOverlap="1">
            <wp:simplePos x="0" y="0"/>
            <wp:positionH relativeFrom="column">
              <wp:posOffset>2921635</wp:posOffset>
            </wp:positionH>
            <wp:positionV relativeFrom="paragraph">
              <wp:posOffset>52705</wp:posOffset>
            </wp:positionV>
            <wp:extent cx="3105785" cy="2291715"/>
            <wp:effectExtent l="19050" t="0" r="18415" b="13335"/>
            <wp:wrapTight wrapText="bothSides">
              <wp:wrapPolygon edited="0">
                <wp:start x="-132" y="0"/>
                <wp:lineTo x="-132" y="21726"/>
                <wp:lineTo x="21728" y="21726"/>
                <wp:lineTo x="21728" y="0"/>
                <wp:lineTo x="-132" y="0"/>
              </wp:wrapPolygon>
            </wp:wrapTight>
            <wp:docPr id="272" name="Object 272" descr="Bar graph depicting Antitrust Division success rates for criminal cases from fiscal year 2004 through 20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3B05E5">
        <w:t>In the criminal enforcement area, the Division continues to provide</w:t>
      </w:r>
      <w:r w:rsidR="0098683C">
        <w:t xml:space="preserve"> </w:t>
      </w:r>
      <w:r w:rsidR="003B05E5">
        <w:t xml:space="preserve">economic benefits to U.S. consumers and businesses in the form of lower prices and enhanced product selection by dismantling international private cartels and restricting other criminal anticompetitive activity.  </w:t>
      </w:r>
      <w:r w:rsidR="007249F2" w:rsidRPr="008204F7">
        <w:t>In FY 201</w:t>
      </w:r>
      <w:r w:rsidR="00033F01" w:rsidRPr="008204F7">
        <w:t>2</w:t>
      </w:r>
      <w:r w:rsidR="007249F2" w:rsidRPr="008204F7">
        <w:t xml:space="preserve">, the Division successfully resolved </w:t>
      </w:r>
      <w:r w:rsidR="005206D0">
        <w:t xml:space="preserve">  </w:t>
      </w:r>
      <w:r w:rsidR="007249F2" w:rsidRPr="008204F7">
        <w:t>9</w:t>
      </w:r>
      <w:r w:rsidR="008204F7" w:rsidRPr="008204F7">
        <w:t>3</w:t>
      </w:r>
      <w:r w:rsidR="00526F58" w:rsidRPr="00091280">
        <w:t xml:space="preserve"> percent of criminal matters.</w:t>
      </w:r>
      <w:r w:rsidR="003B05E5" w:rsidRPr="00091280">
        <w:t xml:space="preserve">  This measure</w:t>
      </w:r>
      <w:r w:rsidR="003B05E5">
        <w:t xml:space="preserve"> is a consolidated measure shared with all other litigating components within the Department.  </w:t>
      </w:r>
      <w:r w:rsidR="00A94EF1" w:rsidRPr="00DB6A34">
        <w:t xml:space="preserve">As a whole, the Department exceeded its target by successfully </w:t>
      </w:r>
      <w:proofErr w:type="gramStart"/>
      <w:r w:rsidR="00A94EF1" w:rsidRPr="00DB6A34">
        <w:t xml:space="preserve">resolving </w:t>
      </w:r>
      <w:r w:rsidR="005206D0">
        <w:t xml:space="preserve"> </w:t>
      </w:r>
      <w:r w:rsidR="00A94EF1" w:rsidRPr="00DB6A34">
        <w:t>9</w:t>
      </w:r>
      <w:r w:rsidR="00DB6A34" w:rsidRPr="00DB6A34">
        <w:t>2</w:t>
      </w:r>
      <w:proofErr w:type="gramEnd"/>
      <w:r w:rsidR="00A94EF1" w:rsidRPr="00DB6A34">
        <w:t xml:space="preserve"> percent of its cases.</w:t>
      </w:r>
      <w:r w:rsidR="003B05E5">
        <w:t xml:space="preserve">  The Division expects to meet or exceed its goals for FY 201</w:t>
      </w:r>
      <w:r w:rsidR="00033F01">
        <w:t>3</w:t>
      </w:r>
      <w:r w:rsidR="003B05E5">
        <w:t xml:space="preserve"> </w:t>
      </w:r>
      <w:r w:rsidR="006F24F8">
        <w:t>through</w:t>
      </w:r>
      <w:r w:rsidR="003B05E5">
        <w:t xml:space="preserve"> FY 201</w:t>
      </w:r>
      <w:r w:rsidR="00C16229">
        <w:t>4</w:t>
      </w:r>
      <w:r w:rsidR="003B05E5">
        <w:t xml:space="preserve">. </w:t>
      </w:r>
    </w:p>
    <w:p w:rsidR="003B05E5" w:rsidRDefault="003B05E5">
      <w:pPr>
        <w:tabs>
          <w:tab w:val="num" w:pos="1440"/>
        </w:tabs>
        <w:ind w:left="720"/>
      </w:pPr>
      <w:r>
        <w:t xml:space="preserve">  </w:t>
      </w:r>
    </w:p>
    <w:p w:rsidR="003B05E5" w:rsidRDefault="003B05E5">
      <w:pPr>
        <w:tabs>
          <w:tab w:val="num" w:pos="1440"/>
        </w:tabs>
        <w:ind w:left="720"/>
      </w:pPr>
      <w:r>
        <w:t>The estimated value of consumer savings generated by the Division’s criminal efforts is contingent upon the size and scope of the matters</w:t>
      </w:r>
      <w:r w:rsidR="00110A0D">
        <w:t xml:space="preserve"> resolved each year</w:t>
      </w:r>
      <w:r>
        <w:t xml:space="preserve"> and thus varies significantly.  </w:t>
      </w:r>
    </w:p>
    <w:p w:rsidR="003B05E5" w:rsidRDefault="003B05E5" w:rsidP="007F5639">
      <w:pPr>
        <w:tabs>
          <w:tab w:val="num" w:pos="1440"/>
        </w:tabs>
        <w:ind w:left="4590"/>
        <w:sectPr w:rsidR="003B05E5" w:rsidSect="0054642A">
          <w:headerReference w:type="default" r:id="rId43"/>
          <w:endnotePr>
            <w:numFmt w:val="decimal"/>
          </w:endnotePr>
          <w:pgSz w:w="12240" w:h="15840" w:code="1"/>
          <w:pgMar w:top="720" w:right="1152" w:bottom="720" w:left="1440" w:header="0" w:footer="144" w:gutter="0"/>
          <w:cols w:space="720"/>
          <w:noEndnote/>
        </w:sectPr>
      </w:pPr>
    </w:p>
    <w:p w:rsidR="003B05E5" w:rsidRDefault="003B05E5">
      <w:pPr>
        <w:tabs>
          <w:tab w:val="num" w:pos="1440"/>
        </w:tabs>
        <w:ind w:left="720"/>
        <w:rPr>
          <w:b/>
          <w:bCs/>
        </w:rPr>
      </w:pPr>
      <w:r>
        <w:rPr>
          <w:b/>
          <w:bCs/>
        </w:rPr>
        <w:t>Civil Enforcement</w:t>
      </w:r>
    </w:p>
    <w:p w:rsidR="003B05E5" w:rsidRDefault="003B05E5">
      <w:pPr>
        <w:tabs>
          <w:tab w:val="num" w:pos="1440"/>
        </w:tabs>
        <w:ind w:left="720"/>
      </w:pPr>
    </w:p>
    <w:p w:rsidR="003B05E5" w:rsidRDefault="003B05E5">
      <w:pPr>
        <w:tabs>
          <w:tab w:val="num" w:pos="1440"/>
        </w:tabs>
        <w:ind w:left="720"/>
      </w:pPr>
      <w:r>
        <w:t xml:space="preserve">The charts below illustrate the Civil Outcome Performance Measures for the Antitrust Decision Unit, to include:  Success Rate for Civil Antitrust Cases and Savings to U.S. Consumers (as a result of the Antitrust Division’s </w:t>
      </w:r>
      <w:proofErr w:type="gramStart"/>
      <w:r>
        <w:t>Civil</w:t>
      </w:r>
      <w:proofErr w:type="gramEnd"/>
      <w:r>
        <w:t xml:space="preserve"> enforcement efforts).  </w:t>
      </w:r>
    </w:p>
    <w:p w:rsidR="003B05E5" w:rsidRDefault="003B05E5">
      <w:pPr>
        <w:tabs>
          <w:tab w:val="num" w:pos="1440"/>
        </w:tabs>
        <w:ind w:left="720"/>
      </w:pPr>
    </w:p>
    <w:p w:rsidR="003B05E5" w:rsidRDefault="003B05E5">
      <w:pPr>
        <w:tabs>
          <w:tab w:val="num" w:pos="1440"/>
        </w:tabs>
        <w:ind w:left="720"/>
      </w:pPr>
      <w:r>
        <w:t xml:space="preserve">The success rate for civil </w:t>
      </w:r>
      <w:r>
        <w:rPr>
          <w:u w:val="single"/>
        </w:rPr>
        <w:t>non-merger</w:t>
      </w:r>
      <w:r>
        <w:t xml:space="preserve"> matters includes investigations in which business practices were changed after the investigation was initiated, a case was filed with consent decree, or a case was filed and litigated successfully.  The Division’s success in preventing anticompetitive behavior in the civil non-merger area has been notable</w:t>
      </w:r>
      <w:r w:rsidRPr="00935C78">
        <w:t xml:space="preserve">.  </w:t>
      </w:r>
      <w:r w:rsidR="00526F58" w:rsidRPr="00935C78">
        <w:t xml:space="preserve">The Division </w:t>
      </w:r>
      <w:r w:rsidR="007249F2" w:rsidRPr="00E628FB">
        <w:t>successfully resolved every matter it challenged in FY 201</w:t>
      </w:r>
      <w:r w:rsidR="00E628FB" w:rsidRPr="00E628FB">
        <w:t>2</w:t>
      </w:r>
      <w:r w:rsidR="00526F58" w:rsidRPr="00935C78">
        <w:t xml:space="preserve"> and expects to</w:t>
      </w:r>
      <w:r w:rsidR="000467C1" w:rsidRPr="00451EF8">
        <w:t xml:space="preserve"> meet or exceed its goals for FY 201</w:t>
      </w:r>
      <w:r w:rsidR="00033F01">
        <w:t>3</w:t>
      </w:r>
      <w:r w:rsidR="000467C1" w:rsidRPr="00451EF8">
        <w:t xml:space="preserve"> through FY 201</w:t>
      </w:r>
      <w:r w:rsidR="00C16229">
        <w:t>4</w:t>
      </w:r>
      <w:r w:rsidR="000467C1" w:rsidRPr="00451EF8">
        <w:t>.</w:t>
      </w:r>
      <w:r>
        <w:t xml:space="preserve"> </w:t>
      </w:r>
    </w:p>
    <w:p w:rsidR="003B05E5" w:rsidRDefault="003B05E5">
      <w:pPr>
        <w:tabs>
          <w:tab w:val="num" w:pos="1440"/>
        </w:tabs>
        <w:ind w:left="720"/>
      </w:pPr>
    </w:p>
    <w:p w:rsidR="003B05E5" w:rsidRDefault="00240E60">
      <w:pPr>
        <w:tabs>
          <w:tab w:val="num" w:pos="1440"/>
        </w:tabs>
        <w:ind w:left="720" w:right="-270"/>
      </w:pPr>
      <w:r>
        <w:rPr>
          <w:noProof/>
          <w:sz w:val="20"/>
        </w:rPr>
        <w:drawing>
          <wp:anchor distT="0" distB="0" distL="114300" distR="114300" simplePos="0" relativeHeight="251691520" behindDoc="1" locked="0" layoutInCell="1" allowOverlap="1">
            <wp:simplePos x="0" y="0"/>
            <wp:positionH relativeFrom="column">
              <wp:posOffset>2804160</wp:posOffset>
            </wp:positionH>
            <wp:positionV relativeFrom="paragraph">
              <wp:posOffset>68580</wp:posOffset>
            </wp:positionV>
            <wp:extent cx="3495040" cy="2643505"/>
            <wp:effectExtent l="19050" t="0" r="10160" b="23495"/>
            <wp:wrapTight wrapText="bothSides">
              <wp:wrapPolygon edited="0">
                <wp:start x="-118" y="0"/>
                <wp:lineTo x="-118" y="21792"/>
                <wp:lineTo x="21663" y="21792"/>
                <wp:lineTo x="21663" y="0"/>
                <wp:lineTo x="-118" y="0"/>
              </wp:wrapPolygon>
            </wp:wrapTight>
            <wp:docPr id="273" name="Object 273" descr="Bar graph depicting Antitrust Division success rates for civil cases from fiscal year 2004 through 20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3B05E5">
        <w:t xml:space="preserve">The success rate for </w:t>
      </w:r>
      <w:r w:rsidR="003B05E5">
        <w:rPr>
          <w:u w:val="single"/>
        </w:rPr>
        <w:t>merger</w:t>
      </w:r>
      <w:r w:rsidR="003B05E5">
        <w:t xml:space="preserve"> transactions challenged includes mergers that are abandoned, fixed before a complaint is filed, filed as cases with consent decrees, filed as cases but settled prior to litigation, or filed and litigated successfully.  Many times, merger matters involve complex anticompetitive behavior and large, multinational corporations and require significant resources to review.  </w:t>
      </w:r>
      <w:r w:rsidR="00935C78" w:rsidRPr="00935C78">
        <w:t>T</w:t>
      </w:r>
      <w:r w:rsidR="00526F58" w:rsidRPr="00935C78">
        <w:t xml:space="preserve">he Division’s Civil Merger Program successfully </w:t>
      </w:r>
      <w:r w:rsidR="007249F2" w:rsidRPr="00E628FB">
        <w:t xml:space="preserve">resolved </w:t>
      </w:r>
      <w:r w:rsidR="00E628FB" w:rsidRPr="00E628FB">
        <w:t>100</w:t>
      </w:r>
      <w:r w:rsidR="007249F2" w:rsidRPr="00E628FB">
        <w:t xml:space="preserve"> percent of the matters it challenged in FY 201</w:t>
      </w:r>
      <w:r w:rsidR="00E628FB" w:rsidRPr="00E628FB">
        <w:t>2</w:t>
      </w:r>
      <w:r w:rsidR="00526F58" w:rsidRPr="00935C78">
        <w:t xml:space="preserve"> and expects to mee</w:t>
      </w:r>
      <w:r w:rsidR="000467C1" w:rsidRPr="00935C78">
        <w:t>t or exceed its goals for FY 201</w:t>
      </w:r>
      <w:r w:rsidR="00033F01">
        <w:t>3</w:t>
      </w:r>
      <w:r w:rsidR="000467C1" w:rsidRPr="00935C78">
        <w:t xml:space="preserve"> </w:t>
      </w:r>
      <w:r w:rsidR="00033F01">
        <w:t>and</w:t>
      </w:r>
      <w:r w:rsidR="000467C1" w:rsidRPr="00451EF8">
        <w:t xml:space="preserve"> FY 201</w:t>
      </w:r>
      <w:r w:rsidR="00C16229">
        <w:t>4</w:t>
      </w:r>
      <w:r w:rsidR="000467C1" w:rsidRPr="00451EF8">
        <w:t>.</w:t>
      </w:r>
    </w:p>
    <w:p w:rsidR="003B05E5" w:rsidRDefault="00240E60">
      <w:pPr>
        <w:tabs>
          <w:tab w:val="num" w:pos="1440"/>
        </w:tabs>
        <w:ind w:left="720"/>
      </w:pPr>
      <w:r>
        <w:rPr>
          <w:noProof/>
        </w:rPr>
        <w:drawing>
          <wp:anchor distT="0" distB="0" distL="114300" distR="114300" simplePos="0" relativeHeight="251692544" behindDoc="1" locked="0" layoutInCell="1" allowOverlap="1">
            <wp:simplePos x="0" y="0"/>
            <wp:positionH relativeFrom="column">
              <wp:posOffset>2804160</wp:posOffset>
            </wp:positionH>
            <wp:positionV relativeFrom="paragraph">
              <wp:posOffset>635</wp:posOffset>
            </wp:positionV>
            <wp:extent cx="3495040" cy="2763520"/>
            <wp:effectExtent l="19050" t="0" r="10160" b="17780"/>
            <wp:wrapTight wrapText="bothSides">
              <wp:wrapPolygon edited="0">
                <wp:start x="-118" y="0"/>
                <wp:lineTo x="-118" y="21739"/>
                <wp:lineTo x="21663" y="21739"/>
                <wp:lineTo x="21663" y="0"/>
                <wp:lineTo x="-118" y="0"/>
              </wp:wrapPolygon>
            </wp:wrapTight>
            <wp:docPr id="274" name="Object 274" descr="Bar graph depicting savings to U.S. consumers from civil Antitrust cases from fiscal year 2004 through 20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3B05E5" w:rsidRDefault="003B05E5">
      <w:pPr>
        <w:tabs>
          <w:tab w:val="num" w:pos="1440"/>
        </w:tabs>
        <w:ind w:left="720"/>
      </w:pPr>
      <w:r>
        <w:t xml:space="preserve">The estimated value of consumer savings generated by the Division’s civil enforcement efforts in any given year depends upon the size and scope of the matters </w:t>
      </w:r>
      <w:r w:rsidR="00E52F7C">
        <w:t>proposed and resolved</w:t>
      </w:r>
      <w:r>
        <w:t xml:space="preserve"> and thus varies considerably.  Targeted levels of performance are not projected for this indicator.</w:t>
      </w:r>
    </w:p>
    <w:p w:rsidR="003B05E5" w:rsidRDefault="003B05E5">
      <w:pPr>
        <w:tabs>
          <w:tab w:val="num" w:pos="1440"/>
        </w:tabs>
        <w:ind w:left="720"/>
        <w:sectPr w:rsidR="003B05E5" w:rsidSect="0054642A">
          <w:endnotePr>
            <w:numFmt w:val="decimal"/>
          </w:endnotePr>
          <w:pgSz w:w="12240" w:h="15840" w:code="1"/>
          <w:pgMar w:top="1152" w:right="1152" w:bottom="720" w:left="1440" w:header="0" w:footer="144" w:gutter="0"/>
          <w:cols w:space="720"/>
          <w:noEndnote/>
        </w:sectPr>
      </w:pPr>
    </w:p>
    <w:p w:rsidR="00106E52" w:rsidRDefault="00DD5825" w:rsidP="001D654E">
      <w:pPr>
        <w:tabs>
          <w:tab w:val="num" w:pos="1440"/>
        </w:tabs>
        <w:ind w:left="720" w:right="-1260"/>
      </w:pPr>
      <w:r>
        <w:rPr>
          <w:noProof/>
        </w:rPr>
        <w:pict>
          <v:shape id="_x0000_s1283" type="#_x0000_t75" alt="Image of the Department of Justice seal over the Antitrust Division sign." style="position:absolute;left:0;text-align:left;margin-left:-65.1pt;margin-top:-49.35pt;width:592.9pt;height:223.2pt;z-index:251676160;mso-position-horizontal-relative:margin">
            <v:imagedata r:id="rId46" o:title="ATR Banner"/>
            <w10:wrap type="square" anchorx="margin"/>
          </v:shape>
        </w:pict>
      </w:r>
      <w:r w:rsidR="003B05E5">
        <w:t xml:space="preserve"> </w:t>
      </w: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68402C" w:rsidRDefault="0068402C">
      <w:pPr>
        <w:tabs>
          <w:tab w:val="num" w:pos="1440"/>
        </w:tabs>
        <w:ind w:left="720"/>
      </w:pPr>
    </w:p>
    <w:p w:rsidR="003B05E5" w:rsidRDefault="003B05E5">
      <w:pPr>
        <w:tabs>
          <w:tab w:val="num" w:pos="1440"/>
        </w:tabs>
        <w:ind w:left="720"/>
      </w:pPr>
      <w:r>
        <w:rPr>
          <w:b/>
          <w:bCs/>
        </w:rPr>
        <w:t>b. Strategies to Accomplish Outcomes</w:t>
      </w:r>
    </w:p>
    <w:p w:rsidR="003B05E5" w:rsidRDefault="003B05E5">
      <w:pPr>
        <w:pStyle w:val="Header"/>
        <w:tabs>
          <w:tab w:val="clear" w:pos="4320"/>
          <w:tab w:val="clear" w:pos="8640"/>
          <w:tab w:val="num" w:pos="4500"/>
        </w:tabs>
      </w:pPr>
    </w:p>
    <w:p w:rsidR="003B05E5" w:rsidRDefault="003B05E5">
      <w:pPr>
        <w:ind w:firstLine="720"/>
        <w:rPr>
          <w:b/>
          <w:bCs/>
        </w:rPr>
      </w:pPr>
      <w:r>
        <w:rPr>
          <w:b/>
          <w:bCs/>
        </w:rPr>
        <w:t>Prosecute International Price Fixing Cartels</w:t>
      </w:r>
    </w:p>
    <w:p w:rsidR="003B05E5" w:rsidRDefault="003B05E5">
      <w:pPr>
        <w:pStyle w:val="Header"/>
        <w:tabs>
          <w:tab w:val="clear" w:pos="4320"/>
          <w:tab w:val="clear" w:pos="8640"/>
        </w:tabs>
      </w:pPr>
    </w:p>
    <w:p w:rsidR="003B05E5" w:rsidRDefault="003B05E5">
      <w:pPr>
        <w:ind w:left="720"/>
      </w:pPr>
      <w:r>
        <w:t xml:space="preserve">Utilizing geographically dispersed </w:t>
      </w:r>
      <w:r w:rsidR="00B57AE2">
        <w:t>f</w:t>
      </w:r>
      <w:r>
        <w:t xml:space="preserve">ield </w:t>
      </w:r>
      <w:r w:rsidR="00B57AE2">
        <w:t>o</w:t>
      </w:r>
      <w:r>
        <w:t xml:space="preserve">ffices and one </w:t>
      </w:r>
      <w:r w:rsidR="00B57AE2">
        <w:t>s</w:t>
      </w:r>
      <w:r>
        <w:t xml:space="preserve">ection in Washington, DC, the Antitrust Division deters private cartel behavior by investigating and challenging violations of Section 1 of the Sherman Act, including such </w:t>
      </w:r>
      <w:r>
        <w:rPr>
          <w:i/>
          <w:iCs/>
          <w:u w:val="single"/>
        </w:rPr>
        <w:t>per se</w:t>
      </w:r>
      <w:r>
        <w:t xml:space="preserve"> (in and of themselves, clearly illegal) violations as price fixing, bid rigging, and horizontal customer and territorial allocations.  Wide ranges of investigatory techniques are used to detect collusion and bid rigging, including joint investigations with the FBI and grand jury investigations.  When businesses are found actively to be engaged in bid rigging, price fixing, and other market allocation schemes that negatively affect U.S. consumers and businesses (no matter where the illegal activity may be taking place), the Division pursues criminal investigations and prosecutions.  </w:t>
      </w:r>
    </w:p>
    <w:p w:rsidR="003B05E5" w:rsidRDefault="003B05E5">
      <w:pPr>
        <w:ind w:left="720"/>
      </w:pPr>
    </w:p>
    <w:p w:rsidR="00087000" w:rsidRDefault="003B05E5">
      <w:pPr>
        <w:ind w:left="720"/>
        <w:sectPr w:rsidR="00087000" w:rsidSect="0054642A">
          <w:headerReference w:type="default" r:id="rId47"/>
          <w:endnotePr>
            <w:numFmt w:val="decimal"/>
          </w:endnotePr>
          <w:pgSz w:w="12240" w:h="15840" w:code="1"/>
          <w:pgMar w:top="1008" w:right="1440" w:bottom="720" w:left="1440" w:header="0" w:footer="432" w:gutter="0"/>
          <w:cols w:space="720"/>
          <w:noEndnote/>
        </w:sectPr>
      </w:pPr>
      <w:r>
        <w:t xml:space="preserve">The global reach of modern cartels and their significant effects on </w:t>
      </w:r>
      <w:smartTag w:uri="urn:schemas-microsoft-com:office:smarttags" w:element="country-region">
        <w:smartTag w:uri="urn:schemas-microsoft-com:office:smarttags" w:element="place">
          <w:r>
            <w:t>U.S.</w:t>
          </w:r>
        </w:smartTag>
      </w:smartTag>
      <w:r>
        <w:t xml:space="preserve"> consumers highlights the critical importance of international advocacy and coordination efforts.  Increased cooperation and assistance from foreign governments continues to enhance the Division’s ability to detect and prosecute international cartel activity.  In addition, the Division’s Individual and Corporate Leniency Programs, revised in recent years for greater effectiveness, have proven critical in uncovering criminal antitrust violations.  Greater time and resources are devoted to investigation-related travel and translation, given the increasingly international operating environment of the criminal conspiracies being encountered.  In all instances, if the Division ultimately detects market collusion and successfully prosecutes, the Division may obtain criminal fines and injunctive relief.</w:t>
      </w:r>
    </w:p>
    <w:p w:rsidR="0068402C" w:rsidRDefault="00EA64C2">
      <w:pPr>
        <w:ind w:left="720"/>
      </w:pPr>
      <w:r>
        <w:rPr>
          <w:noProof/>
        </w:rPr>
        <w:drawing>
          <wp:anchor distT="0" distB="0" distL="114300" distR="114300" simplePos="0" relativeHeight="251707904" behindDoc="0" locked="0" layoutInCell="1" allowOverlap="1">
            <wp:simplePos x="0" y="0"/>
            <wp:positionH relativeFrom="margin">
              <wp:align>right</wp:align>
            </wp:positionH>
            <wp:positionV relativeFrom="margin">
              <wp:posOffset>-173990</wp:posOffset>
            </wp:positionV>
            <wp:extent cx="2889885" cy="1920875"/>
            <wp:effectExtent l="19050" t="0" r="5715" b="0"/>
            <wp:wrapSquare wrapText="bothSides"/>
            <wp:docPr id="55" name="Picture 55" descr="a sepia shot of a road sign saying mer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tr-lsb-nas05\ISG-SectDrive\ISG02-DATA1\MIS\WCLS\ThinkStockImages\des_photos\a sepia shot of a road sign saying merger ahead_stk27444sig.jpg"/>
                    <pic:cNvPicPr>
                      <a:picLocks noChangeAspect="1" noChangeArrowheads="1"/>
                    </pic:cNvPicPr>
                  </pic:nvPicPr>
                  <pic:blipFill>
                    <a:blip r:embed="rId48" cstate="print"/>
                    <a:srcRect/>
                    <a:stretch>
                      <a:fillRect/>
                    </a:stretch>
                  </pic:blipFill>
                  <pic:spPr bwMode="auto">
                    <a:xfrm>
                      <a:off x="0" y="0"/>
                      <a:ext cx="2889885" cy="1920875"/>
                    </a:xfrm>
                    <a:prstGeom prst="rect">
                      <a:avLst/>
                    </a:prstGeom>
                    <a:noFill/>
                    <a:ln w="9525">
                      <a:noFill/>
                      <a:miter lim="800000"/>
                      <a:headEnd/>
                      <a:tailEnd/>
                    </a:ln>
                  </pic:spPr>
                </pic:pic>
              </a:graphicData>
            </a:graphic>
          </wp:anchor>
        </w:drawing>
      </w:r>
    </w:p>
    <w:p w:rsidR="003B05E5" w:rsidRDefault="003B05E5">
      <w:pPr>
        <w:ind w:left="720"/>
        <w:rPr>
          <w:b/>
          <w:bCs/>
        </w:rPr>
      </w:pPr>
      <w:r>
        <w:rPr>
          <w:b/>
          <w:bCs/>
        </w:rPr>
        <w:t>Civil Enforcement</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3B05E5" w:rsidRDefault="003B05E5">
      <w:pPr>
        <w:pStyle w:val="BlockText"/>
        <w:tabs>
          <w:tab w:val="clear" w:pos="2419"/>
          <w:tab w:val="left" w:pos="720"/>
        </w:tabs>
        <w:ind w:left="720"/>
      </w:pPr>
      <w:r>
        <w:t xml:space="preserve">The Division’s </w:t>
      </w:r>
      <w:proofErr w:type="gramStart"/>
      <w:r>
        <w:t>Civil</w:t>
      </w:r>
      <w:proofErr w:type="gramEnd"/>
      <w:r>
        <w:t xml:space="preserve"> strategy is comprised of two key activities - Merger Review and Civil Non-Merger work.  </w:t>
      </w:r>
      <w:r w:rsidR="00A85A38" w:rsidRPr="00DC79C5">
        <w:t xml:space="preserve">Six Washington, DC </w:t>
      </w:r>
      <w:r w:rsidR="00B57AE2">
        <w:t>s</w:t>
      </w:r>
      <w:r w:rsidR="00A85A38" w:rsidRPr="00DC79C5">
        <w:t xml:space="preserve">ections and two </w:t>
      </w:r>
      <w:r w:rsidR="00B57AE2">
        <w:t>f</w:t>
      </w:r>
      <w:r w:rsidR="00A85A38" w:rsidRPr="00DC79C5">
        <w:t xml:space="preserve">ield </w:t>
      </w:r>
      <w:r w:rsidR="00B57AE2">
        <w:t>o</w:t>
      </w:r>
      <w:r w:rsidR="00A85A38" w:rsidRPr="00DC79C5">
        <w:t>ffices</w:t>
      </w:r>
      <w:r w:rsidRPr="00DC79C5">
        <w:t xml:space="preserve"> p</w:t>
      </w:r>
      <w:r>
        <w:t xml:space="preserve">articipate in the Division’s civil work.  This activity serves to maintain the competitive structure of the national economy through investigation and litigation of instances in which monopoly power is sought, attained, or maintained through anticompetitive conduct and by seeking injunctive relief against mergers and acquisitions that may tend substantially to lessen competition.  </w:t>
      </w:r>
    </w:p>
    <w:p w:rsidR="00106E52" w:rsidRDefault="00106E52">
      <w:pPr>
        <w:pStyle w:val="BlockText"/>
        <w:tabs>
          <w:tab w:val="clear" w:pos="2419"/>
          <w:tab w:val="left" w:pos="720"/>
        </w:tabs>
        <w:ind w:left="720"/>
      </w:pPr>
    </w:p>
    <w:p w:rsidR="003B05E5" w:rsidRDefault="003B05E5">
      <w:pPr>
        <w:pStyle w:val="BlockText"/>
        <w:tabs>
          <w:tab w:val="clear" w:pos="2419"/>
          <w:tab w:val="left" w:pos="720"/>
        </w:tabs>
        <w:ind w:left="720"/>
      </w:pPr>
      <w:r>
        <w:t>Section 7 of the Clayton Act, as amended by the Hart</w:t>
      </w:r>
      <w:r>
        <w:noBreakHyphen/>
        <w:t>Scott</w:t>
      </w:r>
      <w:r>
        <w:noBreakHyphen/>
        <w:t xml:space="preserve">Rodino Antitrust Improvements Act of 1976 (HSR), requires certain enterprises that plan to merge or to enter into acquisition transactions to notify the Antitrust Division and the Federal Trade Commission (FTC) of their intention and to submit certain information.  These HSR premerger notifications provide advance notice of potentially anticompetitive transactions and allow the Division to identify and block such transactions before they are consummated.  HSR premerger reviews are conducted under statutorily mandated time frames.  This workload is not discretionary; it results from the number of premerger filings we receive.   </w:t>
      </w:r>
    </w:p>
    <w:p w:rsidR="003B05E5" w:rsidRDefault="003B05E5">
      <w:pPr>
        <w:pStyle w:val="BodyTextIndent3"/>
        <w:tabs>
          <w:tab w:val="clear" w:pos="2340"/>
          <w:tab w:val="left" w:pos="720"/>
        </w:tabs>
        <w:ind w:left="720"/>
      </w:pPr>
    </w:p>
    <w:p w:rsidR="003B05E5" w:rsidRDefault="003B05E5">
      <w:pPr>
        <w:pStyle w:val="BodyTextIndent3"/>
        <w:tabs>
          <w:tab w:val="clear" w:pos="2340"/>
          <w:tab w:val="left" w:pos="720"/>
        </w:tabs>
        <w:ind w:left="720"/>
      </w:pPr>
      <w:r>
        <w:t xml:space="preserve">The number of merger transactions reviewed includes all HSR filings the Division receives and, also, reviews of </w:t>
      </w:r>
      <w:r w:rsidR="00E01769">
        <w:t>proposed or</w:t>
      </w:r>
      <w:r>
        <w:t xml:space="preserve"> consummated mergers that are below HSR filing thresholds but which present possible anti-competitive issues.  HSR and non</w:t>
      </w:r>
      <w:r>
        <w:noBreakHyphen/>
        <w:t>HSR transactions may be investigated and prosecuted under Section 7 of the Clayton Act, or under Sections 1 and 2 of the Sherman Act.  Referrals for non</w:t>
      </w:r>
      <w:r>
        <w:noBreakHyphen/>
        <w:t xml:space="preserve">HSR matters come from both outside the Division, via competitors or consumers, and from within the Division, based on staff knowledge of industries and information about current events.  </w:t>
      </w:r>
    </w:p>
    <w:p w:rsidR="003B05E5" w:rsidRDefault="003B05E5">
      <w:pPr>
        <w:pStyle w:val="BodyTextIndent3"/>
        <w:tabs>
          <w:tab w:val="clear" w:pos="2340"/>
          <w:tab w:val="left" w:pos="720"/>
        </w:tabs>
        <w:ind w:left="720"/>
      </w:pPr>
    </w:p>
    <w:p w:rsidR="003B05E5" w:rsidRDefault="003B05E5">
      <w:pPr>
        <w:pStyle w:val="BodyTextIndent3"/>
        <w:tabs>
          <w:tab w:val="clear" w:pos="2340"/>
          <w:tab w:val="left" w:pos="720"/>
        </w:tabs>
        <w:ind w:left="720"/>
      </w:pPr>
      <w:r>
        <w:t xml:space="preserve">Bank merger applications, brought to the Division’s attention statutorily via the Bank Merger Act, the Bank Holding Company Act, the Home Owners Loan Act, and the Bridge Bank Section of the Federal Deposit Insurance Act, </w:t>
      </w:r>
      <w:proofErr w:type="gramStart"/>
      <w:r>
        <w:t>are</w:t>
      </w:r>
      <w:proofErr w:type="gramEnd"/>
      <w:r>
        <w:t xml:space="preserve"> reviewed through a somewhat different process.  </w:t>
      </w:r>
    </w:p>
    <w:p w:rsidR="003B05E5" w:rsidRDefault="003B05E5">
      <w:pPr>
        <w:widowControl/>
        <w:tabs>
          <w:tab w:val="left" w:pos="-1341"/>
          <w:tab w:val="left" w:pos="-1001"/>
          <w:tab w:val="left" w:pos="-461"/>
          <w:tab w:val="left" w:pos="1699"/>
          <w:tab w:val="left" w:pos="2059"/>
          <w:tab w:val="left" w:pos="2599"/>
          <w:tab w:val="left" w:pos="3319"/>
          <w:tab w:val="left" w:pos="4039"/>
          <w:tab w:val="left" w:pos="4759"/>
          <w:tab w:val="left" w:pos="5479"/>
          <w:tab w:val="left" w:pos="6199"/>
          <w:tab w:val="left" w:pos="6919"/>
          <w:tab w:val="left" w:pos="7639"/>
          <w:tab w:val="left" w:pos="8359"/>
          <w:tab w:val="left" w:pos="9079"/>
          <w:tab w:val="left" w:pos="9799"/>
          <w:tab w:val="left" w:pos="10519"/>
        </w:tabs>
        <w:ind w:left="-281"/>
      </w:pPr>
    </w:p>
    <w:p w:rsidR="005B63B7" w:rsidRDefault="003B05E5">
      <w:pPr>
        <w:widowControl/>
        <w:tabs>
          <w:tab w:val="left" w:pos="-981"/>
          <w:tab w:val="left" w:pos="-641"/>
          <w:tab w:val="left" w:pos="-101"/>
          <w:tab w:val="left" w:pos="720"/>
          <w:tab w:val="left" w:pos="2059"/>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720"/>
        <w:sectPr w:rsidR="005B63B7" w:rsidSect="00A9124A">
          <w:endnotePr>
            <w:numFmt w:val="decimal"/>
          </w:endnotePr>
          <w:pgSz w:w="12240" w:h="15840" w:code="1"/>
          <w:pgMar w:top="432" w:right="1440" w:bottom="288" w:left="1440" w:header="0" w:footer="432" w:gutter="0"/>
          <w:cols w:space="720"/>
          <w:noEndnote/>
        </w:sectPr>
      </w:pPr>
      <w:r>
        <w:t xml:space="preserve">The majority of the Division’s Civil Non-Merger work is performed by four litigating sections in Washington, DC, although other Washington sections </w:t>
      </w:r>
      <w:r w:rsidR="00A85A38" w:rsidRPr="00DC79C5">
        <w:t>and some field offices</w:t>
      </w:r>
      <w:r>
        <w:t xml:space="preserve"> provide support </w:t>
      </w:r>
      <w:r w:rsidR="0027328F">
        <w:t>as</w:t>
      </w:r>
      <w:r>
        <w:t xml:space="preserve"> necessary.  Our Civil Non-Merger activities pick up, to some degree, where the Antitrust Division’s Criminal strategy leaves off, </w:t>
      </w:r>
      <w:proofErr w:type="gramStart"/>
      <w:r>
        <w:t>pursuing</w:t>
      </w:r>
      <w:proofErr w:type="gramEnd"/>
      <w:r>
        <w:t xml:space="preserve"> matters under Section 1 of the Sherman Act in instances in which the allegedly illegal behavior falls outside bid rigging, price fixing, and market allocation schemes, the areas traditionally covered by criminal prosecutory processes.  Other behavior, such as group boycotts or exclusive dealing arrangements, that constitutes a "...contract, combination in the form of trust or otherwise, or conspiracy, in restraint of trade or commerce..." is also illegal under Section 1 of the Sherman Act.  It is typically prosecuted through the Division’s Civil Non-Merger Enforcement Strategy.   </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r>
        <w:t xml:space="preserve">A distinction between the Criminal and Civil Non-Merger activities is that conduct prosecuted through the Criminal strategy is considered a </w:t>
      </w:r>
      <w:r>
        <w:rPr>
          <w:i/>
          <w:iCs/>
          <w:u w:val="single"/>
        </w:rPr>
        <w:t>per se</w:t>
      </w:r>
      <w:r>
        <w:t xml:space="preserve"> violation of the law, whereas conduct reviewed under the Civil Non-Merger activity may constitute a </w:t>
      </w:r>
      <w:r>
        <w:rPr>
          <w:i/>
          <w:iCs/>
          <w:u w:val="single"/>
        </w:rPr>
        <w:t>per se</w:t>
      </w:r>
      <w:r>
        <w:t xml:space="preserve"> violation of the law or may be brought using a rule-of-reason analysis.  </w:t>
      </w:r>
      <w:r>
        <w:rPr>
          <w:i/>
          <w:iCs/>
          <w:u w:val="single"/>
        </w:rPr>
        <w:t>Per se</w:t>
      </w:r>
      <w:r>
        <w:t xml:space="preserve"> violations are violations considered so clearly anticompetitive that the Division must prove only that they occurred.  Violations brought under a rule-of-reason analysis, on the other hand, are those that may or may not, depending on the factual situation, be illegal.  In these instances, the Division must not only prove that the violation occurred, but must also demonstrate that the violation resulted in anticompetitive effects.  In addition to pursuing matters under Section 1 of the Sherman Act, the Division’s Civil Non-Merger component also prosecutes violations of Section 2 of the Sherman Act, which prohibits monopolization and attempted monopolization, and Section 3 of the Clayton Act, which prohibits tying.  Tying is an agreement by a party to sell one product on the condition that the buyer also purchase a different or </w:t>
      </w:r>
      <w:r>
        <w:rPr>
          <w:i/>
          <w:iCs/>
        </w:rPr>
        <w:t>tied</w:t>
      </w:r>
      <w:r>
        <w:t xml:space="preserve"> product, or at least agree that he will not purchase that </w:t>
      </w:r>
      <w:r>
        <w:rPr>
          <w:i/>
          <w:iCs/>
        </w:rPr>
        <w:t>tied</w:t>
      </w:r>
      <w:r>
        <w:t xml:space="preserve"> product from any other supplier.  Whether addressing matters under Sections 1 or 2 of the Sherman Act or Section 3 of the Clayton Act, our Civil Non-Merger enforcement activities rely upon civil compulsory process to investigate the alleged violation.</w:t>
      </w:r>
    </w:p>
    <w:p w:rsidR="0049590B" w:rsidRDefault="0049590B">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49590B" w:rsidRDefault="0049590B">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rPr>
          <w:b/>
        </w:rPr>
      </w:pPr>
      <w:r>
        <w:rPr>
          <w:b/>
        </w:rPr>
        <w:t>c. Priority Goals</w:t>
      </w:r>
    </w:p>
    <w:p w:rsidR="0049590B" w:rsidRDefault="0049590B">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rPr>
          <w:b/>
        </w:rPr>
      </w:pPr>
    </w:p>
    <w:p w:rsidR="0049590B" w:rsidRPr="0049590B" w:rsidRDefault="0049590B">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r>
        <w:t>The Antitrust Division contributes to the FY 2012-2013 Priority Goal, “Protect the American people from financial and healthcare fraud.”  In order to efficiently and effectively address financial fraud and healthcare fraud, by the end of FY 2013, increase by 5 percent over FY 2011 levels, the number of investigations completed per Department of Justice attorney working on financial fraud and healthcare fraud cases.</w:t>
      </w:r>
    </w:p>
    <w:p w:rsidR="003B05E5" w:rsidRDefault="003B05E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p>
    <w:p w:rsidR="003B049E" w:rsidRDefault="00DD5825">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pPr>
      <w:r>
        <w:rPr>
          <w:noProof/>
        </w:rPr>
        <w:pict>
          <v:shape id="_x0000_s1284" type="#_x0000_t75" alt="Image of the Robert F. Kennedy - Deparment of Justice building facade - corner of 8th St. NW and Pennsylvania Ave." style="position:absolute;left:0;text-align:left;margin-left:104.15pt;margin-top:3.35pt;width:284.4pt;height:315.85pt;z-index:251677184;mso-position-horizontal-relative:margin">
            <v:imagedata r:id="rId49" o:title="DSCN0375_edited-2"/>
            <w10:wrap type="square" anchorx="margin"/>
          </v:shape>
        </w:pict>
      </w:r>
    </w:p>
    <w:p w:rsidR="003B049E" w:rsidRDefault="003B049E">
      <w:pPr>
        <w:widowControl/>
        <w:tabs>
          <w:tab w:val="left" w:pos="-621"/>
          <w:tab w:val="left" w:pos="-281"/>
          <w:tab w:val="left" w:pos="259"/>
          <w:tab w:val="left" w:pos="720"/>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720" w:right="24"/>
        <w:sectPr w:rsidR="003B049E" w:rsidSect="00614967">
          <w:endnotePr>
            <w:numFmt w:val="decimal"/>
          </w:endnotePr>
          <w:pgSz w:w="12240" w:h="15840" w:code="1"/>
          <w:pgMar w:top="864" w:right="1440" w:bottom="576" w:left="1440" w:header="0" w:footer="432" w:gutter="0"/>
          <w:cols w:space="720"/>
          <w:noEndnote/>
        </w:sectPr>
      </w:pPr>
    </w:p>
    <w:p w:rsidR="003B05E5" w:rsidRDefault="003B05E5" w:rsidP="00506916">
      <w:pPr>
        <w:pStyle w:val="TOC4"/>
      </w:pPr>
      <w:bookmarkStart w:id="184" w:name="_Toc349640473"/>
      <w:r>
        <w:t>5.  Exemplar - C</w:t>
      </w:r>
      <w:r w:rsidR="00024CAE">
        <w:t>riminal</w:t>
      </w:r>
      <w:bookmarkEnd w:id="184"/>
    </w:p>
    <w:p w:rsidR="003B05E5" w:rsidRDefault="003B05E5">
      <w:pPr>
        <w:ind w:left="360"/>
        <w:rPr>
          <w:b/>
          <w:bCs/>
          <w:szCs w:val="28"/>
        </w:rPr>
      </w:pPr>
    </w:p>
    <w:p w:rsidR="003B05E5" w:rsidRDefault="003B05E5">
      <w:pPr>
        <w:pStyle w:val="H4"/>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bCs/>
          <w:u w:val="single"/>
        </w:rPr>
      </w:pPr>
      <w:r>
        <w:rPr>
          <w:bCs/>
        </w:rPr>
        <w:t>A.</w:t>
      </w:r>
      <w:r>
        <w:rPr>
          <w:b w:val="0"/>
          <w:bCs/>
        </w:rPr>
        <w:t xml:space="preserve">  </w:t>
      </w:r>
      <w:r w:rsidR="00277577">
        <w:rPr>
          <w:bCs/>
          <w:u w:val="single"/>
        </w:rPr>
        <w:t xml:space="preserve">Financial Fraud Enforcement </w:t>
      </w:r>
    </w:p>
    <w:p w:rsidR="008B55EE" w:rsidRPr="00963F6C" w:rsidRDefault="003B05E5" w:rsidP="008B55EE">
      <w:pPr>
        <w:ind w:left="360"/>
        <w:rPr>
          <w:b/>
          <w:bCs/>
        </w:rPr>
      </w:pPr>
      <w:r w:rsidRPr="00963F6C">
        <w:rPr>
          <w:b/>
          <w:bCs/>
        </w:rPr>
        <w:t xml:space="preserve"> </w:t>
      </w:r>
      <w:r w:rsidR="008B55EE" w:rsidRPr="00963F6C">
        <w:rPr>
          <w:b/>
          <w:bCs/>
        </w:rPr>
        <w:tab/>
      </w:r>
    </w:p>
    <w:p w:rsidR="008B55EE" w:rsidRDefault="008B55EE" w:rsidP="008B55EE">
      <w:pPr>
        <w:ind w:left="360" w:firstLine="360"/>
        <w:rPr>
          <w:b/>
          <w:bCs/>
        </w:rPr>
      </w:pPr>
      <w:r>
        <w:rPr>
          <w:b/>
          <w:bCs/>
        </w:rPr>
        <w:t>Introduction</w:t>
      </w:r>
      <w:r w:rsidR="00277577">
        <w:rPr>
          <w:b/>
          <w:bCs/>
        </w:rPr>
        <w:t xml:space="preserve"> and Background</w:t>
      </w:r>
    </w:p>
    <w:p w:rsidR="008B55EE" w:rsidRDefault="008B55EE" w:rsidP="008B55EE">
      <w:pPr>
        <w:ind w:left="360"/>
        <w:rPr>
          <w:lang w:val="en-CA"/>
        </w:rPr>
      </w:pPr>
    </w:p>
    <w:p w:rsidR="00277577" w:rsidRDefault="00277577" w:rsidP="00277577">
      <w:pPr>
        <w:ind w:left="720"/>
      </w:pPr>
      <w:r>
        <w:t>R</w:t>
      </w:r>
      <w:r w:rsidRPr="00504EA8">
        <w:t>igorous enforcement of the Sherman Antitrust Act, which authorizes the Antitrust Division to bring criminal prosecutions against those that are involved in contracts, business combinations</w:t>
      </w:r>
      <w:r>
        <w:t>,</w:t>
      </w:r>
      <w:r w:rsidRPr="00504EA8">
        <w:t xml:space="preserve"> and conspiracies that unreasonably restrain the nation’s free market economy, is a critical component of the Department’s overall battle against financial fraud.</w:t>
      </w:r>
      <w:r>
        <w:t xml:space="preserve">  </w:t>
      </w:r>
      <w:r w:rsidRPr="00735779">
        <w:t xml:space="preserve">Indeed, in </w:t>
      </w:r>
      <w:r w:rsidR="005A59AE">
        <w:t>FY</w:t>
      </w:r>
      <w:r w:rsidRPr="00735779">
        <w:t xml:space="preserve"> 201</w:t>
      </w:r>
      <w:r w:rsidR="00A26062">
        <w:t>2</w:t>
      </w:r>
      <w:r>
        <w:t>,</w:t>
      </w:r>
      <w:r w:rsidRPr="00735779">
        <w:t xml:space="preserve"> the </w:t>
      </w:r>
      <w:r>
        <w:t>D</w:t>
      </w:r>
      <w:r w:rsidRPr="00735779">
        <w:t xml:space="preserve">ivision filed </w:t>
      </w:r>
      <w:r w:rsidR="00A26062">
        <w:t>67</w:t>
      </w:r>
      <w:r w:rsidRPr="00735779">
        <w:t xml:space="preserve"> criminal cases</w:t>
      </w:r>
      <w:r w:rsidR="00A26062">
        <w:t xml:space="preserve"> </w:t>
      </w:r>
      <w:r w:rsidRPr="00735779">
        <w:t>and obtained over $</w:t>
      </w:r>
      <w:r w:rsidR="00A26062">
        <w:t>1.1</w:t>
      </w:r>
      <w:r w:rsidRPr="00735779">
        <w:t xml:space="preserve"> </w:t>
      </w:r>
      <w:r w:rsidR="00A26062">
        <w:t>b</w:t>
      </w:r>
      <w:r w:rsidRPr="00735779">
        <w:t xml:space="preserve">illion in criminal fines.  In these cases, we charged </w:t>
      </w:r>
      <w:r w:rsidR="00A26062">
        <w:t>16</w:t>
      </w:r>
      <w:r w:rsidRPr="00735779">
        <w:t xml:space="preserve"> corporations and </w:t>
      </w:r>
      <w:r w:rsidR="005206D0">
        <w:t xml:space="preserve">        </w:t>
      </w:r>
      <w:r w:rsidR="00A26062">
        <w:t>63</w:t>
      </w:r>
      <w:r w:rsidRPr="00735779">
        <w:t xml:space="preserve"> individuals, and courts imposed </w:t>
      </w:r>
      <w:r w:rsidR="00A26062">
        <w:t>45</w:t>
      </w:r>
      <w:r w:rsidRPr="00735779">
        <w:t xml:space="preserve"> jail terms totaling </w:t>
      </w:r>
      <w:r w:rsidR="00A26062">
        <w:t>33,603</w:t>
      </w:r>
      <w:r w:rsidRPr="00735779">
        <w:t xml:space="preserve"> days of jail time.  These cases and the underlying investigations </w:t>
      </w:r>
      <w:r>
        <w:t>were brought in a range of key industries</w:t>
      </w:r>
      <w:r w:rsidRPr="00735779">
        <w:t xml:space="preserve">, including real estate, auto parts, and financial services, to name a few. </w:t>
      </w:r>
    </w:p>
    <w:p w:rsidR="00277577" w:rsidRDefault="00277577" w:rsidP="00277577">
      <w:pPr>
        <w:ind w:left="720"/>
      </w:pPr>
    </w:p>
    <w:p w:rsidR="00277577" w:rsidRDefault="00F00C41" w:rsidP="00277577">
      <w:pPr>
        <w:ind w:left="720"/>
      </w:pPr>
      <w:r>
        <w:rPr>
          <w:noProof/>
        </w:rPr>
        <w:drawing>
          <wp:anchor distT="0" distB="0" distL="114300" distR="114300" simplePos="0" relativeHeight="251708928" behindDoc="1" locked="0" layoutInCell="1" allowOverlap="1">
            <wp:simplePos x="0" y="0"/>
            <wp:positionH relativeFrom="column">
              <wp:posOffset>433070</wp:posOffset>
            </wp:positionH>
            <wp:positionV relativeFrom="page">
              <wp:posOffset>3208655</wp:posOffset>
            </wp:positionV>
            <wp:extent cx="1480185" cy="1492250"/>
            <wp:effectExtent l="19050" t="0" r="5715" b="0"/>
            <wp:wrapTight wrapText="right">
              <wp:wrapPolygon edited="0">
                <wp:start x="-278" y="0"/>
                <wp:lineTo x="-278" y="21232"/>
                <wp:lineTo x="21683" y="21232"/>
                <wp:lineTo x="21683" y="0"/>
                <wp:lineTo x="-278" y="0"/>
              </wp:wrapPolygon>
            </wp:wrapTight>
            <wp:docPr id="12" name="Picture 2" descr="Financial Fraud Enforcement Task For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ETFlogo.JPG"/>
                    <pic:cNvPicPr/>
                  </pic:nvPicPr>
                  <pic:blipFill>
                    <a:blip r:embed="rId50" cstate="print"/>
                    <a:stretch>
                      <a:fillRect/>
                    </a:stretch>
                  </pic:blipFill>
                  <pic:spPr>
                    <a:xfrm>
                      <a:off x="0" y="0"/>
                      <a:ext cx="1480185" cy="1492250"/>
                    </a:xfrm>
                    <a:prstGeom prst="rect">
                      <a:avLst/>
                    </a:prstGeom>
                  </pic:spPr>
                </pic:pic>
              </a:graphicData>
            </a:graphic>
          </wp:anchor>
        </w:drawing>
      </w:r>
      <w:r w:rsidR="00277577">
        <w:t>Because of the importance of criminal antitrust enforcement to the fight against financial fraud, t</w:t>
      </w:r>
      <w:r w:rsidR="00277577" w:rsidRPr="00504EA8">
        <w:t xml:space="preserve">he Antitrust Division </w:t>
      </w:r>
      <w:r w:rsidR="00277577">
        <w:t xml:space="preserve">has played, and continues to </w:t>
      </w:r>
      <w:r w:rsidR="00277577" w:rsidRPr="00504EA8">
        <w:t>play</w:t>
      </w:r>
      <w:r w:rsidR="00277577">
        <w:t>,</w:t>
      </w:r>
      <w:r w:rsidR="00277577" w:rsidRPr="00504EA8">
        <w:t xml:space="preserve"> a prominent role in the President’s Financia</w:t>
      </w:r>
      <w:r w:rsidR="00277577">
        <w:t>l Fraud Enforcement Task Force, E</w:t>
      </w:r>
      <w:r w:rsidR="00277577" w:rsidRPr="00504EA8">
        <w:t>xec. Order No. 13519, 74 Fed. Reg. 60, 123 (Nov. 17, 2009)</w:t>
      </w:r>
      <w:r w:rsidR="00277577">
        <w:t xml:space="preserve">.  In particular, the Division is a key contributor to the efforts of the Task Force to detect and prosecute mortgage frauds, securities and commodities frauds, and frauds preying on funds dedicated to assist in the economic recovery pursuant to the American Recovery and Reinvestment Act.    </w:t>
      </w:r>
    </w:p>
    <w:p w:rsidR="00277577" w:rsidRDefault="00EA64C2" w:rsidP="00277577">
      <w:pPr>
        <w:ind w:left="720"/>
      </w:pPr>
      <w:r>
        <w:rPr>
          <w:noProof/>
        </w:rPr>
        <w:drawing>
          <wp:anchor distT="0" distB="0" distL="114300" distR="114300" simplePos="0" relativeHeight="251709952" behindDoc="1" locked="0" layoutInCell="1" allowOverlap="1">
            <wp:simplePos x="0" y="0"/>
            <wp:positionH relativeFrom="column">
              <wp:posOffset>4112260</wp:posOffset>
            </wp:positionH>
            <wp:positionV relativeFrom="paragraph">
              <wp:posOffset>26670</wp:posOffset>
            </wp:positionV>
            <wp:extent cx="1700530" cy="2234565"/>
            <wp:effectExtent l="19050" t="0" r="0" b="0"/>
            <wp:wrapTight wrapText="left">
              <wp:wrapPolygon edited="0">
                <wp:start x="-242" y="0"/>
                <wp:lineTo x="-242" y="21361"/>
                <wp:lineTo x="21535" y="21361"/>
                <wp:lineTo x="21535" y="0"/>
                <wp:lineTo x="-242" y="0"/>
              </wp:wrapPolygon>
            </wp:wrapTight>
            <wp:docPr id="14" name="Picture 5" descr="Real Estate Auction.  Gavel with small house und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r-lsb-nas05\ISG-SectDrive\ISG02-DATA1\MIS\WCLS\ThinkStockImages\des_photos\Real Estate Auction_93456102.jpg"/>
                    <pic:cNvPicPr>
                      <a:picLocks noChangeAspect="1" noChangeArrowheads="1"/>
                    </pic:cNvPicPr>
                  </pic:nvPicPr>
                  <pic:blipFill>
                    <a:blip r:embed="rId51" cstate="print"/>
                    <a:srcRect/>
                    <a:stretch>
                      <a:fillRect/>
                    </a:stretch>
                  </pic:blipFill>
                  <pic:spPr bwMode="auto">
                    <a:xfrm>
                      <a:off x="0" y="0"/>
                      <a:ext cx="1700530" cy="2234565"/>
                    </a:xfrm>
                    <a:prstGeom prst="rect">
                      <a:avLst/>
                    </a:prstGeom>
                    <a:noFill/>
                    <a:ln w="9525">
                      <a:noFill/>
                      <a:miter lim="800000"/>
                      <a:headEnd/>
                      <a:tailEnd/>
                    </a:ln>
                  </pic:spPr>
                </pic:pic>
              </a:graphicData>
            </a:graphic>
          </wp:anchor>
        </w:drawing>
      </w:r>
    </w:p>
    <w:p w:rsidR="00277577" w:rsidRDefault="00277577" w:rsidP="00277577">
      <w:pPr>
        <w:ind w:left="720"/>
      </w:pPr>
    </w:p>
    <w:p w:rsidR="00277577" w:rsidRPr="00AB31DB" w:rsidRDefault="00277577" w:rsidP="00277577">
      <w:pPr>
        <w:ind w:left="720"/>
        <w:rPr>
          <w:b/>
        </w:rPr>
      </w:pPr>
      <w:r w:rsidRPr="00AB31DB">
        <w:rPr>
          <w:b/>
        </w:rPr>
        <w:t>Mortgage and Foreclosure Fraud</w:t>
      </w:r>
    </w:p>
    <w:p w:rsidR="00277577" w:rsidRDefault="00277577" w:rsidP="00277577">
      <w:pPr>
        <w:ind w:left="720"/>
      </w:pPr>
    </w:p>
    <w:p w:rsidR="00E84EA9" w:rsidRDefault="00E84EA9" w:rsidP="00277577">
      <w:pPr>
        <w:ind w:left="720"/>
        <w:sectPr w:rsidR="00E84EA9" w:rsidSect="006F7649">
          <w:endnotePr>
            <w:numFmt w:val="decimal"/>
          </w:endnotePr>
          <w:pgSz w:w="12240" w:h="15840" w:code="1"/>
          <w:pgMar w:top="432" w:right="1440" w:bottom="432" w:left="1440" w:header="0" w:footer="288" w:gutter="0"/>
          <w:cols w:space="720"/>
          <w:noEndnote/>
        </w:sectPr>
      </w:pPr>
      <w:r>
        <w:t>Since the beginning of calendar year 2011</w:t>
      </w:r>
      <w:r w:rsidR="00277577">
        <w:t xml:space="preserve">, the Antitrust Division has identified a pattern of collusive schemes among real estate speculators aimed at eliminating competition at real estate foreclosure auctions around the country.  Instead of competitively bidding at public auctions for foreclosed properties, groups of real estate speculators work together to keep prices at public foreclosure auctions artificially low by paying each other to refrain from bidding or holding unofficial “knockoff” auctions among themselves.  While the country continues to face unprecedented home foreclosure rates, the collusion taking place at public auctions on the steps of courthouses and municipal buildings around the country is artificially driving down foreclosed home prices and enriching the colluding real estate speculators at the expense of homeowners, municipalities and lending institutions.  The impact of these collusive schemes is far-reaching because they negatively affect home prices in the neighborhoods where the foreclosed properties are located.  Similar collusive conduct has also been detected among bidders for public tax liens. </w:t>
      </w:r>
    </w:p>
    <w:p w:rsidR="00277577" w:rsidRDefault="00277577" w:rsidP="00277577">
      <w:pPr>
        <w:ind w:left="720"/>
      </w:pPr>
      <w:r>
        <w:t xml:space="preserve">To combat this anticompetitive epidemic, the Antitrust Division, in conjunction with the FBI, developed a Real Estate Foreclosure Initiative.  The Initiative includes outreach and training efforts designed to raise awareness of the investigative community and public about bid rigging and fraud at real estate foreclosure and tax lien auctions.  The Initiative also includes information sharing and coordinated enforcement efforts with our law enforcement partners meant to facilitate the identification, investigation, and prosecution of bid-rigging and collusive conduct at public auctions.  </w:t>
      </w:r>
    </w:p>
    <w:p w:rsidR="00277577" w:rsidRPr="00D965D5" w:rsidRDefault="00277577" w:rsidP="00277577">
      <w:pPr>
        <w:ind w:left="720"/>
        <w:rPr>
          <w:sz w:val="20"/>
          <w:szCs w:val="20"/>
        </w:rPr>
      </w:pPr>
    </w:p>
    <w:p w:rsidR="00277577" w:rsidRDefault="00E84EA9" w:rsidP="00277577">
      <w:pPr>
        <w:ind w:left="720"/>
      </w:pPr>
      <w:r>
        <w:t xml:space="preserve">As of </w:t>
      </w:r>
      <w:r w:rsidR="0063193C">
        <w:t>January 2013</w:t>
      </w:r>
      <w:r>
        <w:t>, a</w:t>
      </w:r>
      <w:r w:rsidR="00277577" w:rsidRPr="006B081A">
        <w:t xml:space="preserve">s a result of </w:t>
      </w:r>
      <w:r w:rsidR="00277577">
        <w:t>the Division</w:t>
      </w:r>
      <w:r>
        <w:t>’s</w:t>
      </w:r>
      <w:r w:rsidR="00277577">
        <w:t xml:space="preserve"> efforts,</w:t>
      </w:r>
      <w:r>
        <w:t xml:space="preserve"> </w:t>
      </w:r>
      <w:r w:rsidR="00C47E95">
        <w:t>5</w:t>
      </w:r>
      <w:r w:rsidR="0063193C">
        <w:t>9</w:t>
      </w:r>
      <w:r w:rsidR="00C47E95" w:rsidRPr="006B081A">
        <w:t xml:space="preserve"> </w:t>
      </w:r>
      <w:r w:rsidR="00277577" w:rsidRPr="006B081A">
        <w:t xml:space="preserve">defendants have pleaded guilty to </w:t>
      </w:r>
      <w:r w:rsidR="00277577">
        <w:t xml:space="preserve">real estate foreclosure and tax liens </w:t>
      </w:r>
      <w:r w:rsidR="00277577" w:rsidRPr="006B081A">
        <w:t xml:space="preserve">conspiracies </w:t>
      </w:r>
      <w:r w:rsidR="00277577">
        <w:t xml:space="preserve">across the United States </w:t>
      </w:r>
      <w:r w:rsidR="00277577" w:rsidRPr="006B081A">
        <w:t>that suppress and restrain competition in ways that harm our communities and already-financially distressed homeowners.</w:t>
      </w:r>
      <w:r w:rsidR="00277577">
        <w:t xml:space="preserve">  The Division is coordinating its Initiative through the Mortgage Fraud Working Group of the Financial Fraud Enforcement Task Force.  </w:t>
      </w:r>
    </w:p>
    <w:p w:rsidR="00277577" w:rsidRPr="00D965D5" w:rsidRDefault="00277577" w:rsidP="00277577">
      <w:pPr>
        <w:pStyle w:val="BodyTextIndent2"/>
        <w:ind w:left="720" w:hanging="1"/>
        <w:rPr>
          <w:sz w:val="20"/>
          <w:szCs w:val="20"/>
        </w:rPr>
      </w:pPr>
    </w:p>
    <w:p w:rsidR="00277577" w:rsidRPr="006B081A" w:rsidRDefault="00277577" w:rsidP="00277577">
      <w:pPr>
        <w:pStyle w:val="BodyTextIndent2"/>
        <w:ind w:left="720" w:hanging="1"/>
        <w:rPr>
          <w:b/>
          <w:bCs/>
        </w:rPr>
      </w:pPr>
      <w:r w:rsidRPr="006B081A">
        <w:rPr>
          <w:b/>
          <w:bCs/>
        </w:rPr>
        <w:t>Securities and Commodities Fraud</w:t>
      </w:r>
    </w:p>
    <w:p w:rsidR="00277577" w:rsidRPr="00D965D5" w:rsidRDefault="00277577" w:rsidP="00277577">
      <w:pPr>
        <w:pStyle w:val="BodyTextIndent2"/>
        <w:ind w:left="720" w:hanging="1"/>
        <w:rPr>
          <w:sz w:val="20"/>
          <w:szCs w:val="20"/>
        </w:rPr>
      </w:pPr>
    </w:p>
    <w:p w:rsidR="00277577" w:rsidRDefault="00EA64C2" w:rsidP="00277577">
      <w:pPr>
        <w:pStyle w:val="BodyTextIndent2"/>
        <w:ind w:left="720" w:hanging="1"/>
      </w:pPr>
      <w:r>
        <w:rPr>
          <w:noProof/>
        </w:rPr>
        <w:drawing>
          <wp:anchor distT="0" distB="0" distL="114300" distR="114300" simplePos="0" relativeHeight="251710976" behindDoc="0" locked="0" layoutInCell="1" allowOverlap="1">
            <wp:simplePos x="0" y="0"/>
            <wp:positionH relativeFrom="margin">
              <wp:posOffset>3735070</wp:posOffset>
            </wp:positionH>
            <wp:positionV relativeFrom="margin">
              <wp:posOffset>3577590</wp:posOffset>
            </wp:positionV>
            <wp:extent cx="2111375" cy="1828800"/>
            <wp:effectExtent l="19050" t="0" r="3175" b="0"/>
            <wp:wrapSquare wrapText="bothSides"/>
            <wp:docPr id="15" name="Picture 6" descr="Wall Street sign with American Flags fly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r-lsb-nas05\ISG-SectDrive\ISG02-DATA1\MIS\WCLS\ThinkStockImages\des_photos\Wall Street sign_104640863.jpg"/>
                    <pic:cNvPicPr>
                      <a:picLocks noChangeAspect="1" noChangeArrowheads="1"/>
                    </pic:cNvPicPr>
                  </pic:nvPicPr>
                  <pic:blipFill>
                    <a:blip r:embed="rId52" cstate="print"/>
                    <a:srcRect/>
                    <a:stretch>
                      <a:fillRect/>
                    </a:stretch>
                  </pic:blipFill>
                  <pic:spPr bwMode="auto">
                    <a:xfrm>
                      <a:off x="0" y="0"/>
                      <a:ext cx="2111375" cy="1828800"/>
                    </a:xfrm>
                    <a:prstGeom prst="rect">
                      <a:avLst/>
                    </a:prstGeom>
                    <a:noFill/>
                    <a:ln w="9525">
                      <a:noFill/>
                      <a:miter lim="800000"/>
                      <a:headEnd/>
                      <a:tailEnd/>
                    </a:ln>
                  </pic:spPr>
                </pic:pic>
              </a:graphicData>
            </a:graphic>
          </wp:anchor>
        </w:drawing>
      </w:r>
      <w:r w:rsidR="00277577">
        <w:t xml:space="preserve">The Antitrust Division has also been integral to the Department’s efforts to combat securities, commodities, and corporate and investment frauds.  These so called “Wall Street” frauds are at the root of </w:t>
      </w:r>
      <w:r w:rsidR="00277577">
        <w:rPr>
          <w:lang w:val="en-CA"/>
        </w:rPr>
        <w:t xml:space="preserve">many of the problems that have plagued the </w:t>
      </w:r>
      <w:r w:rsidR="00277577">
        <w:t xml:space="preserve">nation’s markets, businesses and consumers, and continue to act as a drag on the nation’s ability to sustain a full economic recovery. </w:t>
      </w:r>
    </w:p>
    <w:p w:rsidR="00277577" w:rsidRPr="00D965D5" w:rsidRDefault="00277577" w:rsidP="00277577">
      <w:pPr>
        <w:pStyle w:val="BodyTextIndent2"/>
        <w:ind w:left="720" w:hanging="1"/>
        <w:rPr>
          <w:sz w:val="20"/>
          <w:szCs w:val="20"/>
        </w:rPr>
      </w:pPr>
    </w:p>
    <w:p w:rsidR="00277577" w:rsidRDefault="00277577" w:rsidP="00277577">
      <w:pPr>
        <w:ind w:left="720"/>
      </w:pPr>
      <w:r>
        <w:t>Of particular note, d</w:t>
      </w:r>
      <w:r w:rsidRPr="006B081A">
        <w:t>uring the past year</w:t>
      </w:r>
      <w:r>
        <w:t xml:space="preserve">, </w:t>
      </w:r>
      <w:r w:rsidRPr="006B081A">
        <w:t xml:space="preserve">the </w:t>
      </w:r>
      <w:r>
        <w:t>D</w:t>
      </w:r>
      <w:r w:rsidRPr="006B081A">
        <w:t>ivision, along with other federal agencies, has been investigating criminal conspiracies involving bid-rigging in the municipal bond investments market.</w:t>
      </w:r>
      <w:r>
        <w:t xml:space="preserve">  The schemes under investigation involve unlawful agreements to manipulate the bidding process on municipal investment and related contracts – financial instruments which were used to invest the proceeds of, or manage the risks associated with, bond issuances by municipalities and other public entities.  Critical municipal infrastructure, like roads, schools, and other projects, are supported by the bonds affected by these crimes. </w:t>
      </w:r>
    </w:p>
    <w:p w:rsidR="00277577" w:rsidRPr="00D965D5" w:rsidRDefault="00277577" w:rsidP="00277577">
      <w:pPr>
        <w:pStyle w:val="BodyTextIndent2"/>
        <w:ind w:left="720" w:hanging="1"/>
        <w:rPr>
          <w:sz w:val="20"/>
          <w:szCs w:val="20"/>
        </w:rPr>
      </w:pPr>
      <w:r w:rsidRPr="006B081A">
        <w:t> </w:t>
      </w:r>
    </w:p>
    <w:p w:rsidR="00277577" w:rsidRDefault="00D371B2" w:rsidP="00277577">
      <w:pPr>
        <w:ind w:left="720"/>
      </w:pPr>
      <w:r>
        <w:t xml:space="preserve">As of </w:t>
      </w:r>
      <w:r w:rsidR="0063193C">
        <w:t>January</w:t>
      </w:r>
      <w:r w:rsidR="00C47E95">
        <w:t xml:space="preserve"> </w:t>
      </w:r>
      <w:r>
        <w:t>201</w:t>
      </w:r>
      <w:r w:rsidR="0063193C">
        <w:t>3</w:t>
      </w:r>
      <w:r w:rsidR="00277577">
        <w:t xml:space="preserve">, the Division’s ongoing investigation has resulted in criminal charges against </w:t>
      </w:r>
      <w:r w:rsidR="00C47E95">
        <w:t xml:space="preserve">20 </w:t>
      </w:r>
      <w:r w:rsidR="00277577">
        <w:t xml:space="preserve">former executives of various financial services companies and one corporation.  </w:t>
      </w:r>
      <w:r w:rsidR="00C47E95">
        <w:t xml:space="preserve">Nineteen </w:t>
      </w:r>
      <w:r w:rsidR="00277577">
        <w:t xml:space="preserve">of the </w:t>
      </w:r>
      <w:r w:rsidR="00C47E95">
        <w:t xml:space="preserve">20 </w:t>
      </w:r>
      <w:r w:rsidR="00277577">
        <w:t>executives charged have pleaded guilty</w:t>
      </w:r>
      <w:r w:rsidR="00C47E95">
        <w:t xml:space="preserve"> or </w:t>
      </w:r>
      <w:r w:rsidR="00D21B0A">
        <w:t xml:space="preserve">were </w:t>
      </w:r>
      <w:r w:rsidR="00C47E95">
        <w:t>convicted at trial</w:t>
      </w:r>
      <w:r w:rsidR="00277577">
        <w:t>.</w:t>
      </w:r>
      <w:r w:rsidR="00C47E95">
        <w:t xml:space="preserve">  The remaining executive awaits trial.</w:t>
      </w:r>
      <w:r w:rsidR="00277577">
        <w:t xml:space="preserve"> </w:t>
      </w:r>
    </w:p>
    <w:p w:rsidR="00277577" w:rsidRPr="00D965D5" w:rsidRDefault="00277577" w:rsidP="00277577">
      <w:pPr>
        <w:ind w:left="720"/>
        <w:rPr>
          <w:sz w:val="20"/>
          <w:szCs w:val="20"/>
        </w:rPr>
      </w:pPr>
      <w:r>
        <w:t xml:space="preserve">  </w:t>
      </w:r>
    </w:p>
    <w:p w:rsidR="00277577" w:rsidRDefault="00277577" w:rsidP="00277577">
      <w:pPr>
        <w:pStyle w:val="BodyTextIndent2"/>
        <w:ind w:left="720" w:hanging="1"/>
      </w:pPr>
      <w:r>
        <w:t>T</w:t>
      </w:r>
      <w:r w:rsidRPr="006B081A">
        <w:t>h</w:t>
      </w:r>
      <w:r>
        <w:t>e</w:t>
      </w:r>
      <w:r w:rsidRPr="006B081A">
        <w:t xml:space="preserve"> investigation</w:t>
      </w:r>
      <w:r>
        <w:t xml:space="preserve"> has also produced numerous resolutions with large financial institutions implicated in the schemes, including </w:t>
      </w:r>
      <w:r w:rsidRPr="006B081A">
        <w:t>JPMorgan Chase</w:t>
      </w:r>
      <w:r>
        <w:t xml:space="preserve">, </w:t>
      </w:r>
      <w:r w:rsidRPr="006B081A">
        <w:t>UBS AG</w:t>
      </w:r>
      <w:r>
        <w:t xml:space="preserve">, Wachovia Bank N.A., </w:t>
      </w:r>
      <w:r w:rsidRPr="006B081A">
        <w:t>Bank of America</w:t>
      </w:r>
      <w:r>
        <w:t xml:space="preserve">, and GE Funding </w:t>
      </w:r>
      <w:r w:rsidRPr="0047175E">
        <w:t>Capital Market Services, Inc.</w:t>
      </w:r>
      <w:r>
        <w:t xml:space="preserve">  These financial institutions have agreed to pay a combined total of nearly </w:t>
      </w:r>
      <w:r w:rsidRPr="0091385E">
        <w:rPr>
          <w:b/>
        </w:rPr>
        <w:t>$750 million in restitution</w:t>
      </w:r>
      <w:r>
        <w:t>, penalties and disgorgement to federal and state agencies for their roles in the conduct.</w:t>
      </w:r>
    </w:p>
    <w:p w:rsidR="00277577" w:rsidRPr="00D965D5" w:rsidRDefault="00277577" w:rsidP="00277577">
      <w:pPr>
        <w:pStyle w:val="BodyTextIndent2"/>
        <w:ind w:left="720" w:hanging="1"/>
        <w:rPr>
          <w:sz w:val="20"/>
          <w:szCs w:val="20"/>
        </w:rPr>
      </w:pPr>
    </w:p>
    <w:p w:rsidR="00E84EA9" w:rsidRDefault="00277577" w:rsidP="00277577">
      <w:pPr>
        <w:pStyle w:val="BodyTextIndent2"/>
        <w:ind w:left="720" w:hanging="1"/>
        <w:sectPr w:rsidR="00E84EA9" w:rsidSect="00C45A34">
          <w:endnotePr>
            <w:numFmt w:val="decimal"/>
          </w:endnotePr>
          <w:pgSz w:w="12240" w:h="15840" w:code="1"/>
          <w:pgMar w:top="720" w:right="1440" w:bottom="720" w:left="1440" w:header="0" w:footer="288" w:gutter="0"/>
          <w:cols w:space="720"/>
          <w:noEndnote/>
        </w:sectPr>
      </w:pPr>
      <w:r w:rsidRPr="006B081A">
        <w:t xml:space="preserve">The </w:t>
      </w:r>
      <w:r>
        <w:t>D</w:t>
      </w:r>
      <w:r w:rsidRPr="006B081A">
        <w:t xml:space="preserve">ivision is coordinating </w:t>
      </w:r>
      <w:r>
        <w:t xml:space="preserve">its municipal bonds </w:t>
      </w:r>
      <w:r w:rsidRPr="006B081A">
        <w:t xml:space="preserve">investigation </w:t>
      </w:r>
      <w:r>
        <w:t xml:space="preserve">and other efforts in the financial services industries </w:t>
      </w:r>
      <w:r w:rsidRPr="006B081A">
        <w:t xml:space="preserve">with </w:t>
      </w:r>
      <w:r>
        <w:t>other members of the Securities, Commodities and Investment Fraud Working Group of the Financial Fraud Enforcement Task Force.</w:t>
      </w:r>
    </w:p>
    <w:p w:rsidR="00277577" w:rsidRPr="006B081A" w:rsidRDefault="00277577" w:rsidP="00277577">
      <w:pPr>
        <w:ind w:left="720" w:firstLine="720"/>
      </w:pPr>
    </w:p>
    <w:p w:rsidR="00277577" w:rsidRPr="006B081A" w:rsidRDefault="00277577" w:rsidP="00277577">
      <w:pPr>
        <w:ind w:left="720"/>
        <w:rPr>
          <w:b/>
        </w:rPr>
      </w:pPr>
      <w:r w:rsidRPr="006B081A">
        <w:rPr>
          <w:b/>
        </w:rPr>
        <w:t>Economic Recovery Fraud</w:t>
      </w:r>
    </w:p>
    <w:p w:rsidR="00277577" w:rsidRDefault="00277577" w:rsidP="00277577">
      <w:pPr>
        <w:ind w:left="720"/>
      </w:pPr>
    </w:p>
    <w:p w:rsidR="00277577" w:rsidRPr="00504EA8" w:rsidRDefault="00277577" w:rsidP="00277577">
      <w:pPr>
        <w:ind w:left="720"/>
        <w:rPr>
          <w:lang w:val="en-CA"/>
        </w:rPr>
      </w:pPr>
      <w:r w:rsidRPr="00504EA8">
        <w:t>With the passage of the American Recovery and Reinvestment Act of 2009, signed by President Obama in February 2009, the Division’s role to uphold the American public’s expectation that our nation’s $787 billion investment in economic recovery will not fall victim to fraud and other illegal activity was clearly evident.  Accordingly, within one month of the Recovery Act becoming Public Law, the Antitrust Division launched an “Economic Recovery Initiative” to assist in ensuring successful results from implementation of the Recovery Act.</w:t>
      </w:r>
      <w:r w:rsidRPr="00504EA8">
        <w:rPr>
          <w:lang w:val="en-CA"/>
        </w:rPr>
        <w:t xml:space="preserve"> </w:t>
      </w:r>
    </w:p>
    <w:p w:rsidR="00277577" w:rsidRPr="00504EA8" w:rsidRDefault="00240E60" w:rsidP="00277577">
      <w:pPr>
        <w:ind w:hanging="1"/>
        <w:rPr>
          <w:lang w:val="en-CA"/>
        </w:rPr>
      </w:pPr>
      <w:r>
        <w:rPr>
          <w:noProof/>
        </w:rPr>
        <w:drawing>
          <wp:anchor distT="0" distB="0" distL="114300" distR="114300" simplePos="0" relativeHeight="251683328" behindDoc="0" locked="0" layoutInCell="1" allowOverlap="1">
            <wp:simplePos x="0" y="0"/>
            <wp:positionH relativeFrom="margin">
              <wp:posOffset>446405</wp:posOffset>
            </wp:positionH>
            <wp:positionV relativeFrom="margin">
              <wp:posOffset>1774190</wp:posOffset>
            </wp:positionV>
            <wp:extent cx="1441450" cy="1518285"/>
            <wp:effectExtent l="19050" t="0" r="6350" b="0"/>
            <wp:wrapSquare wrapText="bothSides"/>
            <wp:docPr id="4" name="Picture 3" descr="Recovery Ac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y Act Seal.bmp"/>
                    <pic:cNvPicPr/>
                  </pic:nvPicPr>
                  <pic:blipFill>
                    <a:blip r:embed="rId53" cstate="print"/>
                    <a:stretch>
                      <a:fillRect/>
                    </a:stretch>
                  </pic:blipFill>
                  <pic:spPr>
                    <a:xfrm>
                      <a:off x="0" y="0"/>
                      <a:ext cx="1441450" cy="1518285"/>
                    </a:xfrm>
                    <a:prstGeom prst="rect">
                      <a:avLst/>
                    </a:prstGeom>
                  </pic:spPr>
                </pic:pic>
              </a:graphicData>
            </a:graphic>
          </wp:anchor>
        </w:drawing>
      </w:r>
    </w:p>
    <w:p w:rsidR="00020D3D" w:rsidRDefault="00277577" w:rsidP="00020D3D">
      <w:pPr>
        <w:ind w:left="720" w:hanging="1"/>
        <w:rPr>
          <w:lang w:val="en-CA"/>
        </w:rPr>
      </w:pPr>
      <w:r w:rsidRPr="00504EA8">
        <w:rPr>
          <w:lang w:val="en-CA"/>
        </w:rPr>
        <w:t xml:space="preserve">The Economic Recovery Initiative represents the Antitrust Division’s commitment to assist federal, state, and local agencies receiving Recovery Act funds to ensure that measures are in place to protect procurement and program funding processes from bid-rigging and other fraudulent conduct, as well as to ensure that those who seek to corrupt </w:t>
      </w:r>
      <w:r w:rsidR="00020D3D" w:rsidRPr="00504EA8">
        <w:rPr>
          <w:lang w:val="en-CA"/>
        </w:rPr>
        <w:t>the competitive bidding process are prosecuted to the fullest extent of the law.  A princip</w:t>
      </w:r>
      <w:r w:rsidR="005369BA">
        <w:rPr>
          <w:lang w:val="en-CA"/>
        </w:rPr>
        <w:t>al</w:t>
      </w:r>
      <w:r w:rsidR="00020D3D" w:rsidRPr="00504EA8">
        <w:rPr>
          <w:lang w:val="en-CA"/>
        </w:rPr>
        <w:t xml:space="preserve"> aim of the Initiative is training government officials to prevent, detect, and report efforts by parties to unlawfully profit from stimulus awards before those awards are made and taxpayer money is wasted.  This focus reflects the Antitrust Division’s experience from investigating and prosecuting fraud that the potential risk of collusion and fraud relating to lucrative government contracts is dramatically</w:t>
      </w:r>
      <w:r w:rsidR="00020D3D">
        <w:rPr>
          <w:lang w:val="en-CA"/>
        </w:rPr>
        <w:t xml:space="preserve"> minimized when an early and strong emphasis is placed on prevention and detection.  Another cornerstone of the Initiative is promoting holistic enforcement of Recovery Act frauds – that is, ensuring that enforcement in this area not be limited to merely criminal and/or civil prosecution, but also includes potential administrative action and suspension and debarment measures.</w:t>
      </w:r>
    </w:p>
    <w:p w:rsidR="00020D3D" w:rsidRDefault="00020D3D" w:rsidP="00020D3D">
      <w:pPr>
        <w:ind w:left="720"/>
        <w:rPr>
          <w:lang w:val="en-CA"/>
        </w:rPr>
      </w:pPr>
    </w:p>
    <w:p w:rsidR="00020D3D" w:rsidRDefault="00020D3D" w:rsidP="00020D3D">
      <w:pPr>
        <w:pStyle w:val="BodyTextIndent2"/>
        <w:ind w:left="720" w:hanging="1"/>
      </w:pPr>
      <w:r>
        <w:t xml:space="preserve">The Division’s Initiative remains a central part of the efforts of the Recovery Act Fraud Working Group of the </w:t>
      </w:r>
      <w:r w:rsidRPr="006477CB">
        <w:t>Financi</w:t>
      </w:r>
      <w:r>
        <w:t>al Fraud Enforcement Task Force.  The Task Force’s Recovery Act Fraud Working Group, which is co-chaired by the Assistant Attorney General for the Antitrust Division, is responsible for coordinating a national strategy to draw on all the resources and expertise of the Department, as well as other partner agencies, regulatory authorities, and Inspectors General throughout the Executive Branch, to ensure that taxpayer funds are safeguarded from fraud and abuse and that the Recovery Act effort is conducted in an open, competitive, and non-discriminatory manner.</w:t>
      </w:r>
    </w:p>
    <w:p w:rsidR="00197914" w:rsidRDefault="00197914" w:rsidP="00020D3D">
      <w:pPr>
        <w:pStyle w:val="BodyTextIndent2"/>
        <w:ind w:left="720" w:hanging="1"/>
        <w:sectPr w:rsidR="00197914" w:rsidSect="007840AB">
          <w:endnotePr>
            <w:numFmt w:val="decimal"/>
          </w:endnotePr>
          <w:pgSz w:w="12240" w:h="15840" w:code="1"/>
          <w:pgMar w:top="1440" w:right="1440" w:bottom="720" w:left="1440" w:header="0" w:footer="288" w:gutter="0"/>
          <w:cols w:space="720"/>
          <w:noEndnote/>
        </w:sectPr>
      </w:pPr>
    </w:p>
    <w:p w:rsidR="007840AB" w:rsidRPr="00CB3FB8" w:rsidRDefault="00E74D8B" w:rsidP="007840AB">
      <w:pPr>
        <w:ind w:left="450"/>
        <w:rPr>
          <w:b/>
          <w:u w:val="single"/>
        </w:rPr>
      </w:pPr>
      <w:r>
        <w:rPr>
          <w:b/>
          <w:noProof/>
        </w:rPr>
        <w:drawing>
          <wp:anchor distT="0" distB="0" distL="114300" distR="114300" simplePos="0" relativeHeight="251712000" behindDoc="0" locked="0" layoutInCell="1" allowOverlap="1">
            <wp:simplePos x="0" y="0"/>
            <wp:positionH relativeFrom="margin">
              <wp:posOffset>3295650</wp:posOffset>
            </wp:positionH>
            <wp:positionV relativeFrom="margin">
              <wp:posOffset>-97155</wp:posOffset>
            </wp:positionV>
            <wp:extent cx="2570480" cy="2143125"/>
            <wp:effectExtent l="19050" t="0" r="1270" b="0"/>
            <wp:wrapSquare wrapText="bothSides"/>
            <wp:docPr id="13" name="Picture 6" descr="Picture of automotive spar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r-lsb-nas05\ISG-SectDrive\ISG02-DATA1\MIS\WCLS\ThinkStockImages\auto\automotive spare parts_110875752.jpg"/>
                    <pic:cNvPicPr>
                      <a:picLocks noChangeAspect="1" noChangeArrowheads="1"/>
                    </pic:cNvPicPr>
                  </pic:nvPicPr>
                  <pic:blipFill>
                    <a:blip r:embed="rId54" cstate="print"/>
                    <a:srcRect/>
                    <a:stretch>
                      <a:fillRect/>
                    </a:stretch>
                  </pic:blipFill>
                  <pic:spPr bwMode="auto">
                    <a:xfrm>
                      <a:off x="0" y="0"/>
                      <a:ext cx="2570480" cy="2143125"/>
                    </a:xfrm>
                    <a:prstGeom prst="rect">
                      <a:avLst/>
                    </a:prstGeom>
                    <a:noFill/>
                    <a:ln w="9525">
                      <a:noFill/>
                      <a:miter lim="800000"/>
                      <a:headEnd/>
                      <a:tailEnd/>
                    </a:ln>
                  </pic:spPr>
                </pic:pic>
              </a:graphicData>
            </a:graphic>
          </wp:anchor>
        </w:drawing>
      </w:r>
      <w:r w:rsidR="007840AB" w:rsidRPr="007F0D16">
        <w:rPr>
          <w:b/>
        </w:rPr>
        <w:t>B</w:t>
      </w:r>
      <w:r w:rsidR="007840AB">
        <w:rPr>
          <w:b/>
        </w:rPr>
        <w:t xml:space="preserve">.  </w:t>
      </w:r>
      <w:r w:rsidR="007840AB">
        <w:rPr>
          <w:b/>
          <w:u w:val="single"/>
        </w:rPr>
        <w:t>Automobile Parts Investigation</w:t>
      </w:r>
    </w:p>
    <w:p w:rsidR="007840AB" w:rsidRPr="00CB3FB8" w:rsidRDefault="007840AB" w:rsidP="007840AB">
      <w:pPr>
        <w:ind w:left="450"/>
      </w:pPr>
    </w:p>
    <w:p w:rsidR="007840AB" w:rsidRDefault="007840AB" w:rsidP="007840AB">
      <w:pPr>
        <w:ind w:left="810"/>
        <w:rPr>
          <w:b/>
        </w:rPr>
      </w:pPr>
      <w:r>
        <w:rPr>
          <w:b/>
        </w:rPr>
        <w:t>Introduction</w:t>
      </w:r>
    </w:p>
    <w:p w:rsidR="007840AB" w:rsidRDefault="007840AB" w:rsidP="007840AB">
      <w:pPr>
        <w:ind w:left="810"/>
        <w:rPr>
          <w:b/>
        </w:rPr>
      </w:pPr>
    </w:p>
    <w:p w:rsidR="007840AB" w:rsidRPr="00006BB2" w:rsidRDefault="007840AB" w:rsidP="007840AB">
      <w:pPr>
        <w:ind w:left="810"/>
      </w:pPr>
      <w:r w:rsidRPr="00006BB2">
        <w:t>In an investigation spanning three continents an</w:t>
      </w:r>
      <w:r w:rsidR="00686D4D">
        <w:t>d</w:t>
      </w:r>
      <w:r w:rsidRPr="00006BB2">
        <w:t xml:space="preserve"> involving the Federal Bureau of Investigation (FBI), the European Union, </w:t>
      </w:r>
      <w:r>
        <w:t xml:space="preserve">Canada’s Competition Bureau </w:t>
      </w:r>
      <w:r w:rsidRPr="00006BB2">
        <w:t xml:space="preserve">and the Japanese Fair Trade Commission, the </w:t>
      </w:r>
      <w:r>
        <w:t xml:space="preserve">Antitrust </w:t>
      </w:r>
      <w:r w:rsidRPr="00006BB2">
        <w:t xml:space="preserve">Division is looking into the alleged illegal business practices of major automobile parts suppliers.  </w:t>
      </w:r>
      <w:r>
        <w:t>Initially, t</w:t>
      </w:r>
      <w:r w:rsidRPr="00006BB2">
        <w:t>he investigation center</w:t>
      </w:r>
      <w:r>
        <w:t>ed</w:t>
      </w:r>
      <w:r w:rsidRPr="00006BB2">
        <w:t xml:space="preserve"> primarily on wire harnesses </w:t>
      </w:r>
      <w:r w:rsidR="00C4113C">
        <w:t xml:space="preserve">used in auto bodies </w:t>
      </w:r>
      <w:r w:rsidRPr="00006BB2">
        <w:t>and related products</w:t>
      </w:r>
      <w:r>
        <w:t xml:space="preserve"> but has since expanded into other automobile parts.  </w:t>
      </w:r>
      <w:r w:rsidRPr="00006BB2">
        <w:t xml:space="preserve">This investigation and </w:t>
      </w:r>
      <w:r>
        <w:t xml:space="preserve">the </w:t>
      </w:r>
      <w:r w:rsidRPr="00006BB2">
        <w:t>resulting penalties impact</w:t>
      </w:r>
      <w:r>
        <w:t xml:space="preserve"> </w:t>
      </w:r>
      <w:r w:rsidRPr="00006BB2">
        <w:t xml:space="preserve">American automobile manufacturing companies and many foreign producers. </w:t>
      </w:r>
    </w:p>
    <w:p w:rsidR="007840AB" w:rsidRDefault="007840AB" w:rsidP="007840AB">
      <w:pPr>
        <w:ind w:left="810"/>
        <w:rPr>
          <w:b/>
        </w:rPr>
      </w:pPr>
    </w:p>
    <w:p w:rsidR="007840AB" w:rsidRPr="00625060" w:rsidRDefault="007840AB" w:rsidP="007840AB">
      <w:pPr>
        <w:ind w:left="810"/>
        <w:rPr>
          <w:color w:val="171E24"/>
        </w:rPr>
      </w:pPr>
      <w:r w:rsidRPr="00625060">
        <w:rPr>
          <w:color w:val="171E24"/>
        </w:rPr>
        <w:t xml:space="preserve">The automobile parts investigation is the </w:t>
      </w:r>
      <w:r w:rsidRPr="00006BB2">
        <w:rPr>
          <w:b/>
          <w:color w:val="171E24"/>
        </w:rPr>
        <w:t>largest criminal investigation the Antitrust Division has ever pursued</w:t>
      </w:r>
      <w:r w:rsidRPr="00625060">
        <w:rPr>
          <w:color w:val="171E24"/>
        </w:rPr>
        <w:t xml:space="preserve">, both in terms of its scope and the potential volume of commerce affected by the alleged illegal conduct. The ongoing cartel investigation of price-fixing and bid-rigging in the automobile parts industry has yielded </w:t>
      </w:r>
      <w:r w:rsidRPr="00625060">
        <w:rPr>
          <w:b/>
          <w:color w:val="171E24"/>
        </w:rPr>
        <w:t xml:space="preserve">charges against </w:t>
      </w:r>
      <w:r w:rsidR="00D92084">
        <w:rPr>
          <w:b/>
          <w:color w:val="171E24"/>
        </w:rPr>
        <w:t>nine</w:t>
      </w:r>
      <w:r w:rsidRPr="00625060">
        <w:rPr>
          <w:b/>
          <w:color w:val="171E24"/>
        </w:rPr>
        <w:t xml:space="preserve"> companies and </w:t>
      </w:r>
      <w:r w:rsidR="00D92084">
        <w:rPr>
          <w:b/>
          <w:color w:val="171E24"/>
        </w:rPr>
        <w:t>twelve</w:t>
      </w:r>
      <w:r w:rsidRPr="00625060">
        <w:rPr>
          <w:b/>
          <w:color w:val="171E24"/>
        </w:rPr>
        <w:t xml:space="preserve"> individuals</w:t>
      </w:r>
      <w:r w:rsidRPr="00625060">
        <w:rPr>
          <w:color w:val="171E24"/>
        </w:rPr>
        <w:t xml:space="preserve"> and </w:t>
      </w:r>
      <w:r w:rsidR="00D92084">
        <w:rPr>
          <w:b/>
          <w:color w:val="171E24"/>
        </w:rPr>
        <w:t>over</w:t>
      </w:r>
      <w:r w:rsidRPr="00625060">
        <w:rPr>
          <w:b/>
          <w:color w:val="171E24"/>
        </w:rPr>
        <w:t xml:space="preserve"> $800 million in criminal fines</w:t>
      </w:r>
      <w:r w:rsidRPr="00625060">
        <w:rPr>
          <w:color w:val="171E24"/>
        </w:rPr>
        <w:t xml:space="preserve"> in the investigation thus far. Two of the executives charged have agreed to serve two years in prison—the </w:t>
      </w:r>
      <w:r w:rsidRPr="00625060">
        <w:rPr>
          <w:b/>
          <w:color w:val="171E24"/>
        </w:rPr>
        <w:t>longest prison term</w:t>
      </w:r>
      <w:r w:rsidR="00C4113C">
        <w:rPr>
          <w:b/>
          <w:color w:val="171E24"/>
        </w:rPr>
        <w:t>s</w:t>
      </w:r>
      <w:r w:rsidR="00C4113C">
        <w:rPr>
          <w:color w:val="171E24"/>
        </w:rPr>
        <w:t xml:space="preserve"> imposed on </w:t>
      </w:r>
      <w:r w:rsidRPr="00625060">
        <w:rPr>
          <w:color w:val="171E24"/>
        </w:rPr>
        <w:t>foreign national</w:t>
      </w:r>
      <w:r w:rsidR="00C4113C">
        <w:rPr>
          <w:color w:val="171E24"/>
        </w:rPr>
        <w:t>s</w:t>
      </w:r>
      <w:r w:rsidRPr="00625060">
        <w:rPr>
          <w:color w:val="171E24"/>
        </w:rPr>
        <w:t xml:space="preserve"> voluntarily submitting to U.S. jurisdiction for an antitrust violation.</w:t>
      </w:r>
    </w:p>
    <w:p w:rsidR="007840AB" w:rsidRPr="00625060" w:rsidRDefault="007840AB" w:rsidP="007840AB">
      <w:pPr>
        <w:ind w:left="810"/>
      </w:pPr>
    </w:p>
    <w:p w:rsidR="007840AB" w:rsidRDefault="007840AB" w:rsidP="007840AB">
      <w:pPr>
        <w:ind w:left="810"/>
        <w:rPr>
          <w:b/>
        </w:rPr>
      </w:pPr>
      <w:r w:rsidRPr="00625060">
        <w:rPr>
          <w:b/>
        </w:rPr>
        <w:t>Background and Investigation</w:t>
      </w:r>
    </w:p>
    <w:p w:rsidR="007840AB" w:rsidRDefault="007840AB" w:rsidP="007840AB">
      <w:pPr>
        <w:ind w:left="810"/>
        <w:rPr>
          <w:b/>
        </w:rPr>
      </w:pPr>
    </w:p>
    <w:p w:rsidR="007840AB" w:rsidRDefault="007840AB" w:rsidP="007840AB">
      <w:pPr>
        <w:ind w:left="810"/>
      </w:pPr>
      <w:r w:rsidRPr="00006BB2">
        <w:t>Wire harnesses are the distribution system of cables and connectors that carry electronic information through the car.  The harnesses are generally considered to be the ‘central nervous system’ of a car, linking the car’s computers to the various relevant functions in the vehicle</w:t>
      </w:r>
      <w:r>
        <w:t>.  The list of products involved in the Division’s investigation has expanded from wire harnesses to include instrument panel clusters, fuel senders, electronic control units, heater control panels, speed sensor wire assemblies, seatbelts, airbags, and steering wheels.</w:t>
      </w:r>
    </w:p>
    <w:p w:rsidR="007840AB" w:rsidRPr="00557339" w:rsidRDefault="007840AB" w:rsidP="007840AB">
      <w:pPr>
        <w:ind w:left="810"/>
      </w:pPr>
    </w:p>
    <w:p w:rsidR="007840AB" w:rsidRDefault="007840AB" w:rsidP="007840AB">
      <w:pPr>
        <w:ind w:left="810"/>
      </w:pPr>
      <w:r>
        <w:t xml:space="preserve">The </w:t>
      </w:r>
      <w:r w:rsidRPr="00557339">
        <w:t xml:space="preserve">Antitrust Division is investigating whether the auto parts companies that provide component parts to vehicle manufacturers </w:t>
      </w:r>
      <w:r>
        <w:t xml:space="preserve">such as Honda and Toyota </w:t>
      </w:r>
      <w:r w:rsidRPr="00F47335">
        <w:t>participated in illegal anti-competitive cartel conduct, with some suspected activity d</w:t>
      </w:r>
      <w:r w:rsidRPr="00557339">
        <w:t>ating back to 200</w:t>
      </w:r>
      <w:r>
        <w:t>0</w:t>
      </w:r>
      <w:r w:rsidRPr="00557339">
        <w:t xml:space="preserve">.  </w:t>
      </w:r>
      <w:r>
        <w:t xml:space="preserve">  Specific charges to date include price-fixing and bid-rigging conspiracies.  </w:t>
      </w:r>
    </w:p>
    <w:p w:rsidR="007840AB" w:rsidRDefault="007840AB" w:rsidP="007840AB">
      <w:pPr>
        <w:ind w:left="810"/>
      </w:pPr>
    </w:p>
    <w:p w:rsidR="007840AB" w:rsidRDefault="007840AB" w:rsidP="007840AB">
      <w:pPr>
        <w:ind w:left="810"/>
      </w:pPr>
      <w:r>
        <w:t>In some cases</w:t>
      </w:r>
      <w:r w:rsidR="00C4113C">
        <w:t>,</w:t>
      </w:r>
      <w:r>
        <w:t xml:space="preserve"> conspir</w:t>
      </w:r>
      <w:r w:rsidR="00C4113C">
        <w:t>ators that have plead guilty to-</w:t>
      </w:r>
      <w:r>
        <w:t>date carried out the conspiracies by agreeing during meetings and conversations to allocate the supply of the automobile products on a model-by-model basis and to coordinate price adjustments requested by automobile manufacturers in the United States and elsewhere.  They sold the auto parts to manufacturers at non-competitive, rigged and fixed prices and monitored the prices to make sure those involved in the conspiracies adhered to the agreed upon bid-rigging and price-fixing schemes.</w:t>
      </w:r>
    </w:p>
    <w:p w:rsidR="008727EC" w:rsidRDefault="008727EC" w:rsidP="007840AB">
      <w:pPr>
        <w:ind w:left="810"/>
        <w:sectPr w:rsidR="008727EC" w:rsidSect="00E74D8B">
          <w:endnotePr>
            <w:numFmt w:val="decimal"/>
          </w:endnotePr>
          <w:pgSz w:w="12240" w:h="15840" w:code="1"/>
          <w:pgMar w:top="720" w:right="1440" w:bottom="432" w:left="1440" w:header="0" w:footer="288" w:gutter="0"/>
          <w:cols w:space="720"/>
          <w:noEndnote/>
        </w:sectPr>
      </w:pPr>
    </w:p>
    <w:p w:rsidR="007840AB" w:rsidRPr="00625060" w:rsidRDefault="007840AB" w:rsidP="007840AB">
      <w:pPr>
        <w:ind w:left="810"/>
        <w:rPr>
          <w:b/>
        </w:rPr>
      </w:pPr>
      <w:r w:rsidRPr="00625060">
        <w:rPr>
          <w:b/>
        </w:rPr>
        <w:t>Results</w:t>
      </w:r>
    </w:p>
    <w:p w:rsidR="007840AB" w:rsidRDefault="007840AB" w:rsidP="007840AB">
      <w:pPr>
        <w:ind w:left="810"/>
        <w:rPr>
          <w:color w:val="171E24"/>
        </w:rPr>
      </w:pPr>
    </w:p>
    <w:p w:rsidR="007840AB" w:rsidRDefault="007840AB" w:rsidP="007840AB">
      <w:pPr>
        <w:ind w:left="810"/>
        <w:rPr>
          <w:color w:val="171E24"/>
        </w:rPr>
      </w:pPr>
      <w:r w:rsidRPr="00625060">
        <w:rPr>
          <w:color w:val="171E24"/>
        </w:rPr>
        <w:t>The following corporate fines</w:t>
      </w:r>
      <w:r>
        <w:rPr>
          <w:color w:val="171E24"/>
        </w:rPr>
        <w:t xml:space="preserve"> and jail sentences </w:t>
      </w:r>
      <w:r w:rsidRPr="00625060">
        <w:rPr>
          <w:color w:val="171E24"/>
        </w:rPr>
        <w:t xml:space="preserve">have been </w:t>
      </w:r>
      <w:r>
        <w:rPr>
          <w:color w:val="171E24"/>
        </w:rPr>
        <w:t>agreed to by the defendants</w:t>
      </w:r>
      <w:r w:rsidRPr="00625060">
        <w:rPr>
          <w:color w:val="171E24"/>
        </w:rPr>
        <w:t xml:space="preserve"> in the auto parts investigation since the beginning of </w:t>
      </w:r>
      <w:r w:rsidR="000705D5">
        <w:rPr>
          <w:color w:val="171E24"/>
        </w:rPr>
        <w:t>FY</w:t>
      </w:r>
      <w:r w:rsidRPr="00625060">
        <w:rPr>
          <w:color w:val="171E24"/>
        </w:rPr>
        <w:t xml:space="preserve"> 2011:</w:t>
      </w:r>
    </w:p>
    <w:p w:rsidR="001B13ED" w:rsidRDefault="001B13ED" w:rsidP="007840AB">
      <w:pPr>
        <w:ind w:left="810"/>
        <w:rPr>
          <w:color w:val="171E24"/>
        </w:rPr>
      </w:pPr>
    </w:p>
    <w:tbl>
      <w:tblPr>
        <w:tblStyle w:val="MediumList11"/>
        <w:tblW w:w="8550" w:type="dxa"/>
        <w:tblInd w:w="918" w:type="dxa"/>
        <w:tblBorders>
          <w:top w:val="none" w:sz="0" w:space="0" w:color="auto"/>
          <w:bottom w:val="none" w:sz="0" w:space="0" w:color="auto"/>
        </w:tblBorders>
        <w:tblLook w:val="04A0"/>
      </w:tblPr>
      <w:tblGrid>
        <w:gridCol w:w="3600"/>
        <w:gridCol w:w="4950"/>
      </w:tblGrid>
      <w:tr w:rsidR="001B13ED" w:rsidTr="0063193C">
        <w:trPr>
          <w:cnfStyle w:val="100000000000"/>
        </w:trPr>
        <w:tc>
          <w:tcPr>
            <w:cnfStyle w:val="001000000000"/>
            <w:tcW w:w="3600" w:type="dxa"/>
            <w:tcBorders>
              <w:top w:val="none" w:sz="0" w:space="0" w:color="auto"/>
              <w:bottom w:val="none" w:sz="0" w:space="0" w:color="auto"/>
            </w:tcBorders>
          </w:tcPr>
          <w:p w:rsidR="001B13ED" w:rsidRPr="00537595" w:rsidRDefault="00DD5825" w:rsidP="0063193C">
            <w:pPr>
              <w:rPr>
                <w:rFonts w:ascii="Times New Roman" w:hAnsi="Times New Roman"/>
                <w:b w:val="0"/>
                <w:color w:val="171E24"/>
              </w:rPr>
            </w:pPr>
            <w:hyperlink r:id="rId55" w:history="1">
              <w:r w:rsidR="001B13ED" w:rsidRPr="00537595">
                <w:rPr>
                  <w:rFonts w:ascii="Times New Roman" w:hAnsi="Times New Roman"/>
                  <w:b w:val="0"/>
                </w:rPr>
                <w:t>Yazaki Corporation</w:t>
              </w:r>
            </w:hyperlink>
          </w:p>
        </w:tc>
        <w:tc>
          <w:tcPr>
            <w:tcW w:w="4950" w:type="dxa"/>
            <w:tcBorders>
              <w:top w:val="none" w:sz="0" w:space="0" w:color="auto"/>
              <w:bottom w:val="none" w:sz="0" w:space="0" w:color="auto"/>
            </w:tcBorders>
          </w:tcPr>
          <w:p w:rsidR="001B13ED" w:rsidRPr="00915233" w:rsidRDefault="001B13ED" w:rsidP="0063193C">
            <w:pPr>
              <w:widowControl/>
              <w:numPr>
                <w:ilvl w:val="0"/>
                <w:numId w:val="66"/>
              </w:numPr>
              <w:autoSpaceDE/>
              <w:autoSpaceDN/>
              <w:adjustRightInd/>
              <w:cnfStyle w:val="100000000000"/>
              <w:rPr>
                <w:rFonts w:ascii="Times New Roman" w:hAnsi="Times New Roman"/>
                <w:b/>
              </w:rPr>
            </w:pPr>
            <w:r w:rsidRPr="00915233">
              <w:rPr>
                <w:rFonts w:ascii="Times New Roman" w:hAnsi="Times New Roman"/>
                <w:b/>
              </w:rPr>
              <w:t>$470 million—the second largest criminal fine ever for an antitrust violation</w:t>
            </w:r>
          </w:p>
          <w:p w:rsidR="001B13ED" w:rsidRDefault="001B13ED" w:rsidP="0063193C">
            <w:pPr>
              <w:widowControl/>
              <w:numPr>
                <w:ilvl w:val="0"/>
                <w:numId w:val="66"/>
              </w:numPr>
              <w:autoSpaceDE/>
              <w:autoSpaceDN/>
              <w:adjustRightInd/>
              <w:cnfStyle w:val="100000000000"/>
              <w:rPr>
                <w:rFonts w:ascii="Times New Roman" w:hAnsi="Times New Roman"/>
              </w:rPr>
            </w:pPr>
            <w:r>
              <w:rPr>
                <w:rFonts w:ascii="Times New Roman" w:hAnsi="Times New Roman"/>
              </w:rPr>
              <w:t>wire harnesses and related products, instrument panel clusters, fuel senders</w:t>
            </w:r>
          </w:p>
          <w:p w:rsidR="001B13ED" w:rsidRDefault="001B13ED" w:rsidP="0063193C">
            <w:pPr>
              <w:widowControl/>
              <w:numPr>
                <w:ilvl w:val="0"/>
                <w:numId w:val="66"/>
              </w:numPr>
              <w:autoSpaceDE/>
              <w:autoSpaceDN/>
              <w:adjustRightInd/>
              <w:cnfStyle w:val="100000000000"/>
              <w:rPr>
                <w:rFonts w:ascii="Times New Roman" w:hAnsi="Times New Roman"/>
                <w:color w:val="171E24"/>
              </w:rPr>
            </w:pPr>
            <w:r>
              <w:rPr>
                <w:rFonts w:ascii="Times New Roman" w:hAnsi="Times New Roman"/>
              </w:rPr>
              <w:t>6 executives ranging from 14 months to 2 years</w:t>
            </w:r>
          </w:p>
        </w:tc>
      </w:tr>
      <w:tr w:rsidR="001B13ED" w:rsidTr="0063193C">
        <w:trPr>
          <w:cnfStyle w:val="000000100000"/>
        </w:trPr>
        <w:tc>
          <w:tcPr>
            <w:cnfStyle w:val="001000000000"/>
            <w:tcW w:w="3600" w:type="dxa"/>
          </w:tcPr>
          <w:p w:rsidR="001B13ED" w:rsidRPr="00537595" w:rsidRDefault="00DD5825" w:rsidP="0063193C">
            <w:pPr>
              <w:rPr>
                <w:rFonts w:ascii="Times New Roman" w:hAnsi="Times New Roman"/>
                <w:b w:val="0"/>
                <w:color w:val="171E24"/>
              </w:rPr>
            </w:pPr>
            <w:hyperlink r:id="rId56" w:history="1">
              <w:r w:rsidR="001B13ED" w:rsidRPr="00537595">
                <w:rPr>
                  <w:rFonts w:ascii="Times New Roman" w:hAnsi="Times New Roman"/>
                  <w:b w:val="0"/>
                </w:rPr>
                <w:t>Furukawa Electric Company Ltd.</w:t>
              </w:r>
            </w:hyperlink>
          </w:p>
        </w:tc>
        <w:tc>
          <w:tcPr>
            <w:tcW w:w="4950" w:type="dxa"/>
          </w:tcPr>
          <w:p w:rsidR="001B13ED" w:rsidRDefault="001B13ED" w:rsidP="0063193C">
            <w:pPr>
              <w:widowControl/>
              <w:numPr>
                <w:ilvl w:val="0"/>
                <w:numId w:val="65"/>
              </w:numPr>
              <w:autoSpaceDE/>
              <w:autoSpaceDN/>
              <w:adjustRightInd/>
              <w:cnfStyle w:val="000000100000"/>
              <w:rPr>
                <w:rFonts w:ascii="Times New Roman" w:hAnsi="Times New Roman"/>
                <w:color w:val="171E24"/>
              </w:rPr>
            </w:pPr>
            <w:r w:rsidRPr="00625060">
              <w:rPr>
                <w:rFonts w:ascii="Times New Roman" w:hAnsi="Times New Roman"/>
                <w:color w:val="171E24"/>
              </w:rPr>
              <w:t>$200 million</w:t>
            </w:r>
          </w:p>
          <w:p w:rsidR="001B13ED" w:rsidRDefault="001B13ED" w:rsidP="0063193C">
            <w:pPr>
              <w:widowControl/>
              <w:numPr>
                <w:ilvl w:val="0"/>
                <w:numId w:val="65"/>
              </w:numPr>
              <w:autoSpaceDE/>
              <w:autoSpaceDN/>
              <w:adjustRightInd/>
              <w:cnfStyle w:val="000000100000"/>
              <w:rPr>
                <w:rFonts w:ascii="Times New Roman" w:hAnsi="Times New Roman"/>
                <w:color w:val="171E24"/>
              </w:rPr>
            </w:pPr>
            <w:r>
              <w:rPr>
                <w:rFonts w:ascii="Times New Roman" w:hAnsi="Times New Roman"/>
                <w:color w:val="171E24"/>
              </w:rPr>
              <w:t>wire harnesses and related products</w:t>
            </w:r>
          </w:p>
          <w:p w:rsidR="001B13ED" w:rsidRDefault="001B13ED" w:rsidP="0063193C">
            <w:pPr>
              <w:widowControl/>
              <w:numPr>
                <w:ilvl w:val="0"/>
                <w:numId w:val="65"/>
              </w:numPr>
              <w:autoSpaceDE/>
              <w:autoSpaceDN/>
              <w:adjustRightInd/>
              <w:cnfStyle w:val="000000100000"/>
              <w:rPr>
                <w:rFonts w:ascii="Times New Roman" w:hAnsi="Times New Roman"/>
                <w:color w:val="171E24"/>
              </w:rPr>
            </w:pPr>
            <w:r>
              <w:rPr>
                <w:rFonts w:ascii="Times New Roman" w:hAnsi="Times New Roman"/>
                <w:color w:val="171E24"/>
              </w:rPr>
              <w:t>3 executives ranging from one year and one day to 18 months</w:t>
            </w:r>
          </w:p>
        </w:tc>
      </w:tr>
      <w:tr w:rsidR="001B13ED" w:rsidTr="0063193C">
        <w:tc>
          <w:tcPr>
            <w:cnfStyle w:val="001000000000"/>
            <w:tcW w:w="3600" w:type="dxa"/>
          </w:tcPr>
          <w:p w:rsidR="001B13ED" w:rsidRPr="00537595" w:rsidRDefault="001B13ED" w:rsidP="0063193C">
            <w:pPr>
              <w:rPr>
                <w:rFonts w:ascii="Times New Roman" w:hAnsi="Times New Roman"/>
                <w:b w:val="0"/>
                <w:color w:val="171E24"/>
              </w:rPr>
            </w:pPr>
            <w:r w:rsidRPr="00537595">
              <w:rPr>
                <w:rFonts w:ascii="Times New Roman" w:hAnsi="Times New Roman"/>
                <w:b w:val="0"/>
                <w:color w:val="171E24"/>
              </w:rPr>
              <w:t>DENSO Corporation</w:t>
            </w:r>
          </w:p>
        </w:tc>
        <w:tc>
          <w:tcPr>
            <w:tcW w:w="4950" w:type="dxa"/>
          </w:tcPr>
          <w:p w:rsidR="001B13ED" w:rsidRPr="00073C8A" w:rsidRDefault="001B13ED" w:rsidP="0063193C">
            <w:pPr>
              <w:widowControl/>
              <w:numPr>
                <w:ilvl w:val="0"/>
                <w:numId w:val="67"/>
              </w:numPr>
              <w:autoSpaceDE/>
              <w:autoSpaceDN/>
              <w:adjustRightInd/>
              <w:cnfStyle w:val="000000000000"/>
              <w:rPr>
                <w:rFonts w:ascii="Times New Roman" w:hAnsi="Times New Roman"/>
                <w:color w:val="171E24"/>
              </w:rPr>
            </w:pPr>
            <w:r w:rsidRPr="00EB05F1">
              <w:rPr>
                <w:rFonts w:ascii="Times New Roman" w:hAnsi="Times New Roman"/>
              </w:rPr>
              <w:t>$78 million</w:t>
            </w:r>
          </w:p>
          <w:p w:rsidR="001B13ED" w:rsidRPr="00073C8A" w:rsidRDefault="001B13ED" w:rsidP="0063193C">
            <w:pPr>
              <w:widowControl/>
              <w:numPr>
                <w:ilvl w:val="0"/>
                <w:numId w:val="67"/>
              </w:numPr>
              <w:autoSpaceDE/>
              <w:autoSpaceDN/>
              <w:adjustRightInd/>
              <w:cnfStyle w:val="000000000000"/>
              <w:rPr>
                <w:rFonts w:ascii="Times New Roman" w:hAnsi="Times New Roman"/>
                <w:color w:val="171E24"/>
              </w:rPr>
            </w:pPr>
            <w:r>
              <w:rPr>
                <w:rFonts w:ascii="Times New Roman" w:hAnsi="Times New Roman"/>
              </w:rPr>
              <w:t>electronic control units and heater control panels</w:t>
            </w:r>
          </w:p>
          <w:p w:rsidR="001B13ED" w:rsidRDefault="001B13ED" w:rsidP="0063193C">
            <w:pPr>
              <w:widowControl/>
              <w:numPr>
                <w:ilvl w:val="0"/>
                <w:numId w:val="67"/>
              </w:numPr>
              <w:autoSpaceDE/>
              <w:autoSpaceDN/>
              <w:adjustRightInd/>
              <w:cnfStyle w:val="000000000000"/>
              <w:rPr>
                <w:rFonts w:ascii="Times New Roman" w:hAnsi="Times New Roman"/>
                <w:color w:val="171E24"/>
              </w:rPr>
            </w:pPr>
            <w:r>
              <w:rPr>
                <w:rFonts w:ascii="Times New Roman" w:hAnsi="Times New Roman"/>
              </w:rPr>
              <w:t>2 executives ranging from one year and one day to 14 months</w:t>
            </w:r>
          </w:p>
        </w:tc>
      </w:tr>
      <w:tr w:rsidR="001B13ED" w:rsidTr="0063193C">
        <w:trPr>
          <w:cnfStyle w:val="000000100000"/>
        </w:trPr>
        <w:tc>
          <w:tcPr>
            <w:cnfStyle w:val="001000000000"/>
            <w:tcW w:w="3600" w:type="dxa"/>
          </w:tcPr>
          <w:p w:rsidR="001B13ED" w:rsidRPr="00537595" w:rsidRDefault="001B13ED" w:rsidP="0063193C">
            <w:pPr>
              <w:rPr>
                <w:rFonts w:ascii="Times New Roman" w:hAnsi="Times New Roman"/>
                <w:b w:val="0"/>
                <w:color w:val="171E24"/>
              </w:rPr>
            </w:pPr>
            <w:r w:rsidRPr="00537595">
              <w:rPr>
                <w:rFonts w:ascii="Times New Roman" w:hAnsi="Times New Roman"/>
                <w:b w:val="0"/>
              </w:rPr>
              <w:t>Fujikura Ltd</w:t>
            </w:r>
          </w:p>
        </w:tc>
        <w:tc>
          <w:tcPr>
            <w:tcW w:w="4950" w:type="dxa"/>
          </w:tcPr>
          <w:p w:rsidR="001B13ED" w:rsidRPr="00073C8A" w:rsidRDefault="001B13ED" w:rsidP="0063193C">
            <w:pPr>
              <w:widowControl/>
              <w:numPr>
                <w:ilvl w:val="0"/>
                <w:numId w:val="69"/>
              </w:numPr>
              <w:autoSpaceDE/>
              <w:autoSpaceDN/>
              <w:adjustRightInd/>
              <w:cnfStyle w:val="000000100000"/>
              <w:rPr>
                <w:rFonts w:ascii="Times New Roman" w:hAnsi="Times New Roman"/>
                <w:color w:val="171E24"/>
              </w:rPr>
            </w:pPr>
            <w:r>
              <w:rPr>
                <w:rFonts w:ascii="Times New Roman" w:hAnsi="Times New Roman"/>
              </w:rPr>
              <w:t>$20 million</w:t>
            </w:r>
          </w:p>
          <w:p w:rsidR="001B13ED" w:rsidRDefault="001B13ED" w:rsidP="0063193C">
            <w:pPr>
              <w:widowControl/>
              <w:numPr>
                <w:ilvl w:val="0"/>
                <w:numId w:val="69"/>
              </w:numPr>
              <w:autoSpaceDE/>
              <w:autoSpaceDN/>
              <w:adjustRightInd/>
              <w:cnfStyle w:val="000000100000"/>
              <w:rPr>
                <w:rFonts w:ascii="Times New Roman" w:hAnsi="Times New Roman"/>
                <w:color w:val="171E24"/>
              </w:rPr>
            </w:pPr>
            <w:r>
              <w:rPr>
                <w:rFonts w:ascii="Times New Roman" w:hAnsi="Times New Roman"/>
              </w:rPr>
              <w:t>wire harnesses and related products</w:t>
            </w:r>
          </w:p>
        </w:tc>
      </w:tr>
      <w:tr w:rsidR="001B13ED" w:rsidTr="0063193C">
        <w:tc>
          <w:tcPr>
            <w:cnfStyle w:val="001000000000"/>
            <w:tcW w:w="3600" w:type="dxa"/>
          </w:tcPr>
          <w:p w:rsidR="001B13ED" w:rsidRPr="007C217E" w:rsidRDefault="001B13ED" w:rsidP="0063193C">
            <w:pPr>
              <w:rPr>
                <w:rFonts w:ascii="Times New Roman" w:hAnsi="Times New Roman"/>
                <w:b w:val="0"/>
              </w:rPr>
            </w:pPr>
            <w:r>
              <w:rPr>
                <w:rFonts w:ascii="Times New Roman" w:hAnsi="Times New Roman"/>
                <w:b w:val="0"/>
              </w:rPr>
              <w:t>Tokai Rika Co. Ltd.</w:t>
            </w:r>
          </w:p>
        </w:tc>
        <w:tc>
          <w:tcPr>
            <w:tcW w:w="4950" w:type="dxa"/>
          </w:tcPr>
          <w:p w:rsidR="001B13ED" w:rsidRPr="007C217E" w:rsidRDefault="001B13ED" w:rsidP="0063193C">
            <w:pPr>
              <w:widowControl/>
              <w:numPr>
                <w:ilvl w:val="0"/>
                <w:numId w:val="69"/>
              </w:numPr>
              <w:autoSpaceDE/>
              <w:autoSpaceDN/>
              <w:adjustRightInd/>
              <w:cnfStyle w:val="000000000000"/>
            </w:pPr>
            <w:r>
              <w:rPr>
                <w:rFonts w:ascii="Times New Roman" w:hAnsi="Times New Roman"/>
              </w:rPr>
              <w:t>$17.7 million</w:t>
            </w:r>
          </w:p>
          <w:p w:rsidR="001B13ED" w:rsidRDefault="001B13ED" w:rsidP="0063193C">
            <w:pPr>
              <w:widowControl/>
              <w:numPr>
                <w:ilvl w:val="0"/>
                <w:numId w:val="69"/>
              </w:numPr>
              <w:autoSpaceDE/>
              <w:autoSpaceDN/>
              <w:adjustRightInd/>
              <w:cnfStyle w:val="000000000000"/>
            </w:pPr>
            <w:r>
              <w:rPr>
                <w:rFonts w:ascii="Times New Roman" w:hAnsi="Times New Roman"/>
              </w:rPr>
              <w:t>interior temperature controls</w:t>
            </w:r>
          </w:p>
        </w:tc>
      </w:tr>
      <w:tr w:rsidR="001B13ED" w:rsidTr="0063193C">
        <w:trPr>
          <w:cnfStyle w:val="000000100000"/>
        </w:trPr>
        <w:tc>
          <w:tcPr>
            <w:cnfStyle w:val="001000000000"/>
            <w:tcW w:w="3600" w:type="dxa"/>
          </w:tcPr>
          <w:p w:rsidR="001B13ED" w:rsidRPr="00537595" w:rsidRDefault="001B13ED" w:rsidP="0063193C">
            <w:pPr>
              <w:rPr>
                <w:rFonts w:ascii="Times New Roman" w:hAnsi="Times New Roman"/>
                <w:b w:val="0"/>
                <w:color w:val="171E24"/>
              </w:rPr>
            </w:pPr>
            <w:proofErr w:type="spellStart"/>
            <w:r w:rsidRPr="00537595">
              <w:rPr>
                <w:rFonts w:ascii="Times New Roman" w:hAnsi="Times New Roman"/>
                <w:b w:val="0"/>
                <w:color w:val="171E24"/>
              </w:rPr>
              <w:t>Autoliv</w:t>
            </w:r>
            <w:proofErr w:type="spellEnd"/>
            <w:r w:rsidRPr="00537595">
              <w:rPr>
                <w:rFonts w:ascii="Times New Roman" w:hAnsi="Times New Roman"/>
                <w:b w:val="0"/>
                <w:color w:val="171E24"/>
              </w:rPr>
              <w:t>, Inc.</w:t>
            </w:r>
          </w:p>
        </w:tc>
        <w:tc>
          <w:tcPr>
            <w:tcW w:w="4950" w:type="dxa"/>
          </w:tcPr>
          <w:p w:rsidR="001B13ED" w:rsidRPr="00073C8A" w:rsidRDefault="001B13ED" w:rsidP="0063193C">
            <w:pPr>
              <w:widowControl/>
              <w:numPr>
                <w:ilvl w:val="0"/>
                <w:numId w:val="70"/>
              </w:numPr>
              <w:autoSpaceDE/>
              <w:autoSpaceDN/>
              <w:adjustRightInd/>
              <w:cnfStyle w:val="000000100000"/>
              <w:rPr>
                <w:rFonts w:ascii="Times New Roman" w:hAnsi="Times New Roman"/>
                <w:color w:val="171E24"/>
              </w:rPr>
            </w:pPr>
            <w:r>
              <w:rPr>
                <w:rFonts w:ascii="Times New Roman" w:hAnsi="Times New Roman"/>
              </w:rPr>
              <w:t>$14.5 million</w:t>
            </w:r>
          </w:p>
          <w:p w:rsidR="001B13ED" w:rsidRDefault="001B13ED" w:rsidP="0063193C">
            <w:pPr>
              <w:widowControl/>
              <w:numPr>
                <w:ilvl w:val="0"/>
                <w:numId w:val="70"/>
              </w:numPr>
              <w:autoSpaceDE/>
              <w:autoSpaceDN/>
              <w:adjustRightInd/>
              <w:cnfStyle w:val="000000100000"/>
              <w:rPr>
                <w:rFonts w:ascii="Times New Roman" w:hAnsi="Times New Roman"/>
                <w:color w:val="171E24"/>
              </w:rPr>
            </w:pPr>
            <w:r>
              <w:rPr>
                <w:rFonts w:ascii="Times New Roman" w:hAnsi="Times New Roman"/>
              </w:rPr>
              <w:t>seatbelts, airbags, steering wheels</w:t>
            </w:r>
          </w:p>
        </w:tc>
      </w:tr>
      <w:tr w:rsidR="001B13ED" w:rsidTr="0063193C">
        <w:tc>
          <w:tcPr>
            <w:cnfStyle w:val="001000000000"/>
            <w:tcW w:w="3600" w:type="dxa"/>
          </w:tcPr>
          <w:p w:rsidR="001B13ED" w:rsidRPr="00537595" w:rsidRDefault="001B13ED" w:rsidP="0063193C">
            <w:pPr>
              <w:rPr>
                <w:rFonts w:ascii="Times New Roman" w:hAnsi="Times New Roman"/>
                <w:b w:val="0"/>
                <w:color w:val="171E24"/>
              </w:rPr>
            </w:pPr>
            <w:r w:rsidRPr="00537595">
              <w:rPr>
                <w:rFonts w:ascii="Times New Roman" w:hAnsi="Times New Roman"/>
                <w:b w:val="0"/>
              </w:rPr>
              <w:t>TRW Deutschland Holding GmbH</w:t>
            </w:r>
          </w:p>
        </w:tc>
        <w:tc>
          <w:tcPr>
            <w:tcW w:w="4950" w:type="dxa"/>
          </w:tcPr>
          <w:p w:rsidR="001B13ED" w:rsidRDefault="001B13ED" w:rsidP="0063193C">
            <w:pPr>
              <w:widowControl/>
              <w:numPr>
                <w:ilvl w:val="0"/>
                <w:numId w:val="71"/>
              </w:numPr>
              <w:autoSpaceDE/>
              <w:autoSpaceDN/>
              <w:adjustRightInd/>
              <w:cnfStyle w:val="000000000000"/>
              <w:rPr>
                <w:rFonts w:ascii="Times New Roman" w:hAnsi="Times New Roman"/>
              </w:rPr>
            </w:pPr>
            <w:r>
              <w:rPr>
                <w:rFonts w:ascii="Times New Roman" w:hAnsi="Times New Roman"/>
              </w:rPr>
              <w:t>$5.1 million</w:t>
            </w:r>
          </w:p>
          <w:p w:rsidR="001B13ED" w:rsidRDefault="001B13ED" w:rsidP="0063193C">
            <w:pPr>
              <w:widowControl/>
              <w:numPr>
                <w:ilvl w:val="0"/>
                <w:numId w:val="71"/>
              </w:numPr>
              <w:autoSpaceDE/>
              <w:autoSpaceDN/>
              <w:adjustRightInd/>
              <w:cnfStyle w:val="000000000000"/>
              <w:rPr>
                <w:rFonts w:ascii="Times New Roman" w:hAnsi="Times New Roman"/>
                <w:color w:val="171E24"/>
              </w:rPr>
            </w:pPr>
            <w:r>
              <w:rPr>
                <w:rFonts w:ascii="Times New Roman" w:hAnsi="Times New Roman"/>
              </w:rPr>
              <w:t>seatbelts, airbags, steering wheels</w:t>
            </w:r>
          </w:p>
        </w:tc>
      </w:tr>
      <w:tr w:rsidR="001B13ED" w:rsidTr="0063193C">
        <w:trPr>
          <w:cnfStyle w:val="000000100000"/>
        </w:trPr>
        <w:tc>
          <w:tcPr>
            <w:cnfStyle w:val="001000000000"/>
            <w:tcW w:w="3600" w:type="dxa"/>
          </w:tcPr>
          <w:p w:rsidR="001B13ED" w:rsidRPr="00537595" w:rsidRDefault="001B13ED" w:rsidP="0063193C">
            <w:pPr>
              <w:rPr>
                <w:rFonts w:ascii="Times New Roman" w:hAnsi="Times New Roman"/>
                <w:b w:val="0"/>
                <w:color w:val="171E24"/>
              </w:rPr>
            </w:pPr>
            <w:r w:rsidRPr="00537595">
              <w:rPr>
                <w:rFonts w:ascii="Times New Roman" w:hAnsi="Times New Roman"/>
                <w:b w:val="0"/>
              </w:rPr>
              <w:t xml:space="preserve">G.S. </w:t>
            </w:r>
            <w:proofErr w:type="spellStart"/>
            <w:r w:rsidRPr="00537595">
              <w:rPr>
                <w:rFonts w:ascii="Times New Roman" w:hAnsi="Times New Roman"/>
                <w:b w:val="0"/>
              </w:rPr>
              <w:t>Electech</w:t>
            </w:r>
            <w:proofErr w:type="spellEnd"/>
            <w:r w:rsidRPr="00537595">
              <w:rPr>
                <w:rFonts w:ascii="Times New Roman" w:hAnsi="Times New Roman"/>
                <w:b w:val="0"/>
              </w:rPr>
              <w:t xml:space="preserve"> Inc.</w:t>
            </w:r>
          </w:p>
        </w:tc>
        <w:tc>
          <w:tcPr>
            <w:tcW w:w="4950" w:type="dxa"/>
          </w:tcPr>
          <w:p w:rsidR="001B13ED" w:rsidRDefault="001B13ED" w:rsidP="0063193C">
            <w:pPr>
              <w:widowControl/>
              <w:numPr>
                <w:ilvl w:val="0"/>
                <w:numId w:val="68"/>
              </w:numPr>
              <w:autoSpaceDE/>
              <w:autoSpaceDN/>
              <w:adjustRightInd/>
              <w:cnfStyle w:val="000000100000"/>
              <w:rPr>
                <w:rFonts w:ascii="Times New Roman" w:hAnsi="Times New Roman"/>
              </w:rPr>
            </w:pPr>
            <w:r>
              <w:rPr>
                <w:rFonts w:ascii="Times New Roman" w:hAnsi="Times New Roman"/>
              </w:rPr>
              <w:t>$2.75 million</w:t>
            </w:r>
          </w:p>
          <w:p w:rsidR="001B13ED" w:rsidRDefault="001B13ED" w:rsidP="0063193C">
            <w:pPr>
              <w:widowControl/>
              <w:numPr>
                <w:ilvl w:val="0"/>
                <w:numId w:val="68"/>
              </w:numPr>
              <w:autoSpaceDE/>
              <w:autoSpaceDN/>
              <w:adjustRightInd/>
              <w:cnfStyle w:val="000000100000"/>
              <w:rPr>
                <w:rFonts w:ascii="Times New Roman" w:hAnsi="Times New Roman"/>
                <w:color w:val="171E24"/>
              </w:rPr>
            </w:pPr>
            <w:r>
              <w:rPr>
                <w:rFonts w:ascii="Times New Roman" w:hAnsi="Times New Roman"/>
              </w:rPr>
              <w:t>speed sensor wire assemblies</w:t>
            </w:r>
          </w:p>
        </w:tc>
      </w:tr>
      <w:tr w:rsidR="001B13ED" w:rsidTr="0063193C">
        <w:tc>
          <w:tcPr>
            <w:cnfStyle w:val="001000000000"/>
            <w:tcW w:w="3600" w:type="dxa"/>
          </w:tcPr>
          <w:p w:rsidR="001B13ED" w:rsidRPr="00537595" w:rsidRDefault="001B13ED" w:rsidP="0063193C">
            <w:pPr>
              <w:rPr>
                <w:rFonts w:ascii="Times New Roman" w:hAnsi="Times New Roman"/>
                <w:b w:val="0"/>
              </w:rPr>
            </w:pPr>
            <w:r w:rsidRPr="00537595">
              <w:rPr>
                <w:rFonts w:ascii="Times New Roman" w:hAnsi="Times New Roman"/>
                <w:b w:val="0"/>
              </w:rPr>
              <w:t>Nippon Seiki Co. Ltd.</w:t>
            </w:r>
          </w:p>
        </w:tc>
        <w:tc>
          <w:tcPr>
            <w:tcW w:w="4950" w:type="dxa"/>
          </w:tcPr>
          <w:p w:rsidR="001B13ED" w:rsidRDefault="001B13ED" w:rsidP="0063193C">
            <w:pPr>
              <w:widowControl/>
              <w:numPr>
                <w:ilvl w:val="0"/>
                <w:numId w:val="72"/>
              </w:numPr>
              <w:autoSpaceDE/>
              <w:autoSpaceDN/>
              <w:adjustRightInd/>
              <w:cnfStyle w:val="000000000000"/>
              <w:rPr>
                <w:rFonts w:ascii="Times New Roman" w:hAnsi="Times New Roman"/>
              </w:rPr>
            </w:pPr>
            <w:r>
              <w:rPr>
                <w:rFonts w:ascii="Times New Roman" w:hAnsi="Times New Roman"/>
              </w:rPr>
              <w:t>$1 million – instrument panel clusters</w:t>
            </w:r>
          </w:p>
        </w:tc>
      </w:tr>
      <w:tr w:rsidR="001B13ED" w:rsidTr="0063193C">
        <w:trPr>
          <w:cnfStyle w:val="000000100000"/>
        </w:trPr>
        <w:tc>
          <w:tcPr>
            <w:cnfStyle w:val="001000000000"/>
            <w:tcW w:w="3600" w:type="dxa"/>
          </w:tcPr>
          <w:p w:rsidR="001B13ED" w:rsidRPr="007C217E" w:rsidRDefault="001B13ED" w:rsidP="0063193C">
            <w:pPr>
              <w:rPr>
                <w:rFonts w:ascii="Times New Roman" w:hAnsi="Times New Roman"/>
                <w:b w:val="0"/>
              </w:rPr>
            </w:pPr>
            <w:r>
              <w:rPr>
                <w:rFonts w:ascii="Times New Roman" w:hAnsi="Times New Roman"/>
                <w:b w:val="0"/>
              </w:rPr>
              <w:t>Unnamed Company</w:t>
            </w:r>
            <w:r w:rsidRPr="007C217E">
              <w:rPr>
                <w:rFonts w:ascii="Times New Roman" w:hAnsi="Times New Roman"/>
                <w:b w:val="0"/>
                <w:sz w:val="22"/>
                <w:szCs w:val="22"/>
              </w:rPr>
              <w:t xml:space="preserve"> (Company ‘A’)</w:t>
            </w:r>
          </w:p>
        </w:tc>
        <w:tc>
          <w:tcPr>
            <w:tcW w:w="4950" w:type="dxa"/>
          </w:tcPr>
          <w:p w:rsidR="001B13ED" w:rsidRPr="007C217E" w:rsidRDefault="001B13ED" w:rsidP="0063193C">
            <w:pPr>
              <w:widowControl/>
              <w:numPr>
                <w:ilvl w:val="0"/>
                <w:numId w:val="72"/>
              </w:numPr>
              <w:autoSpaceDE/>
              <w:autoSpaceDN/>
              <w:adjustRightInd/>
              <w:cnfStyle w:val="000000100000"/>
            </w:pPr>
            <w:r>
              <w:rPr>
                <w:rFonts w:ascii="Times New Roman" w:hAnsi="Times New Roman"/>
              </w:rPr>
              <w:t>1 executive for one year</w:t>
            </w:r>
          </w:p>
          <w:p w:rsidR="001B13ED" w:rsidRDefault="001B13ED" w:rsidP="0063193C">
            <w:pPr>
              <w:widowControl/>
              <w:numPr>
                <w:ilvl w:val="0"/>
                <w:numId w:val="72"/>
              </w:numPr>
              <w:autoSpaceDE/>
              <w:autoSpaceDN/>
              <w:adjustRightInd/>
              <w:cnfStyle w:val="000000100000"/>
            </w:pPr>
            <w:r>
              <w:rPr>
                <w:rFonts w:ascii="Times New Roman" w:hAnsi="Times New Roman"/>
              </w:rPr>
              <w:t>anti-vibration rubber parts</w:t>
            </w:r>
          </w:p>
        </w:tc>
      </w:tr>
    </w:tbl>
    <w:p w:rsidR="001B13ED" w:rsidRDefault="001B13ED" w:rsidP="007840AB">
      <w:pPr>
        <w:ind w:left="810"/>
        <w:rPr>
          <w:color w:val="171E24"/>
        </w:rPr>
      </w:pPr>
    </w:p>
    <w:p w:rsidR="007840AB" w:rsidRPr="00625060" w:rsidRDefault="007840AB" w:rsidP="006C0022">
      <w:pPr>
        <w:ind w:left="810"/>
        <w:rPr>
          <w:b/>
        </w:rPr>
      </w:pPr>
      <w:r w:rsidRPr="00625060">
        <w:rPr>
          <w:b/>
        </w:rPr>
        <w:t>Conclusion</w:t>
      </w:r>
    </w:p>
    <w:p w:rsidR="007840AB" w:rsidRDefault="007840AB" w:rsidP="006C0022">
      <w:pPr>
        <w:ind w:left="810"/>
        <w:rPr>
          <w:u w:val="single"/>
        </w:rPr>
      </w:pPr>
    </w:p>
    <w:p w:rsidR="007840AB" w:rsidRDefault="007840AB" w:rsidP="006C0022">
      <w:pPr>
        <w:ind w:left="810"/>
      </w:pPr>
      <w:r>
        <w:t>The criminal activity associated with the automobile parts investigation had a significant impact on automotive manufacturers in the United States, some of which had been occurring for at least a decade.  The conduct also potentially affected commerce on a global scale in other markets where automobiles are manufactured and/or sold.</w:t>
      </w:r>
    </w:p>
    <w:p w:rsidR="007840AB" w:rsidRPr="00FD0282" w:rsidRDefault="007840AB" w:rsidP="006C0022">
      <w:pPr>
        <w:ind w:left="810"/>
      </w:pPr>
    </w:p>
    <w:p w:rsidR="007840AB" w:rsidRPr="00557339" w:rsidRDefault="007840AB" w:rsidP="007840AB">
      <w:pPr>
        <w:ind w:left="810"/>
        <w:rPr>
          <w:b/>
        </w:rPr>
      </w:pPr>
      <w:r w:rsidRPr="00A72115">
        <w:t>Criminal</w:t>
      </w:r>
      <w:r>
        <w:t xml:space="preserve"> antitrust enforcement remains a top priority of the Antitrust Division.  The automobile parts investigation continues and additional fines and jail sentences are expected to follow.  The importance of rooting out this type of illegal criminal conduct cannot be overstated as it negatively impacts the United States economy and results in higher prices for consumers and businesses.</w:t>
      </w:r>
    </w:p>
    <w:p w:rsidR="007840AB" w:rsidRDefault="007840AB" w:rsidP="00020D3D">
      <w:pPr>
        <w:pStyle w:val="BodyTextIndent2"/>
        <w:ind w:left="720" w:hanging="1"/>
        <w:sectPr w:rsidR="007840AB" w:rsidSect="001B13ED">
          <w:endnotePr>
            <w:numFmt w:val="decimal"/>
          </w:endnotePr>
          <w:pgSz w:w="12240" w:h="15840" w:code="1"/>
          <w:pgMar w:top="720" w:right="1440" w:bottom="720" w:left="1440" w:header="0" w:footer="288" w:gutter="0"/>
          <w:cols w:space="720"/>
          <w:noEndnote/>
        </w:sectPr>
      </w:pPr>
    </w:p>
    <w:p w:rsidR="003B05E5" w:rsidRDefault="003B05E5" w:rsidP="00506916">
      <w:pPr>
        <w:pStyle w:val="TOC4"/>
      </w:pPr>
      <w:bookmarkStart w:id="185" w:name="_Toc349640474"/>
      <w:r>
        <w:t>6.  Exemplars – C</w:t>
      </w:r>
      <w:r w:rsidR="003C632E">
        <w:t>ivil</w:t>
      </w:r>
      <w:bookmarkEnd w:id="185"/>
    </w:p>
    <w:p w:rsidR="003B05E5" w:rsidRDefault="003B05E5">
      <w:pPr>
        <w:ind w:left="450"/>
        <w:rPr>
          <w:b/>
          <w:bCs/>
          <w:szCs w:val="28"/>
        </w:rPr>
      </w:pPr>
    </w:p>
    <w:p w:rsidR="00444DFD" w:rsidRDefault="00444DFD">
      <w:pPr>
        <w:ind w:left="450"/>
        <w:rPr>
          <w:b/>
          <w:bCs/>
          <w:szCs w:val="28"/>
        </w:rPr>
      </w:pPr>
    </w:p>
    <w:p w:rsidR="00C67AA7" w:rsidRDefault="00C67AA7" w:rsidP="00C67AA7">
      <w:pPr>
        <w:tabs>
          <w:tab w:val="left" w:pos="450"/>
          <w:tab w:val="left" w:pos="540"/>
          <w:tab w:val="left" w:pos="720"/>
        </w:tabs>
        <w:ind w:left="360"/>
        <w:rPr>
          <w:b/>
          <w:u w:val="single"/>
        </w:rPr>
      </w:pPr>
      <w:r>
        <w:rPr>
          <w:b/>
          <w:bCs/>
          <w:szCs w:val="28"/>
        </w:rPr>
        <w:t xml:space="preserve">  </w:t>
      </w:r>
      <w:r w:rsidR="003B05E5">
        <w:rPr>
          <w:b/>
          <w:bCs/>
          <w:szCs w:val="28"/>
        </w:rPr>
        <w:t xml:space="preserve">A.  </w:t>
      </w:r>
      <w:r w:rsidRPr="00416CBC">
        <w:rPr>
          <w:b/>
          <w:u w:val="single"/>
        </w:rPr>
        <w:t>AT&amp;T,</w:t>
      </w:r>
      <w:r>
        <w:rPr>
          <w:b/>
          <w:u w:val="single"/>
        </w:rPr>
        <w:t xml:space="preserve"> Inc. / </w:t>
      </w:r>
      <w:r w:rsidRPr="00416CBC">
        <w:rPr>
          <w:b/>
          <w:u w:val="single"/>
        </w:rPr>
        <w:t xml:space="preserve">T-Mobile USA, </w:t>
      </w:r>
      <w:r>
        <w:rPr>
          <w:b/>
          <w:u w:val="single"/>
        </w:rPr>
        <w:t>Inc.</w:t>
      </w:r>
    </w:p>
    <w:p w:rsidR="00C67AA7" w:rsidRDefault="00C67AA7" w:rsidP="00C67AA7">
      <w:pPr>
        <w:ind w:right="24"/>
        <w:rPr>
          <w:b/>
          <w:bCs/>
        </w:rPr>
      </w:pPr>
    </w:p>
    <w:p w:rsidR="00C67AA7" w:rsidRDefault="00C67AA7" w:rsidP="00C67AA7">
      <w:pPr>
        <w:ind w:right="24"/>
        <w:rPr>
          <w:b/>
          <w:bCs/>
        </w:rPr>
      </w:pPr>
    </w:p>
    <w:p w:rsidR="00C67AA7" w:rsidRPr="00416CBC" w:rsidRDefault="00C67AA7" w:rsidP="00C67AA7">
      <w:pPr>
        <w:rPr>
          <w:b/>
        </w:rPr>
      </w:pPr>
      <w:r>
        <w:rPr>
          <w:b/>
          <w:bCs/>
        </w:rPr>
        <w:tab/>
      </w:r>
      <w:r>
        <w:rPr>
          <w:b/>
        </w:rPr>
        <w:t>Introduction</w:t>
      </w:r>
    </w:p>
    <w:p w:rsidR="00C67AA7" w:rsidRPr="00416CBC" w:rsidRDefault="00C67AA7" w:rsidP="00C67AA7"/>
    <w:p w:rsidR="00C67AA7" w:rsidRDefault="00C67AA7" w:rsidP="00C67AA7">
      <w:pPr>
        <w:ind w:left="720"/>
      </w:pPr>
      <w:r>
        <w:rPr>
          <w:noProof/>
        </w:rPr>
        <w:drawing>
          <wp:anchor distT="0" distB="0" distL="114300" distR="114300" simplePos="0" relativeHeight="251694592" behindDoc="1" locked="0" layoutInCell="1" allowOverlap="1">
            <wp:simplePos x="0" y="0"/>
            <wp:positionH relativeFrom="column">
              <wp:posOffset>4137660</wp:posOffset>
            </wp:positionH>
            <wp:positionV relativeFrom="page">
              <wp:posOffset>2491105</wp:posOffset>
            </wp:positionV>
            <wp:extent cx="1658620" cy="1769745"/>
            <wp:effectExtent l="19050" t="0" r="0" b="0"/>
            <wp:wrapTight wrapText="bothSides">
              <wp:wrapPolygon edited="0">
                <wp:start x="-248" y="0"/>
                <wp:lineTo x="-248" y="21391"/>
                <wp:lineTo x="21583" y="21391"/>
                <wp:lineTo x="21583" y="0"/>
                <wp:lineTo x="-248" y="0"/>
              </wp:wrapPolygon>
            </wp:wrapTight>
            <wp:docPr id="2" name="Picture 42" descr="Photo of business people using smart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Documents and Settings\vegada\Local Settings\Temporary Internet Files\Content.IE5\E0BQDL3R\MP900443361[1].JPG"/>
                    <pic:cNvPicPr>
                      <a:picLocks noChangeAspect="1" noChangeArrowheads="1"/>
                    </pic:cNvPicPr>
                  </pic:nvPicPr>
                  <pic:blipFill>
                    <a:blip r:embed="rId57" cstate="print"/>
                    <a:srcRect/>
                    <a:stretch>
                      <a:fillRect/>
                    </a:stretch>
                  </pic:blipFill>
                  <pic:spPr bwMode="auto">
                    <a:xfrm>
                      <a:off x="0" y="0"/>
                      <a:ext cx="1658620" cy="1769745"/>
                    </a:xfrm>
                    <a:prstGeom prst="rect">
                      <a:avLst/>
                    </a:prstGeom>
                    <a:noFill/>
                    <a:ln w="9525">
                      <a:noFill/>
                      <a:miter lim="800000"/>
                      <a:headEnd/>
                      <a:tailEnd/>
                    </a:ln>
                  </pic:spPr>
                </pic:pic>
              </a:graphicData>
            </a:graphic>
          </wp:anchor>
        </w:drawing>
      </w:r>
      <w:r>
        <w:t>I</w:t>
      </w:r>
      <w:r w:rsidRPr="00416CBC">
        <w:t>n March 2011, AT&amp;T Inc. announced an agreement to purchase T-Mobile USA, Inc. from Deutsche Telekom AG (DT) for $39 billion – a transaction that would combine the second and fourth-largest U.S. mobile wireless carriers.  Mobile wireless telecommunications services are critically important, with more than 300 million mobile wireless devices in use today in the United States.  The industry generates more than $160 billion in annual U.S. revenues. Mobile wireless services include both voice and data provided to a variety of devices including, for example, feature phones, smart</w:t>
      </w:r>
      <w:r w:rsidR="00DA499F">
        <w:t xml:space="preserve"> </w:t>
      </w:r>
      <w:r w:rsidRPr="00416CBC">
        <w:t xml:space="preserve">phones, data cards, tablets, and e-readers. </w:t>
      </w:r>
    </w:p>
    <w:p w:rsidR="00C67AA7" w:rsidRDefault="00C67AA7" w:rsidP="00C67AA7">
      <w:pPr>
        <w:ind w:left="720"/>
      </w:pPr>
    </w:p>
    <w:p w:rsidR="00C67AA7" w:rsidRPr="00416CBC" w:rsidRDefault="00C67AA7" w:rsidP="00C67AA7">
      <w:pPr>
        <w:ind w:left="720"/>
        <w:rPr>
          <w:b/>
        </w:rPr>
      </w:pPr>
      <w:r>
        <w:rPr>
          <w:b/>
        </w:rPr>
        <w:t>Background and Investigation</w:t>
      </w:r>
    </w:p>
    <w:p w:rsidR="00C67AA7" w:rsidRPr="00416CBC" w:rsidRDefault="00C67AA7" w:rsidP="00C67AA7">
      <w:pPr>
        <w:ind w:left="720" w:firstLine="720"/>
      </w:pPr>
    </w:p>
    <w:p w:rsidR="00C67AA7" w:rsidRDefault="00C67AA7" w:rsidP="00C67AA7">
      <w:pPr>
        <w:ind w:left="720"/>
      </w:pPr>
      <w:r>
        <w:t>In August 2011</w:t>
      </w:r>
      <w:r w:rsidRPr="00416CBC">
        <w:t>, following an extensive investigation, the D</w:t>
      </w:r>
      <w:r>
        <w:t>ivision</w:t>
      </w:r>
      <w:r w:rsidRPr="00416CBC">
        <w:t xml:space="preserve"> sued on behalf of the United States to block the transaction.  </w:t>
      </w:r>
      <w:r>
        <w:t>S</w:t>
      </w:r>
      <w:r w:rsidRPr="00416CBC">
        <w:t>ubsequently</w:t>
      </w:r>
      <w:r>
        <w:t>, seven states</w:t>
      </w:r>
      <w:r w:rsidRPr="00416CBC">
        <w:t xml:space="preserve"> joined as plaintiff </w:t>
      </w:r>
      <w:r>
        <w:t>including</w:t>
      </w:r>
      <w:r w:rsidRPr="00416CBC">
        <w:t xml:space="preserve"> New York, Washington, California, Illinois, Massachusetts, Ohio, and Pennsylvania -- and the Commonwealth of Puerto Rico.</w:t>
      </w:r>
    </w:p>
    <w:p w:rsidR="00C67AA7" w:rsidRDefault="00C67AA7" w:rsidP="00C67AA7">
      <w:pPr>
        <w:ind w:left="720"/>
      </w:pPr>
    </w:p>
    <w:p w:rsidR="00C67AA7" w:rsidRDefault="00C67AA7" w:rsidP="00C67AA7">
      <w:pPr>
        <w:ind w:left="720"/>
      </w:pPr>
      <w:r>
        <w:t>T</w:t>
      </w:r>
      <w:r w:rsidRPr="00416CBC">
        <w:t>he D</w:t>
      </w:r>
      <w:r>
        <w:t>ivision</w:t>
      </w:r>
      <w:r w:rsidRPr="00416CBC">
        <w:t xml:space="preserve"> alleged the transaction would eliminate one of only four nationwide facilities-based mobile wireless telecommunications carriers, lessening competition across the United States for mobile wireless telecommunications services – including in 97 of the top 100 local markets.  The four nationwide wireless providers account for more than 90 percent of mobile wireless connections.  </w:t>
      </w:r>
      <w:r>
        <w:t>The Division’s investigation focused on the following harmful effects if the merger were allowed to proceed:</w:t>
      </w:r>
    </w:p>
    <w:p w:rsidR="00C67AA7" w:rsidRDefault="00C67AA7" w:rsidP="00C67AA7">
      <w:pPr>
        <w:ind w:right="24"/>
        <w:rPr>
          <w:b/>
          <w:bCs/>
        </w:rPr>
      </w:pPr>
    </w:p>
    <w:p w:rsidR="00C67AA7" w:rsidRDefault="00C67AA7" w:rsidP="00C67AA7">
      <w:pPr>
        <w:widowControl/>
        <w:numPr>
          <w:ilvl w:val="0"/>
          <w:numId w:val="58"/>
        </w:numPr>
        <w:autoSpaceDE/>
        <w:autoSpaceDN/>
        <w:adjustRightInd/>
      </w:pPr>
      <w:r>
        <w:t xml:space="preserve">As a significant number of customers tended to switch between AT&amp;T and T- Mobile, the merger would cause a </w:t>
      </w:r>
      <w:r w:rsidRPr="00416CBC">
        <w:t>s</w:t>
      </w:r>
      <w:r>
        <w:t xml:space="preserve">ignificant </w:t>
      </w:r>
      <w:r w:rsidRPr="00416CBC">
        <w:t>loss of head-to-head competition.</w:t>
      </w:r>
    </w:p>
    <w:p w:rsidR="00C67AA7" w:rsidRDefault="00C67AA7" w:rsidP="00C67AA7">
      <w:pPr>
        <w:widowControl/>
        <w:autoSpaceDE/>
        <w:autoSpaceDN/>
        <w:adjustRightInd/>
        <w:ind w:left="1080"/>
      </w:pPr>
    </w:p>
    <w:p w:rsidR="00C67AA7" w:rsidRDefault="00C67AA7" w:rsidP="00C67AA7">
      <w:pPr>
        <w:widowControl/>
        <w:numPr>
          <w:ilvl w:val="0"/>
          <w:numId w:val="58"/>
        </w:numPr>
        <w:autoSpaceDE/>
        <w:autoSpaceDN/>
        <w:adjustRightInd/>
      </w:pPr>
      <w:r>
        <w:t>B</w:t>
      </w:r>
      <w:r w:rsidRPr="00416CBC">
        <w:t xml:space="preserve">ecause T-Mobile </w:t>
      </w:r>
      <w:r>
        <w:t>was</w:t>
      </w:r>
      <w:r w:rsidRPr="00416CBC">
        <w:t xml:space="preserve"> a price leader and an innovative competitor (for instance, being the first carrier to roll out 4G HSPA+ technology nationwide), the merger likely would have resulted in a loss of significant product variety and innovation.</w:t>
      </w:r>
    </w:p>
    <w:p w:rsidR="00C67AA7" w:rsidRDefault="00C67AA7" w:rsidP="00C67AA7">
      <w:pPr>
        <w:widowControl/>
        <w:autoSpaceDE/>
        <w:autoSpaceDN/>
        <w:adjustRightInd/>
        <w:ind w:left="1080"/>
      </w:pPr>
      <w:r w:rsidRPr="00416CBC">
        <w:t xml:space="preserve"> </w:t>
      </w:r>
    </w:p>
    <w:p w:rsidR="00C67AA7" w:rsidRDefault="00C67AA7" w:rsidP="00C67AA7">
      <w:pPr>
        <w:widowControl/>
        <w:numPr>
          <w:ilvl w:val="0"/>
          <w:numId w:val="58"/>
        </w:numPr>
        <w:autoSpaceDE/>
        <w:autoSpaceDN/>
        <w:adjustRightInd/>
        <w:sectPr w:rsidR="00C67AA7" w:rsidSect="003F545E">
          <w:endnotePr>
            <w:numFmt w:val="decimal"/>
          </w:endnotePr>
          <w:pgSz w:w="12240" w:h="15840" w:code="1"/>
          <w:pgMar w:top="1008" w:right="1440" w:bottom="1008" w:left="1440" w:header="0" w:footer="288" w:gutter="0"/>
          <w:cols w:space="720"/>
          <w:noEndnote/>
        </w:sectPr>
      </w:pPr>
      <w:r>
        <w:t>T</w:t>
      </w:r>
      <w:r w:rsidRPr="00416CBC">
        <w:t>he reduction in the number of nationwide competitors from four to three likely would have increased the risk of coordinated interaction</w:t>
      </w:r>
      <w:r>
        <w:t xml:space="preserve"> between carriers</w:t>
      </w:r>
      <w:r w:rsidRPr="00416CBC">
        <w:t>, particularly since T-Mobile was–and likely w</w:t>
      </w:r>
      <w:r>
        <w:t>ould</w:t>
      </w:r>
      <w:r w:rsidRPr="00416CBC">
        <w:t xml:space="preserve"> continue to be–a disruptive influence on the marketplace.  </w:t>
      </w:r>
    </w:p>
    <w:p w:rsidR="00C67AA7" w:rsidRDefault="00C67AA7" w:rsidP="00C67AA7">
      <w:pPr>
        <w:widowControl/>
        <w:numPr>
          <w:ilvl w:val="0"/>
          <w:numId w:val="58"/>
        </w:numPr>
        <w:autoSpaceDE/>
        <w:autoSpaceDN/>
        <w:adjustRightInd/>
      </w:pPr>
      <w:r>
        <w:t>T</w:t>
      </w:r>
      <w:r w:rsidRPr="00416CBC">
        <w:t>he merger would have reduced competition nationally for mobile wireless telecommunications services sold to enterprise and government customers.  These customers tend</w:t>
      </w:r>
      <w:r>
        <w:t>ed</w:t>
      </w:r>
      <w:r w:rsidRPr="00416CBC">
        <w:t xml:space="preserve"> to purchase services differently from individual consumers, have somewhat different needs, and rarely consider</w:t>
      </w:r>
      <w:r>
        <w:t>ed</w:t>
      </w:r>
      <w:r w:rsidRPr="00416CBC">
        <w:t xml:space="preserve"> a non-nationwide or non-facilities-based provider. </w:t>
      </w:r>
    </w:p>
    <w:p w:rsidR="00C67AA7" w:rsidRDefault="00C67AA7" w:rsidP="00C67AA7">
      <w:pPr>
        <w:pStyle w:val="ListParagraph"/>
      </w:pPr>
    </w:p>
    <w:p w:rsidR="00C67AA7" w:rsidRPr="008E09C8" w:rsidRDefault="00C67AA7" w:rsidP="00C67AA7">
      <w:pPr>
        <w:ind w:left="720"/>
      </w:pPr>
      <w:r w:rsidRPr="008E09C8">
        <w:t xml:space="preserve">Although the defendants argued that the transaction would generate substantial efficiencies, the magnitude of those efficiencies was greatly overstated and </w:t>
      </w:r>
      <w:r>
        <w:t xml:space="preserve">could </w:t>
      </w:r>
      <w:r w:rsidRPr="008E09C8">
        <w:t xml:space="preserve">generally be achieved by other less anticompetitive means.   </w:t>
      </w:r>
    </w:p>
    <w:p w:rsidR="00C67AA7" w:rsidRDefault="00C67AA7" w:rsidP="00C67AA7">
      <w:pPr>
        <w:widowControl/>
        <w:autoSpaceDE/>
        <w:autoSpaceDN/>
        <w:adjustRightInd/>
        <w:ind w:left="720"/>
      </w:pPr>
    </w:p>
    <w:p w:rsidR="00C67AA7" w:rsidRDefault="00C67AA7" w:rsidP="00C67AA7">
      <w:pPr>
        <w:widowControl/>
        <w:autoSpaceDE/>
        <w:autoSpaceDN/>
        <w:adjustRightInd/>
        <w:ind w:left="720"/>
      </w:pPr>
    </w:p>
    <w:p w:rsidR="00C67AA7" w:rsidRDefault="00C67AA7" w:rsidP="00C67AA7">
      <w:pPr>
        <w:widowControl/>
        <w:autoSpaceDE/>
        <w:autoSpaceDN/>
        <w:adjustRightInd/>
        <w:ind w:left="720"/>
        <w:rPr>
          <w:b/>
        </w:rPr>
      </w:pPr>
      <w:r>
        <w:rPr>
          <w:b/>
        </w:rPr>
        <w:t>Conclusion</w:t>
      </w:r>
    </w:p>
    <w:p w:rsidR="00C67AA7" w:rsidRDefault="00C67AA7" w:rsidP="00C67AA7">
      <w:pPr>
        <w:widowControl/>
        <w:autoSpaceDE/>
        <w:autoSpaceDN/>
        <w:adjustRightInd/>
        <w:ind w:left="720"/>
        <w:rPr>
          <w:b/>
        </w:rPr>
      </w:pPr>
    </w:p>
    <w:p w:rsidR="00C67AA7" w:rsidRDefault="00C67AA7" w:rsidP="00C67AA7">
      <w:pPr>
        <w:ind w:left="720"/>
      </w:pPr>
      <w:r w:rsidRPr="00416CBC">
        <w:t>Trial was set for February 2012.  Substantial discovery ensued</w:t>
      </w:r>
      <w:r>
        <w:t xml:space="preserve"> and included:</w:t>
      </w:r>
    </w:p>
    <w:p w:rsidR="00C67AA7" w:rsidRDefault="00C67AA7" w:rsidP="00C67AA7">
      <w:pPr>
        <w:ind w:left="720"/>
      </w:pPr>
    </w:p>
    <w:p w:rsidR="00C67AA7" w:rsidRDefault="00C67AA7" w:rsidP="00C67AA7">
      <w:pPr>
        <w:widowControl/>
        <w:numPr>
          <w:ilvl w:val="0"/>
          <w:numId w:val="59"/>
        </w:numPr>
        <w:autoSpaceDE/>
        <w:autoSpaceDN/>
        <w:adjustRightInd/>
        <w:ind w:left="1440"/>
      </w:pPr>
      <w:r>
        <w:t>Over</w:t>
      </w:r>
      <w:r w:rsidRPr="00416CBC">
        <w:t xml:space="preserve"> one million documents produced by the defendants (in addition to the nearly two million produced during the investigation)</w:t>
      </w:r>
    </w:p>
    <w:p w:rsidR="00C67AA7" w:rsidRDefault="00C67AA7" w:rsidP="00C67AA7">
      <w:pPr>
        <w:widowControl/>
        <w:autoSpaceDE/>
        <w:autoSpaceDN/>
        <w:adjustRightInd/>
        <w:ind w:left="1080"/>
      </w:pPr>
    </w:p>
    <w:p w:rsidR="00C67AA7" w:rsidRDefault="00C67AA7" w:rsidP="00C67AA7">
      <w:pPr>
        <w:widowControl/>
        <w:numPr>
          <w:ilvl w:val="0"/>
          <w:numId w:val="59"/>
        </w:numPr>
        <w:autoSpaceDE/>
        <w:autoSpaceDN/>
        <w:adjustRightInd/>
        <w:ind w:left="1440"/>
      </w:pPr>
      <w:r>
        <w:t>O</w:t>
      </w:r>
      <w:r w:rsidRPr="00416CBC">
        <w:t>ver 100 third parties served with subpoenas</w:t>
      </w:r>
    </w:p>
    <w:p w:rsidR="00C67AA7" w:rsidRDefault="00C67AA7" w:rsidP="00C67AA7">
      <w:pPr>
        <w:pStyle w:val="ListParagraph"/>
      </w:pPr>
    </w:p>
    <w:p w:rsidR="00C67AA7" w:rsidRDefault="00C67AA7" w:rsidP="00C67AA7">
      <w:pPr>
        <w:widowControl/>
        <w:numPr>
          <w:ilvl w:val="0"/>
          <w:numId w:val="59"/>
        </w:numPr>
        <w:autoSpaceDE/>
        <w:autoSpaceDN/>
        <w:adjustRightInd/>
        <w:ind w:left="1440"/>
      </w:pPr>
      <w:r>
        <w:t xml:space="preserve">The response by </w:t>
      </w:r>
      <w:r w:rsidRPr="00416CBC">
        <w:t>both the Division and defendants to numerous interrogatories</w:t>
      </w:r>
      <w:r>
        <w:t xml:space="preserve"> (i.e. formal, written questions asked by the opposing side)</w:t>
      </w:r>
    </w:p>
    <w:p w:rsidR="00C67AA7" w:rsidRDefault="00C67AA7" w:rsidP="00C67AA7">
      <w:pPr>
        <w:widowControl/>
        <w:autoSpaceDE/>
        <w:autoSpaceDN/>
        <w:adjustRightInd/>
        <w:ind w:left="1080"/>
      </w:pPr>
    </w:p>
    <w:p w:rsidR="00C67AA7" w:rsidRPr="00416CBC" w:rsidRDefault="00C67AA7" w:rsidP="00C67AA7">
      <w:pPr>
        <w:widowControl/>
        <w:numPr>
          <w:ilvl w:val="0"/>
          <w:numId w:val="59"/>
        </w:numPr>
        <w:autoSpaceDE/>
        <w:autoSpaceDN/>
        <w:adjustRightInd/>
        <w:ind w:left="1440"/>
      </w:pPr>
      <w:r>
        <w:t>The exchange of i</w:t>
      </w:r>
      <w:r w:rsidRPr="00416CBC">
        <w:t xml:space="preserve">nitial witness lists, and </w:t>
      </w:r>
      <w:r>
        <w:t xml:space="preserve">the identification of </w:t>
      </w:r>
      <w:r w:rsidRPr="00416CBC">
        <w:t xml:space="preserve">20 experts </w:t>
      </w:r>
      <w:r>
        <w:t>as potential testifiers</w:t>
      </w:r>
    </w:p>
    <w:p w:rsidR="00C67AA7" w:rsidRPr="00416CBC" w:rsidRDefault="00C67AA7" w:rsidP="00C67AA7">
      <w:pPr>
        <w:ind w:left="720"/>
      </w:pPr>
    </w:p>
    <w:p w:rsidR="00C67AA7" w:rsidRPr="00416CBC" w:rsidRDefault="00C67AA7" w:rsidP="00C67AA7">
      <w:pPr>
        <w:ind w:left="720"/>
      </w:pPr>
      <w:r w:rsidRPr="00416CBC">
        <w:t xml:space="preserve">In the face of the Department’s lawsuit, as well as concerns about the merger expressed by the </w:t>
      </w:r>
      <w:r>
        <w:t>Federal Communications Commission (</w:t>
      </w:r>
      <w:r w:rsidRPr="00416CBC">
        <w:t>FCC</w:t>
      </w:r>
      <w:r>
        <w:t>)</w:t>
      </w:r>
      <w:r w:rsidRPr="00416CBC">
        <w:t xml:space="preserve">, the parties announced their abandonment of the transaction </w:t>
      </w:r>
      <w:r>
        <w:t>i</w:t>
      </w:r>
      <w:r w:rsidRPr="00416CBC">
        <w:t xml:space="preserve">n December </w:t>
      </w:r>
      <w:r>
        <w:t>2011</w:t>
      </w:r>
      <w:r w:rsidRPr="00416CBC">
        <w:t>.  Had this merger been allowed to proceed, the harm to American consumers would likely have been billions of dollars a year in higher prices, as well as reduced choice and less innovation.</w:t>
      </w:r>
    </w:p>
    <w:p w:rsidR="003F545E" w:rsidRDefault="003F545E" w:rsidP="008C263D">
      <w:pPr>
        <w:ind w:left="720"/>
        <w:rPr>
          <w:b/>
        </w:rPr>
      </w:pPr>
    </w:p>
    <w:p w:rsidR="003B05E5" w:rsidRDefault="003B05E5">
      <w:pPr>
        <w:ind w:left="720" w:right="24"/>
      </w:pPr>
    </w:p>
    <w:p w:rsidR="00694897" w:rsidRDefault="00694897">
      <w:pPr>
        <w:ind w:left="720" w:right="24"/>
      </w:pPr>
    </w:p>
    <w:p w:rsidR="00C67AA7" w:rsidRDefault="00694897" w:rsidP="00C67AA7">
      <w:pPr>
        <w:ind w:left="450"/>
        <w:rPr>
          <w:b/>
          <w:u w:val="single"/>
        </w:rPr>
      </w:pPr>
      <w:r>
        <w:rPr>
          <w:b/>
          <w:bCs/>
        </w:rPr>
        <w:t xml:space="preserve">B.  </w:t>
      </w:r>
      <w:r w:rsidR="00C67AA7">
        <w:rPr>
          <w:b/>
          <w:u w:val="single"/>
        </w:rPr>
        <w:t>H&amp;R Block, Inc. / 2SS Holdings, Inc. (</w:t>
      </w:r>
      <w:proofErr w:type="spellStart"/>
      <w:r w:rsidR="00C67AA7">
        <w:rPr>
          <w:b/>
          <w:u w:val="single"/>
        </w:rPr>
        <w:t>TaxACT</w:t>
      </w:r>
      <w:proofErr w:type="spellEnd"/>
      <w:r w:rsidR="00C67AA7">
        <w:rPr>
          <w:b/>
          <w:u w:val="single"/>
        </w:rPr>
        <w:t>)</w:t>
      </w:r>
    </w:p>
    <w:p w:rsidR="00C67AA7" w:rsidRDefault="00C67AA7" w:rsidP="00C67AA7">
      <w:pPr>
        <w:ind w:firstLine="360"/>
        <w:rPr>
          <w:b/>
          <w:bCs/>
          <w:szCs w:val="28"/>
        </w:rPr>
      </w:pPr>
    </w:p>
    <w:p w:rsidR="008C263D" w:rsidRDefault="008C263D" w:rsidP="00C67AA7">
      <w:pPr>
        <w:ind w:firstLine="360"/>
        <w:rPr>
          <w:b/>
          <w:bCs/>
          <w:szCs w:val="28"/>
        </w:rPr>
      </w:pPr>
    </w:p>
    <w:p w:rsidR="00C67AA7" w:rsidRDefault="00C67AA7" w:rsidP="00C67AA7">
      <w:pPr>
        <w:ind w:left="720" w:right="24"/>
        <w:rPr>
          <w:b/>
        </w:rPr>
      </w:pPr>
      <w:r>
        <w:rPr>
          <w:b/>
        </w:rPr>
        <w:t>Introduction</w:t>
      </w:r>
    </w:p>
    <w:p w:rsidR="00C67AA7" w:rsidRDefault="00C67AA7" w:rsidP="00C67AA7">
      <w:pPr>
        <w:ind w:left="720" w:right="24"/>
        <w:rPr>
          <w:b/>
        </w:rPr>
      </w:pPr>
    </w:p>
    <w:p w:rsidR="00C67AA7" w:rsidRDefault="00C67AA7" w:rsidP="00C67AA7">
      <w:pPr>
        <w:ind w:left="720" w:right="24"/>
      </w:pPr>
      <w:r>
        <w:t xml:space="preserve">In </w:t>
      </w:r>
      <w:r w:rsidRPr="008E2D3B">
        <w:t xml:space="preserve">May 2011, the Department filed an antitrust lawsuit in the U.S. District Court for the District of Columbia seeking to block H&amp;R Block, Inc.’s proposed acquisition of 2SS Holdings, Inc., the makers of the </w:t>
      </w:r>
      <w:proofErr w:type="spellStart"/>
      <w:r w:rsidRPr="008E2D3B">
        <w:t>TaxACT</w:t>
      </w:r>
      <w:proofErr w:type="spellEnd"/>
      <w:r w:rsidRPr="008E2D3B">
        <w:t xml:space="preserve"> digital do-it-yourself (“DDIY”) tax preparation products.  The Department alleged that H&amp;R Block’s acquisition of 2SS would substantially lessen competition in the market for DDIY tax preparation products by combining the second- and third-largest providers in this market</w:t>
      </w:r>
      <w:r>
        <w:t>.</w:t>
      </w:r>
    </w:p>
    <w:p w:rsidR="00C67AA7" w:rsidRDefault="00C67AA7" w:rsidP="00C67AA7">
      <w:pPr>
        <w:ind w:left="720" w:right="24"/>
        <w:rPr>
          <w:b/>
        </w:rPr>
      </w:pPr>
    </w:p>
    <w:p w:rsidR="008C263D" w:rsidRDefault="008C263D" w:rsidP="00C67AA7">
      <w:pPr>
        <w:ind w:left="720" w:right="24"/>
        <w:sectPr w:rsidR="008C263D" w:rsidSect="003F545E">
          <w:footerReference w:type="default" r:id="rId58"/>
          <w:endnotePr>
            <w:numFmt w:val="decimal"/>
          </w:endnotePr>
          <w:pgSz w:w="12240" w:h="15840" w:code="1"/>
          <w:pgMar w:top="1008" w:right="1440" w:bottom="1008" w:left="1440" w:header="0" w:footer="288" w:gutter="0"/>
          <w:cols w:space="720"/>
          <w:noEndnote/>
        </w:sectPr>
      </w:pPr>
    </w:p>
    <w:p w:rsidR="00C67AA7" w:rsidRDefault="00C67AA7" w:rsidP="00C67AA7">
      <w:pPr>
        <w:ind w:left="720" w:right="24"/>
      </w:pPr>
    </w:p>
    <w:p w:rsidR="00C67AA7" w:rsidRDefault="00C67AA7" w:rsidP="00C67AA7">
      <w:pPr>
        <w:ind w:left="720" w:right="24"/>
        <w:rPr>
          <w:b/>
        </w:rPr>
      </w:pPr>
      <w:r>
        <w:rPr>
          <w:b/>
        </w:rPr>
        <w:t>Background and Investigation</w:t>
      </w:r>
    </w:p>
    <w:p w:rsidR="00C67AA7" w:rsidRDefault="00C67AA7" w:rsidP="00C67AA7">
      <w:pPr>
        <w:ind w:left="720" w:right="24"/>
        <w:rPr>
          <w:b/>
        </w:rPr>
      </w:pPr>
    </w:p>
    <w:p w:rsidR="00C67AA7" w:rsidRPr="008E2D3B" w:rsidRDefault="008C263D" w:rsidP="00C67AA7">
      <w:pPr>
        <w:ind w:left="720"/>
      </w:pPr>
      <w:r>
        <w:rPr>
          <w:noProof/>
        </w:rPr>
        <w:drawing>
          <wp:anchor distT="0" distB="0" distL="114300" distR="114300" simplePos="0" relativeHeight="251696640" behindDoc="1" locked="0" layoutInCell="1" allowOverlap="1">
            <wp:simplePos x="0" y="0"/>
            <wp:positionH relativeFrom="column">
              <wp:posOffset>3449955</wp:posOffset>
            </wp:positionH>
            <wp:positionV relativeFrom="page">
              <wp:posOffset>2373630</wp:posOffset>
            </wp:positionV>
            <wp:extent cx="2346325" cy="1584960"/>
            <wp:effectExtent l="19050" t="0" r="0" b="0"/>
            <wp:wrapTight wrapText="bothSides">
              <wp:wrapPolygon edited="0">
                <wp:start x="-175" y="0"/>
                <wp:lineTo x="-175" y="21288"/>
                <wp:lineTo x="21571" y="21288"/>
                <wp:lineTo x="21571" y="0"/>
                <wp:lineTo x="-175" y="0"/>
              </wp:wrapPolygon>
            </wp:wrapTight>
            <wp:docPr id="9" name="Picture 15" descr="photo of tax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ocuments and Settings\vegada\Local Settings\Temporary Internet Files\Content.IE5\HNPER6Q4\MP900316868[1].JPG"/>
                    <pic:cNvPicPr>
                      <a:picLocks noChangeAspect="1" noChangeArrowheads="1"/>
                    </pic:cNvPicPr>
                  </pic:nvPicPr>
                  <pic:blipFill>
                    <a:blip r:embed="rId59" cstate="print"/>
                    <a:srcRect/>
                    <a:stretch>
                      <a:fillRect/>
                    </a:stretch>
                  </pic:blipFill>
                  <pic:spPr bwMode="auto">
                    <a:xfrm>
                      <a:off x="0" y="0"/>
                      <a:ext cx="2346325" cy="1584960"/>
                    </a:xfrm>
                    <a:prstGeom prst="rect">
                      <a:avLst/>
                    </a:prstGeom>
                    <a:noFill/>
                    <a:ln w="9525">
                      <a:noFill/>
                      <a:miter lim="800000"/>
                      <a:headEnd/>
                      <a:tailEnd/>
                    </a:ln>
                  </pic:spPr>
                </pic:pic>
              </a:graphicData>
            </a:graphic>
          </wp:anchor>
        </w:drawing>
      </w:r>
      <w:r w:rsidR="00C67AA7" w:rsidRPr="008E2D3B">
        <w:t xml:space="preserve">DDIY tax preparation products allow U.S. taxpayers to file their individual tax returns without the difficulties of filling out tax forms by hand, and at a significantly lower cost than hiring a tax professional.  </w:t>
      </w:r>
      <w:r w:rsidR="00C67AA7">
        <w:t>W</w:t>
      </w:r>
      <w:r w:rsidR="00C67AA7" w:rsidRPr="008E2D3B">
        <w:t xml:space="preserve">ith the help of a simple interview process performed through a computer, </w:t>
      </w:r>
      <w:r w:rsidR="00C67AA7">
        <w:t xml:space="preserve">these products </w:t>
      </w:r>
      <w:r w:rsidR="00C67AA7" w:rsidRPr="008E2D3B">
        <w:t xml:space="preserve">allow taxpayers to provide their personal and financial information, receive completed tax forms, and file their tax returns over the internet or by mail.  DDIY tax preparation products are </w:t>
      </w:r>
      <w:r w:rsidR="00C67AA7">
        <w:t>accessible</w:t>
      </w:r>
      <w:r w:rsidR="00C67AA7" w:rsidRPr="008E2D3B">
        <w:t xml:space="preserve"> by three different means: online through an internet browser, software installed on a personal computer and downloaded from </w:t>
      </w:r>
      <w:r w:rsidR="00C67AA7">
        <w:t>the</w:t>
      </w:r>
      <w:r w:rsidR="00C67AA7" w:rsidRPr="008E2D3B">
        <w:t xml:space="preserve"> internet, and software installed on a personal computer from a disc.  These products are used by a significant number of American taxpayers.  Out of approximately 140 million Americans who filed individual tax returns in 2010, approximately 35 to 40 million of those taxpayers relied on DDIY products.</w:t>
      </w:r>
    </w:p>
    <w:p w:rsidR="00C67AA7" w:rsidRPr="008E2D3B" w:rsidRDefault="00C67AA7" w:rsidP="00C67AA7"/>
    <w:p w:rsidR="00C67AA7" w:rsidRDefault="00C67AA7" w:rsidP="00C67AA7">
      <w:pPr>
        <w:ind w:left="720" w:right="24"/>
      </w:pPr>
      <w:r w:rsidRPr="008E2D3B">
        <w:t>The DDIY tax preparation market is highly concentrated.  As of tax season 2010, the three largest firms—Intuit (makers of TurboTax), H&amp;R Block, and 2SS—collectively held a 90% share of this market.  H&amp;R Block’s acquisition of 2SS would have put that 90% shar</w:t>
      </w:r>
      <w:r>
        <w:t xml:space="preserve">e in the hands of two companies, potentially resulting in price increases for DDIY products of over 12%, and </w:t>
      </w:r>
      <w:r w:rsidRPr="008E2D3B">
        <w:t>eliminat</w:t>
      </w:r>
      <w:r>
        <w:t>ing</w:t>
      </w:r>
      <w:r w:rsidRPr="008E2D3B">
        <w:t xml:space="preserve"> 2SS, which has been a particularly aggressive and innovative competitor.  Over the past several years, 2SS has repeatedly forced the industry to offer taxpayers lower-priced and higher-quality DDIY products.  The best example of 2SS’s leadership in the industry is the fact that it was the first company to offer consumers the ability to electronically file their federal individual tax returns for free.  By allowing H&amp;R Block to acquire 2SS, this dynamic and competitive force in the industry would have been </w:t>
      </w:r>
      <w:r>
        <w:t>eliminated</w:t>
      </w:r>
      <w:r w:rsidRPr="008E2D3B">
        <w:t>, and American taxpayers would have lost the</w:t>
      </w:r>
      <w:r>
        <w:t xml:space="preserve"> significant</w:t>
      </w:r>
      <w:r w:rsidRPr="008E2D3B">
        <w:t xml:space="preserve"> benefits of this competition.</w:t>
      </w:r>
    </w:p>
    <w:p w:rsidR="00C67AA7" w:rsidRDefault="00C67AA7" w:rsidP="00C67AA7">
      <w:pPr>
        <w:ind w:left="720" w:right="24"/>
        <w:rPr>
          <w:b/>
        </w:rPr>
      </w:pPr>
    </w:p>
    <w:p w:rsidR="00C67AA7" w:rsidRDefault="00C67AA7" w:rsidP="00C67AA7">
      <w:pPr>
        <w:ind w:left="720" w:right="24"/>
        <w:rPr>
          <w:b/>
        </w:rPr>
      </w:pPr>
    </w:p>
    <w:p w:rsidR="00C67AA7" w:rsidRDefault="00C67AA7" w:rsidP="00C67AA7">
      <w:pPr>
        <w:ind w:left="720" w:right="24"/>
        <w:rPr>
          <w:b/>
        </w:rPr>
      </w:pPr>
      <w:r>
        <w:rPr>
          <w:b/>
        </w:rPr>
        <w:t>Conclusion</w:t>
      </w:r>
    </w:p>
    <w:p w:rsidR="00C67AA7" w:rsidRDefault="00C67AA7" w:rsidP="00C67AA7">
      <w:pPr>
        <w:ind w:left="720" w:right="24"/>
        <w:rPr>
          <w:b/>
        </w:rPr>
      </w:pPr>
    </w:p>
    <w:p w:rsidR="00087000" w:rsidRDefault="00C67AA7" w:rsidP="00C67AA7">
      <w:pPr>
        <w:tabs>
          <w:tab w:val="left" w:pos="540"/>
          <w:tab w:val="left" w:pos="720"/>
        </w:tabs>
        <w:ind w:left="720"/>
        <w:rPr>
          <w:b/>
          <w:bCs/>
        </w:rPr>
        <w:sectPr w:rsidR="00087000" w:rsidSect="003F545E">
          <w:endnotePr>
            <w:numFmt w:val="decimal"/>
          </w:endnotePr>
          <w:pgSz w:w="12240" w:h="15840" w:code="1"/>
          <w:pgMar w:top="1008" w:right="1440" w:bottom="1008" w:left="1440" w:header="0" w:footer="288" w:gutter="0"/>
          <w:cols w:space="720"/>
          <w:noEndnote/>
        </w:sectPr>
      </w:pPr>
      <w:r w:rsidRPr="008E2D3B">
        <w:t xml:space="preserve">The Department proceeded to trial </w:t>
      </w:r>
      <w:r>
        <w:t>in</w:t>
      </w:r>
      <w:r w:rsidRPr="008E2D3B">
        <w:t xml:space="preserve"> September 2011, and </w:t>
      </w:r>
      <w:r>
        <w:t xml:space="preserve">in October 2011 the court </w:t>
      </w:r>
      <w:r w:rsidRPr="008E2D3B">
        <w:t xml:space="preserve">permanently </w:t>
      </w:r>
      <w:r>
        <w:t>blocked</w:t>
      </w:r>
      <w:r w:rsidRPr="008E2D3B">
        <w:t xml:space="preserve"> the acquisition.  In </w:t>
      </w:r>
      <w:r>
        <w:t>an</w:t>
      </w:r>
      <w:r w:rsidRPr="008E2D3B">
        <w:t xml:space="preserve"> 86-page opinion, </w:t>
      </w:r>
      <w:r>
        <w:t>the court</w:t>
      </w:r>
      <w:r w:rsidRPr="008E2D3B">
        <w:t xml:space="preserve"> granted the Department’s motion </w:t>
      </w:r>
      <w:r>
        <w:t xml:space="preserve">for a permanent injunction </w:t>
      </w:r>
      <w:r w:rsidRPr="008E2D3B">
        <w:t>and concluded that “anticompetitive effects are a likely result of the merger . . . .”  As a result, 2SS will remain an option for American taxpayers looking to prepare their tax returns with a DDIY product, and taxpayers will continue to enjoy the benefits that 2SS offers as a competitive force in the DDIY market.</w:t>
      </w:r>
    </w:p>
    <w:p w:rsidR="00141374" w:rsidRDefault="00141374" w:rsidP="008611F6">
      <w:pPr>
        <w:ind w:right="24"/>
        <w:rPr>
          <w:b/>
          <w:bCs/>
        </w:rPr>
      </w:pPr>
    </w:p>
    <w:p w:rsidR="00EC31BA" w:rsidRPr="00CB3FB8" w:rsidRDefault="00141374" w:rsidP="00DE2A5C">
      <w:pPr>
        <w:tabs>
          <w:tab w:val="left" w:pos="720"/>
        </w:tabs>
        <w:ind w:left="360"/>
        <w:rPr>
          <w:b/>
          <w:u w:val="single"/>
        </w:rPr>
      </w:pPr>
      <w:r>
        <w:rPr>
          <w:b/>
          <w:bCs/>
        </w:rPr>
        <w:t xml:space="preserve">C.  </w:t>
      </w:r>
      <w:r>
        <w:rPr>
          <w:b/>
          <w:bCs/>
          <w:u w:val="single"/>
        </w:rPr>
        <w:t>Non-</w:t>
      </w:r>
      <w:r w:rsidRPr="003918F5">
        <w:rPr>
          <w:b/>
          <w:bCs/>
          <w:u w:val="single"/>
        </w:rPr>
        <w:t>Merger</w:t>
      </w:r>
      <w:r>
        <w:rPr>
          <w:b/>
          <w:bCs/>
          <w:u w:val="single"/>
        </w:rPr>
        <w:t>:</w:t>
      </w:r>
      <w:r w:rsidR="00EC31BA">
        <w:rPr>
          <w:b/>
          <w:bCs/>
          <w:u w:val="single"/>
        </w:rPr>
        <w:t xml:space="preserve">  </w:t>
      </w:r>
      <w:r w:rsidR="00EC31BA">
        <w:rPr>
          <w:b/>
          <w:u w:val="single"/>
        </w:rPr>
        <w:t>American Express, MasterCard, and Visa:  Credit Card Merchant Restraints</w:t>
      </w:r>
    </w:p>
    <w:p w:rsidR="00141374" w:rsidRPr="003918F5" w:rsidRDefault="00141374" w:rsidP="00141374">
      <w:pPr>
        <w:ind w:left="360"/>
        <w:rPr>
          <w:b/>
          <w:bCs/>
          <w:u w:val="single"/>
        </w:rPr>
      </w:pPr>
      <w:r>
        <w:rPr>
          <w:b/>
          <w:bCs/>
          <w:u w:val="single"/>
        </w:rPr>
        <w:t xml:space="preserve">  </w:t>
      </w:r>
      <w:r w:rsidRPr="003918F5">
        <w:rPr>
          <w:b/>
          <w:u w:val="single"/>
        </w:rPr>
        <w:t xml:space="preserve"> </w:t>
      </w:r>
    </w:p>
    <w:p w:rsidR="00141374" w:rsidRPr="003918F5" w:rsidRDefault="00141374" w:rsidP="00141374">
      <w:pPr>
        <w:ind w:left="360"/>
        <w:rPr>
          <w:b/>
          <w:bCs/>
          <w:sz w:val="18"/>
          <w:szCs w:val="18"/>
          <w:u w:val="single"/>
        </w:rPr>
      </w:pPr>
    </w:p>
    <w:p w:rsidR="00141374" w:rsidRDefault="00141374" w:rsidP="00141374">
      <w:pPr>
        <w:ind w:left="360" w:firstLine="360"/>
        <w:rPr>
          <w:b/>
          <w:bCs/>
        </w:rPr>
      </w:pPr>
      <w:r>
        <w:rPr>
          <w:b/>
          <w:bCs/>
        </w:rPr>
        <w:t>Introduction</w:t>
      </w:r>
    </w:p>
    <w:p w:rsidR="00EC31BA" w:rsidRDefault="00EC31BA" w:rsidP="00141374">
      <w:pPr>
        <w:ind w:left="360" w:firstLine="360"/>
        <w:rPr>
          <w:b/>
          <w:bCs/>
        </w:rPr>
      </w:pPr>
    </w:p>
    <w:p w:rsidR="00EC31BA" w:rsidRDefault="00EC31BA" w:rsidP="00EC31BA">
      <w:pPr>
        <w:ind w:left="720"/>
      </w:pPr>
      <w:r>
        <w:t>In 2009, consumers used credit and charge cards issued by American Express, MasterCard, and Visa to make more than $1.7 trillion in purchases.  Merchants paid these three companies an estimated $35 billion in acceptance costs or ‘swipe fees’.  A swipe fee is paid every time a credit card is used and merchants must agree to certain rules, or restraints, in order to accept the cards for payment of purchases.</w:t>
      </w:r>
    </w:p>
    <w:p w:rsidR="00EC31BA" w:rsidRDefault="00240E60" w:rsidP="00EC31BA">
      <w:pPr>
        <w:ind w:left="720"/>
      </w:pPr>
      <w:r>
        <w:rPr>
          <w:noProof/>
        </w:rPr>
        <w:drawing>
          <wp:anchor distT="0" distB="0" distL="114300" distR="114300" simplePos="0" relativeHeight="251688448" behindDoc="0" locked="0" layoutInCell="1" allowOverlap="1">
            <wp:simplePos x="0" y="0"/>
            <wp:positionH relativeFrom="column">
              <wp:posOffset>480060</wp:posOffset>
            </wp:positionH>
            <wp:positionV relativeFrom="page">
              <wp:posOffset>2339975</wp:posOffset>
            </wp:positionV>
            <wp:extent cx="1330960" cy="1335405"/>
            <wp:effectExtent l="19050" t="0" r="2540" b="0"/>
            <wp:wrapSquare wrapText="bothSides"/>
            <wp:docPr id="290" name="Picture 290" descr="Photo of credit card being swiped through a transacti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Documents and Settings\vegada\Local Settings\Temporary Internet Files\Content.IE5\2BMNPAE2\MP900431293[1].JPG"/>
                    <pic:cNvPicPr>
                      <a:picLocks noChangeAspect="1" noChangeArrowheads="1"/>
                    </pic:cNvPicPr>
                  </pic:nvPicPr>
                  <pic:blipFill>
                    <a:blip r:embed="rId60" cstate="print"/>
                    <a:srcRect/>
                    <a:stretch>
                      <a:fillRect/>
                    </a:stretch>
                  </pic:blipFill>
                  <pic:spPr bwMode="auto">
                    <a:xfrm>
                      <a:off x="0" y="0"/>
                      <a:ext cx="1330960" cy="1335405"/>
                    </a:xfrm>
                    <a:prstGeom prst="rect">
                      <a:avLst/>
                    </a:prstGeom>
                    <a:noFill/>
                    <a:ln w="9525">
                      <a:noFill/>
                      <a:miter lim="800000"/>
                      <a:headEnd/>
                      <a:tailEnd/>
                    </a:ln>
                  </pic:spPr>
                </pic:pic>
              </a:graphicData>
            </a:graphic>
          </wp:anchor>
        </w:drawing>
      </w:r>
    </w:p>
    <w:p w:rsidR="00EC31BA" w:rsidRDefault="00EC31BA" w:rsidP="00EC31BA">
      <w:pPr>
        <w:ind w:left="720"/>
      </w:pPr>
      <w:r>
        <w:t>I</w:t>
      </w:r>
      <w:r w:rsidRPr="00CB3FB8">
        <w:t xml:space="preserve">n October 2010, the </w:t>
      </w:r>
      <w:r>
        <w:t>Antitrust Division</w:t>
      </w:r>
      <w:r w:rsidRPr="00CB3FB8">
        <w:t xml:space="preserve"> and seve</w:t>
      </w:r>
      <w:r>
        <w:t xml:space="preserve">n </w:t>
      </w:r>
      <w:r w:rsidRPr="00CB3FB8">
        <w:t xml:space="preserve">states </w:t>
      </w:r>
      <w:r>
        <w:t xml:space="preserve">(Connecticut, Iowa, Maryland, Michigan, Missouri, Ohio, and Texas) </w:t>
      </w:r>
      <w:r w:rsidRPr="00CB3FB8">
        <w:t xml:space="preserve">filed a </w:t>
      </w:r>
      <w:r>
        <w:t>c</w:t>
      </w:r>
      <w:r w:rsidRPr="00CB3FB8">
        <w:t xml:space="preserve">omplaint against American Express, MasterCard, and Visa </w:t>
      </w:r>
      <w:r>
        <w:t>(the defendants) to prevent them</w:t>
      </w:r>
      <w:r w:rsidRPr="00CB3FB8">
        <w:t xml:space="preserve"> from imposing on merchants certain </w:t>
      </w:r>
      <w:r>
        <w:t xml:space="preserve">restraints </w:t>
      </w:r>
      <w:r w:rsidRPr="00CB3FB8">
        <w:t xml:space="preserve">that insulate </w:t>
      </w:r>
      <w:r>
        <w:t>the d</w:t>
      </w:r>
      <w:r w:rsidRPr="00CB3FB8">
        <w:t>efendants from competition in violation of the Sherman Act.</w:t>
      </w:r>
    </w:p>
    <w:p w:rsidR="00EC31BA" w:rsidRDefault="00EC31BA" w:rsidP="00141374">
      <w:pPr>
        <w:ind w:left="360" w:firstLine="360"/>
        <w:rPr>
          <w:b/>
          <w:bCs/>
        </w:rPr>
      </w:pPr>
    </w:p>
    <w:p w:rsidR="00141374" w:rsidRDefault="00141374" w:rsidP="00141374">
      <w:pPr>
        <w:ind w:left="360"/>
      </w:pPr>
    </w:p>
    <w:p w:rsidR="00141374" w:rsidRDefault="00141374" w:rsidP="00141374">
      <w:pPr>
        <w:ind w:left="360" w:firstLine="360"/>
        <w:rPr>
          <w:b/>
        </w:rPr>
      </w:pPr>
      <w:r>
        <w:rPr>
          <w:b/>
        </w:rPr>
        <w:t>Background</w:t>
      </w:r>
      <w:r w:rsidR="00EC31BA">
        <w:rPr>
          <w:b/>
        </w:rPr>
        <w:t xml:space="preserve"> and Investigation</w:t>
      </w:r>
    </w:p>
    <w:p w:rsidR="00EC31BA" w:rsidRDefault="00EC31BA" w:rsidP="00141374">
      <w:pPr>
        <w:ind w:left="360" w:firstLine="360"/>
        <w:rPr>
          <w:b/>
        </w:rPr>
      </w:pPr>
    </w:p>
    <w:p w:rsidR="00EC31BA" w:rsidRPr="00CB3FB8" w:rsidRDefault="00EC31BA" w:rsidP="00EC31BA">
      <w:pPr>
        <w:ind w:left="720"/>
      </w:pPr>
      <w:r w:rsidRPr="00CB3FB8">
        <w:t xml:space="preserve">The </w:t>
      </w:r>
      <w:r>
        <w:t>three d</w:t>
      </w:r>
      <w:r w:rsidRPr="00CB3FB8">
        <w:t xml:space="preserve">efendants provide network services for general purpose credit and charge cards.  They operate the infrastructure necessary to authorize, settle, and clear payments made with their </w:t>
      </w:r>
      <w:r>
        <w:t>c</w:t>
      </w:r>
      <w:r w:rsidR="008853F5">
        <w:t xml:space="preserve">ards.  Millions </w:t>
      </w:r>
      <w:r w:rsidRPr="00CB3FB8">
        <w:t xml:space="preserve">of merchants around the United States that accept </w:t>
      </w:r>
      <w:r>
        <w:t>these c</w:t>
      </w:r>
      <w:r w:rsidRPr="00CB3FB8">
        <w:t>ards are consumers of network services.</w:t>
      </w:r>
    </w:p>
    <w:p w:rsidR="00EC31BA" w:rsidRDefault="00EC31BA" w:rsidP="00EC31BA">
      <w:pPr>
        <w:ind w:left="720"/>
      </w:pPr>
    </w:p>
    <w:p w:rsidR="00EC31BA" w:rsidRDefault="00EC31BA" w:rsidP="00EC31BA">
      <w:pPr>
        <w:ind w:left="720"/>
      </w:pPr>
      <w:r>
        <w:t>According to the complaint, American Express, MasterCard and Visa maintained rules that prohibited merchants from encouraging consumers to use lower-cost payment methods when making purchases.  For example, the rules prohibited merchants from offering discounts or other incentives to consumers in order to encourage them to pay with credit cards that cost the merchant less to accept.  Ultimately, these rules result in consumers paying more for their purchases and increase merchants’ costs of doing business.</w:t>
      </w:r>
    </w:p>
    <w:p w:rsidR="00EC31BA" w:rsidRPr="00CB3FB8" w:rsidRDefault="00EC31BA" w:rsidP="00EC31BA">
      <w:pPr>
        <w:ind w:left="720"/>
      </w:pPr>
    </w:p>
    <w:p w:rsidR="00EC31BA" w:rsidRPr="00CB3FB8" w:rsidRDefault="00EC31BA" w:rsidP="00EC31BA">
      <w:pPr>
        <w:ind w:left="720"/>
      </w:pPr>
      <w:r w:rsidRPr="00CB3FB8">
        <w:t xml:space="preserve">These </w:t>
      </w:r>
      <w:r>
        <w:t>r</w:t>
      </w:r>
      <w:r w:rsidRPr="00CB3FB8">
        <w:t xml:space="preserve">estraints allow </w:t>
      </w:r>
      <w:r>
        <w:t>the d</w:t>
      </w:r>
      <w:r w:rsidRPr="00CB3FB8">
        <w:t xml:space="preserve">efendants to maintain high prices for network services with confidence that no competitor will take away significant transaction volume through competition in the form of merchant discounts or benefits to customers </w:t>
      </w:r>
      <w:r>
        <w:t>that</w:t>
      </w:r>
      <w:r w:rsidRPr="00CB3FB8">
        <w:t xml:space="preserve"> use lower cost payment options. </w:t>
      </w:r>
      <w:r>
        <w:t>The d</w:t>
      </w:r>
      <w:r w:rsidRPr="00CB3FB8">
        <w:t xml:space="preserve">efendants’ prices for network services to merchants are therefore higher than they would be without the </w:t>
      </w:r>
      <w:r>
        <w:t>r</w:t>
      </w:r>
      <w:r w:rsidRPr="00CB3FB8">
        <w:t xml:space="preserve">estraints.  Because the </w:t>
      </w:r>
      <w:r>
        <w:t>r</w:t>
      </w:r>
      <w:r w:rsidRPr="00CB3FB8">
        <w:t>estraints result in higher merchant costs, and merchants pass</w:t>
      </w:r>
      <w:r>
        <w:t xml:space="preserve"> </w:t>
      </w:r>
      <w:r w:rsidRPr="00CB3FB8">
        <w:t>these costs on to consumers, retail prices are higher generally for consumers.</w:t>
      </w:r>
    </w:p>
    <w:p w:rsidR="00EC31BA" w:rsidRDefault="00EC31BA" w:rsidP="00141374">
      <w:pPr>
        <w:ind w:left="360" w:firstLine="360"/>
        <w:rPr>
          <w:b/>
        </w:rPr>
      </w:pPr>
    </w:p>
    <w:p w:rsidR="00601CE2" w:rsidRDefault="00601CE2"/>
    <w:p w:rsidR="00F6166F" w:rsidRDefault="00F6166F"/>
    <w:p w:rsidR="00F6166F" w:rsidRDefault="00F6166F"/>
    <w:p w:rsidR="00141374" w:rsidRDefault="00141374" w:rsidP="00141374">
      <w:pPr>
        <w:ind w:left="360" w:firstLine="360"/>
        <w:rPr>
          <w:b/>
        </w:rPr>
      </w:pPr>
      <w:r>
        <w:rPr>
          <w:b/>
        </w:rPr>
        <w:t>Conclusion</w:t>
      </w:r>
    </w:p>
    <w:p w:rsidR="00EC31BA" w:rsidRDefault="00EC31BA" w:rsidP="008611F6">
      <w:pPr>
        <w:ind w:right="24"/>
        <w:rPr>
          <w:b/>
          <w:bCs/>
        </w:rPr>
      </w:pPr>
    </w:p>
    <w:p w:rsidR="0078751D" w:rsidRPr="00CB3FB8" w:rsidRDefault="00EC31BA" w:rsidP="0078751D">
      <w:pPr>
        <w:ind w:left="720"/>
      </w:pPr>
      <w:r w:rsidRPr="00CB3FB8">
        <w:t xml:space="preserve">Shortly after filing the </w:t>
      </w:r>
      <w:r>
        <w:t>c</w:t>
      </w:r>
      <w:r w:rsidRPr="00CB3FB8">
        <w:t xml:space="preserve">omplaint, the </w:t>
      </w:r>
      <w:r>
        <w:t xml:space="preserve">Division reached a final judgment agreement with </w:t>
      </w:r>
      <w:r w:rsidRPr="00CB3FB8">
        <w:t xml:space="preserve">Visa and MasterCard.  Defendant American Express was not a party to the settlement, and the litigation against it is </w:t>
      </w:r>
      <w:r w:rsidR="00EA64C2" w:rsidRPr="00CB3FB8">
        <w:t>continuing.</w:t>
      </w:r>
      <w:r w:rsidR="00EA64C2">
        <w:t xml:space="preserve"> </w:t>
      </w:r>
      <w:r w:rsidR="00EA64C2" w:rsidRPr="00CB3FB8">
        <w:t>The</w:t>
      </w:r>
      <w:r w:rsidR="0078751D" w:rsidRPr="00CB3FB8">
        <w:t xml:space="preserve"> </w:t>
      </w:r>
      <w:r w:rsidR="0078751D">
        <w:t>f</w:t>
      </w:r>
      <w:r w:rsidR="0078751D" w:rsidRPr="00CB3FB8">
        <w:t xml:space="preserve">inal </w:t>
      </w:r>
      <w:r w:rsidR="0078751D">
        <w:t>j</w:t>
      </w:r>
      <w:r w:rsidR="0078751D" w:rsidRPr="00CB3FB8">
        <w:t xml:space="preserve">udgment </w:t>
      </w:r>
      <w:r w:rsidR="0078751D">
        <w:t xml:space="preserve">generally </w:t>
      </w:r>
      <w:r w:rsidR="0078751D" w:rsidRPr="00CB3FB8">
        <w:t>prohibits Visa and MasterCard from enforcing any rule</w:t>
      </w:r>
      <w:r w:rsidR="0078751D">
        <w:t xml:space="preserve"> or</w:t>
      </w:r>
      <w:r w:rsidR="0078751D" w:rsidRPr="00CB3FB8">
        <w:t xml:space="preserve"> agreement</w:t>
      </w:r>
      <w:r w:rsidR="0078751D">
        <w:t xml:space="preserve"> </w:t>
      </w:r>
      <w:r w:rsidR="0078751D" w:rsidRPr="00CB3FB8">
        <w:t>that prevents merchant</w:t>
      </w:r>
      <w:r w:rsidR="0078751D">
        <w:t>s</w:t>
      </w:r>
      <w:r w:rsidR="0078751D" w:rsidRPr="00CB3FB8">
        <w:t xml:space="preserve"> from</w:t>
      </w:r>
      <w:r w:rsidR="0078751D">
        <w:t xml:space="preserve"> offering customers a discount for using a particular card for payment, expressing a preference for the use of a particular card, promoting a particular card, or communicating to customers the estimated costs incurred by the merchant when a customer pays with a particular card.</w:t>
      </w:r>
    </w:p>
    <w:p w:rsidR="0078751D" w:rsidRPr="00CB3FB8" w:rsidRDefault="0078751D" w:rsidP="0078751D">
      <w:pPr>
        <w:ind w:left="720"/>
      </w:pPr>
    </w:p>
    <w:p w:rsidR="0078751D" w:rsidRDefault="0078751D" w:rsidP="0078751D">
      <w:pPr>
        <w:ind w:left="720"/>
      </w:pPr>
      <w:r>
        <w:t>In</w:t>
      </w:r>
      <w:r w:rsidRPr="00CB3FB8">
        <w:t xml:space="preserve"> July 2011, the Court </w:t>
      </w:r>
      <w:r>
        <w:t xml:space="preserve">agreed to </w:t>
      </w:r>
      <w:r w:rsidRPr="00CB3FB8">
        <w:t xml:space="preserve">the </w:t>
      </w:r>
      <w:r>
        <w:t>f</w:t>
      </w:r>
      <w:r w:rsidRPr="00CB3FB8">
        <w:t xml:space="preserve">inal </w:t>
      </w:r>
      <w:r>
        <w:t>j</w:t>
      </w:r>
      <w:r w:rsidRPr="00CB3FB8">
        <w:t xml:space="preserve">udgment, </w:t>
      </w:r>
      <w:r>
        <w:t>agreeing</w:t>
      </w:r>
      <w:r w:rsidRPr="00CB3FB8">
        <w:t xml:space="preserve"> that the </w:t>
      </w:r>
      <w:r>
        <w:t>Division</w:t>
      </w:r>
      <w:r w:rsidRPr="00CB3FB8">
        <w:t xml:space="preserve"> had demonstrated that “the Proposed Final Judgment furthers the public interest by removing the anticompetitive impact of Visa’s and MasterCard’s anti-steering rules . . . .”  </w:t>
      </w:r>
    </w:p>
    <w:p w:rsidR="00D511A0" w:rsidRPr="00CB3FB8" w:rsidRDefault="00D511A0" w:rsidP="0078751D">
      <w:pPr>
        <w:ind w:left="720"/>
      </w:pPr>
    </w:p>
    <w:p w:rsidR="00A24B8B" w:rsidRPr="00F948FA" w:rsidRDefault="00C66655" w:rsidP="00F948FA">
      <w:pPr>
        <w:pStyle w:val="TOC1"/>
      </w:pPr>
      <w:bookmarkStart w:id="186" w:name="_Toc349640475"/>
      <w:bookmarkStart w:id="187" w:name="OLE_LINK18"/>
      <w:bookmarkStart w:id="188" w:name="OLE_LINK21"/>
      <w:r w:rsidRPr="00F948FA">
        <w:t xml:space="preserve">V.  Program </w:t>
      </w:r>
      <w:r w:rsidR="00F16579">
        <w:t>Changes</w:t>
      </w:r>
      <w:r w:rsidRPr="00F948FA">
        <w:t xml:space="preserve"> by Item</w:t>
      </w:r>
      <w:bookmarkEnd w:id="186"/>
    </w:p>
    <w:p w:rsidR="003A205F" w:rsidRDefault="003A205F" w:rsidP="00F1203E">
      <w:r>
        <w:t xml:space="preserve">   </w:t>
      </w:r>
    </w:p>
    <w:p w:rsidR="003A205F" w:rsidRPr="00663DD9" w:rsidRDefault="003A205F" w:rsidP="00F1203E">
      <w:r>
        <w:t xml:space="preserve">       </w:t>
      </w:r>
    </w:p>
    <w:p w:rsidR="003A205F" w:rsidRDefault="003A205F" w:rsidP="003A205F">
      <w:pPr>
        <w:pStyle w:val="xl19"/>
        <w:tabs>
          <w:tab w:val="left" w:pos="3420"/>
          <w:tab w:val="right" w:pos="8640"/>
        </w:tabs>
        <w:spacing w:before="0" w:after="0"/>
        <w:ind w:left="720"/>
        <w:rPr>
          <w:b/>
          <w:bCs/>
        </w:rPr>
      </w:pPr>
      <w:r>
        <w:rPr>
          <w:b/>
          <w:bCs/>
        </w:rPr>
        <w:t>Item Name</w:t>
      </w:r>
      <w:r w:rsidRPr="00E46858">
        <w:rPr>
          <w:b/>
          <w:bCs/>
        </w:rPr>
        <w:t xml:space="preserve">:  </w:t>
      </w:r>
      <w:r w:rsidR="00127807">
        <w:rPr>
          <w:b/>
          <w:bCs/>
        </w:rPr>
        <w:t>Position/FTE Adjustment</w:t>
      </w:r>
    </w:p>
    <w:p w:rsidR="003A205F" w:rsidRDefault="003A205F" w:rsidP="003A205F">
      <w:pPr>
        <w:pStyle w:val="xl19"/>
        <w:tabs>
          <w:tab w:val="left" w:pos="3420"/>
          <w:tab w:val="right" w:pos="8640"/>
        </w:tabs>
        <w:spacing w:before="0" w:after="0"/>
        <w:ind w:left="720"/>
        <w:rPr>
          <w:rFonts w:eastAsia="Times New Roman"/>
        </w:rPr>
      </w:pPr>
    </w:p>
    <w:p w:rsidR="003A205F" w:rsidRPr="008C182E" w:rsidRDefault="003A205F" w:rsidP="003A205F">
      <w:pPr>
        <w:pStyle w:val="xl19"/>
        <w:tabs>
          <w:tab w:val="left" w:pos="3420"/>
          <w:tab w:val="right" w:pos="8640"/>
        </w:tabs>
        <w:spacing w:before="0" w:after="0"/>
        <w:ind w:left="720"/>
        <w:rPr>
          <w:rFonts w:eastAsia="Times New Roman"/>
          <w:b/>
        </w:rPr>
      </w:pPr>
      <w:r>
        <w:rPr>
          <w:rFonts w:eastAsia="Times New Roman"/>
        </w:rPr>
        <w:t xml:space="preserve">Budget Decision Unit(s): </w:t>
      </w:r>
      <w:r>
        <w:rPr>
          <w:rFonts w:eastAsia="Times New Roman"/>
        </w:rPr>
        <w:tab/>
      </w:r>
      <w:r w:rsidRPr="008C182E">
        <w:rPr>
          <w:rFonts w:eastAsia="Times New Roman"/>
          <w:b/>
        </w:rPr>
        <w:t>Antitrust</w:t>
      </w:r>
    </w:p>
    <w:p w:rsidR="003A205F" w:rsidRPr="004C281E" w:rsidRDefault="003A205F" w:rsidP="003A205F">
      <w:pPr>
        <w:pStyle w:val="xl19"/>
        <w:tabs>
          <w:tab w:val="left" w:pos="3420"/>
          <w:tab w:val="right" w:pos="8640"/>
        </w:tabs>
        <w:spacing w:before="0" w:after="0"/>
        <w:ind w:left="720"/>
        <w:rPr>
          <w:rFonts w:eastAsia="Times New Roman"/>
        </w:rPr>
      </w:pPr>
    </w:p>
    <w:p w:rsidR="003A205F" w:rsidRDefault="003A205F" w:rsidP="003A205F">
      <w:pPr>
        <w:pStyle w:val="xl19"/>
        <w:tabs>
          <w:tab w:val="left" w:pos="3420"/>
          <w:tab w:val="right" w:pos="8640"/>
        </w:tabs>
        <w:spacing w:before="0" w:after="0"/>
        <w:ind w:left="4050" w:hanging="3330"/>
      </w:pPr>
      <w:r>
        <w:t xml:space="preserve">Strategic Goal(s) &amp; Objective(s):  </w:t>
      </w:r>
      <w:r w:rsidRPr="00E46858">
        <w:rPr>
          <w:b/>
          <w:bCs/>
        </w:rPr>
        <w:t xml:space="preserve">Strategic Goal II:  </w:t>
      </w:r>
      <w:r w:rsidRPr="00EF0B7B">
        <w:t xml:space="preserve">Prevent Crime, Protect the </w:t>
      </w:r>
      <w:r>
        <w:t xml:space="preserve">    </w:t>
      </w:r>
      <w:r w:rsidRPr="00EF0B7B">
        <w:t xml:space="preserve">Rights of the American People and Enforce Federal Law.  </w:t>
      </w:r>
    </w:p>
    <w:p w:rsidR="003A205F" w:rsidRPr="00AC3F9C" w:rsidRDefault="003A205F" w:rsidP="003A205F">
      <w:pPr>
        <w:pStyle w:val="xl19"/>
        <w:tabs>
          <w:tab w:val="left" w:pos="3420"/>
          <w:tab w:val="right" w:pos="8640"/>
        </w:tabs>
        <w:spacing w:before="0" w:after="0"/>
        <w:ind w:left="4050" w:hanging="3330"/>
        <w:rPr>
          <w:u w:val="single"/>
        </w:rPr>
      </w:pPr>
      <w:r w:rsidRPr="00E60E74">
        <w:rPr>
          <w:u w:val="single"/>
        </w:rPr>
        <w:t xml:space="preserve">                                                                      </w:t>
      </w:r>
    </w:p>
    <w:p w:rsidR="003A205F" w:rsidRDefault="003A205F" w:rsidP="003A205F">
      <w:pPr>
        <w:pStyle w:val="xl19"/>
        <w:tabs>
          <w:tab w:val="left" w:pos="3780"/>
          <w:tab w:val="left" w:pos="3960"/>
          <w:tab w:val="left" w:pos="4050"/>
          <w:tab w:val="left" w:pos="4140"/>
          <w:tab w:val="right" w:pos="8640"/>
        </w:tabs>
        <w:spacing w:before="0" w:after="0"/>
        <w:ind w:leftChars="1087" w:left="2609"/>
        <w:rPr>
          <w:u w:val="single"/>
        </w:rPr>
      </w:pPr>
      <w:r w:rsidRPr="00E60E74">
        <w:rPr>
          <w:b/>
          <w:bCs/>
        </w:rPr>
        <w:tab/>
      </w:r>
      <w:r w:rsidRPr="00E60E74">
        <w:rPr>
          <w:b/>
          <w:bCs/>
        </w:rPr>
        <w:tab/>
      </w:r>
      <w:r w:rsidRPr="00E60E74">
        <w:rPr>
          <w:b/>
          <w:bCs/>
        </w:rPr>
        <w:tab/>
      </w:r>
      <w:r w:rsidRPr="00E46858">
        <w:rPr>
          <w:b/>
          <w:bCs/>
        </w:rPr>
        <w:t>Strategic Objective 2.6:</w:t>
      </w:r>
      <w:r w:rsidRPr="00E46858">
        <w:t xml:space="preserve">  Protect</w:t>
      </w:r>
      <w:r w:rsidRPr="00EF0B7B">
        <w:t xml:space="preserve"> the federal </w:t>
      </w:r>
      <w:proofErr w:type="spellStart"/>
      <w:r w:rsidRPr="00EF0B7B">
        <w:t>fisc</w:t>
      </w:r>
      <w:proofErr w:type="spellEnd"/>
      <w:r w:rsidRPr="00EF0B7B">
        <w:t xml:space="preserve"> and </w:t>
      </w:r>
      <w:r>
        <w:t xml:space="preserve">                          </w:t>
      </w:r>
      <w:r w:rsidRPr="00EF0B7B">
        <w:t>defend the interests of the United States</w:t>
      </w:r>
      <w:r w:rsidRPr="00886DAA">
        <w:rPr>
          <w:highlight w:val="yellow"/>
        </w:rPr>
        <w:t xml:space="preserve"> </w:t>
      </w:r>
    </w:p>
    <w:p w:rsidR="003A205F" w:rsidRDefault="003A205F" w:rsidP="003A205F">
      <w:pPr>
        <w:pStyle w:val="xl19"/>
        <w:tabs>
          <w:tab w:val="left" w:pos="2610"/>
          <w:tab w:val="left" w:pos="3780"/>
          <w:tab w:val="left" w:pos="3960"/>
          <w:tab w:val="left" w:pos="4140"/>
          <w:tab w:val="right" w:pos="8640"/>
        </w:tabs>
        <w:spacing w:before="0" w:after="0"/>
        <w:ind w:leftChars="1087" w:left="2609"/>
      </w:pPr>
      <w:r>
        <w:rPr>
          <w:u w:val="single"/>
        </w:rPr>
        <w:t xml:space="preserve"> </w:t>
      </w:r>
    </w:p>
    <w:p w:rsidR="003A205F" w:rsidRDefault="003A205F" w:rsidP="003A205F">
      <w:pPr>
        <w:pStyle w:val="xl19"/>
        <w:tabs>
          <w:tab w:val="left" w:pos="3420"/>
          <w:tab w:val="right" w:pos="8640"/>
        </w:tabs>
        <w:spacing w:before="0" w:after="0"/>
        <w:ind w:left="3420" w:hanging="2700"/>
      </w:pPr>
      <w:r>
        <w:t xml:space="preserve">Organizational Program:  </w:t>
      </w:r>
      <w:r w:rsidRPr="008C182E">
        <w:rPr>
          <w:b/>
        </w:rPr>
        <w:t>Antitrust Division’s Enforcement Programs</w:t>
      </w:r>
    </w:p>
    <w:p w:rsidR="003A205F" w:rsidRDefault="003A205F" w:rsidP="003A205F">
      <w:pPr>
        <w:pStyle w:val="xl19"/>
        <w:tabs>
          <w:tab w:val="left" w:pos="3420"/>
          <w:tab w:val="right" w:pos="8640"/>
        </w:tabs>
        <w:spacing w:before="0" w:after="0"/>
        <w:ind w:left="3420" w:hanging="2700"/>
      </w:pPr>
    </w:p>
    <w:p w:rsidR="003A205F" w:rsidRDefault="003A205F" w:rsidP="003A205F">
      <w:pPr>
        <w:pStyle w:val="xl19"/>
        <w:tabs>
          <w:tab w:val="left" w:pos="3420"/>
          <w:tab w:val="right" w:pos="4230"/>
        </w:tabs>
        <w:spacing w:before="0" w:after="0"/>
        <w:ind w:left="3420" w:hanging="2700"/>
      </w:pPr>
      <w:r>
        <w:t>Component Ranking of Item:</w:t>
      </w:r>
      <w:r>
        <w:tab/>
        <w:t xml:space="preserve">           </w:t>
      </w:r>
      <w:r w:rsidRPr="008C182E">
        <w:rPr>
          <w:b/>
        </w:rPr>
        <w:t xml:space="preserve">1    </w:t>
      </w:r>
    </w:p>
    <w:p w:rsidR="003A205F" w:rsidRDefault="003A205F" w:rsidP="003A205F">
      <w:pPr>
        <w:pStyle w:val="xl19"/>
        <w:spacing w:before="0" w:after="0"/>
        <w:ind w:left="720"/>
        <w:rPr>
          <w:rFonts w:eastAsia="Times New Roman"/>
        </w:rPr>
      </w:pPr>
    </w:p>
    <w:p w:rsidR="003A205F" w:rsidRPr="008C182E" w:rsidRDefault="003A205F" w:rsidP="003A205F">
      <w:pPr>
        <w:pStyle w:val="xl19"/>
        <w:tabs>
          <w:tab w:val="left" w:pos="2340"/>
          <w:tab w:val="right" w:pos="3060"/>
          <w:tab w:val="left" w:pos="3600"/>
          <w:tab w:val="right" w:pos="4500"/>
          <w:tab w:val="left" w:pos="5310"/>
          <w:tab w:val="right" w:pos="6300"/>
        </w:tabs>
        <w:spacing w:before="0" w:after="0"/>
        <w:ind w:left="720"/>
        <w:rPr>
          <w:rFonts w:eastAsia="Times New Roman"/>
          <w:b/>
          <w:u w:val="single"/>
        </w:rPr>
      </w:pPr>
      <w:r>
        <w:rPr>
          <w:rFonts w:eastAsia="Times New Roman"/>
        </w:rPr>
        <w:t xml:space="preserve">Program Reduction:  </w:t>
      </w:r>
      <w:proofErr w:type="gramStart"/>
      <w:r>
        <w:rPr>
          <w:rFonts w:eastAsia="Times New Roman"/>
        </w:rPr>
        <w:t xml:space="preserve">Positions </w:t>
      </w:r>
      <w:r w:rsidR="000A50F8">
        <w:rPr>
          <w:rFonts w:eastAsia="Times New Roman"/>
          <w:b/>
          <w:u w:val="single"/>
        </w:rPr>
        <w:t xml:space="preserve"> -</w:t>
      </w:r>
      <w:proofErr w:type="gramEnd"/>
      <w:r w:rsidR="000A50F8">
        <w:rPr>
          <w:rFonts w:eastAsia="Times New Roman"/>
          <w:b/>
          <w:u w:val="single"/>
        </w:rPr>
        <w:t>5</w:t>
      </w:r>
      <w:r>
        <w:rPr>
          <w:rFonts w:eastAsia="Times New Roman"/>
          <w:b/>
          <w:u w:val="single"/>
        </w:rPr>
        <w:t>0</w:t>
      </w:r>
      <w:r w:rsidRPr="008C182E">
        <w:rPr>
          <w:rFonts w:eastAsia="Times New Roman"/>
          <w:b/>
          <w:u w:val="single"/>
        </w:rPr>
        <w:t xml:space="preserve"> </w:t>
      </w:r>
      <w:r w:rsidRPr="008C182E">
        <w:rPr>
          <w:rFonts w:eastAsia="Times New Roman"/>
          <w:u w:val="single"/>
        </w:rPr>
        <w:t xml:space="preserve"> </w:t>
      </w:r>
      <w:r>
        <w:rPr>
          <w:rFonts w:eastAsia="Times New Roman"/>
        </w:rPr>
        <w:t xml:space="preserve"> Atty </w:t>
      </w:r>
      <w:r>
        <w:rPr>
          <w:rFonts w:eastAsia="Times New Roman"/>
          <w:b/>
          <w:u w:val="single"/>
        </w:rPr>
        <w:t xml:space="preserve"> -10 </w:t>
      </w:r>
      <w:r>
        <w:rPr>
          <w:rFonts w:eastAsia="Times New Roman"/>
        </w:rPr>
        <w:t xml:space="preserve"> FTE </w:t>
      </w:r>
      <w:r w:rsidR="000A50F8">
        <w:rPr>
          <w:rFonts w:eastAsia="Times New Roman"/>
          <w:b/>
          <w:u w:val="single"/>
        </w:rPr>
        <w:t xml:space="preserve"> </w:t>
      </w:r>
      <w:r>
        <w:rPr>
          <w:rFonts w:eastAsia="Times New Roman"/>
          <w:b/>
          <w:u w:val="single"/>
        </w:rPr>
        <w:t xml:space="preserve">0 </w:t>
      </w:r>
      <w:r>
        <w:rPr>
          <w:rFonts w:eastAsia="Times New Roman"/>
        </w:rPr>
        <w:t xml:space="preserve"> Dollars </w:t>
      </w:r>
      <w:r>
        <w:rPr>
          <w:rFonts w:eastAsia="Times New Roman"/>
          <w:b/>
          <w:u w:val="single"/>
        </w:rPr>
        <w:t>$0</w:t>
      </w:r>
    </w:p>
    <w:p w:rsidR="003A205F" w:rsidRDefault="003A205F" w:rsidP="003A205F">
      <w:pPr>
        <w:pStyle w:val="xl24"/>
        <w:spacing w:before="0" w:after="0"/>
        <w:ind w:left="720"/>
        <w:rPr>
          <w:rFonts w:eastAsia="Times New Roman"/>
          <w:b/>
          <w:szCs w:val="24"/>
        </w:rPr>
      </w:pPr>
    </w:p>
    <w:p w:rsidR="003A205F" w:rsidRPr="00AD1E83" w:rsidRDefault="003A205F" w:rsidP="003A205F">
      <w:pPr>
        <w:pStyle w:val="xl24"/>
        <w:spacing w:before="0" w:after="0"/>
        <w:ind w:left="720"/>
        <w:rPr>
          <w:rFonts w:eastAsia="Times New Roman"/>
          <w:b/>
          <w:szCs w:val="24"/>
        </w:rPr>
      </w:pPr>
      <w:r w:rsidRPr="00AD1E83">
        <w:rPr>
          <w:rFonts w:eastAsia="Times New Roman"/>
          <w:b/>
          <w:szCs w:val="24"/>
        </w:rPr>
        <w:t>Description of Item</w:t>
      </w:r>
    </w:p>
    <w:p w:rsidR="003A205F" w:rsidRDefault="003A205F" w:rsidP="003A205F">
      <w:pPr>
        <w:ind w:left="720"/>
      </w:pPr>
    </w:p>
    <w:p w:rsidR="00D511A0" w:rsidRPr="00D511A0" w:rsidRDefault="00D511A0" w:rsidP="00127807">
      <w:pPr>
        <w:ind w:left="720"/>
        <w:jc w:val="both"/>
      </w:pPr>
      <w:r w:rsidRPr="00D511A0">
        <w:t xml:space="preserve">As part of the Department’s evaluation of processes to find the most efficient management of resources, this program change </w:t>
      </w:r>
      <w:r w:rsidR="00375F6A">
        <w:t>realigns FTP numbers with current staffing levels</w:t>
      </w:r>
      <w:r w:rsidRPr="00D511A0">
        <w:t>.</w:t>
      </w:r>
    </w:p>
    <w:p w:rsidR="00B979E8" w:rsidRDefault="00B979E8" w:rsidP="003A205F">
      <w:pPr>
        <w:ind w:left="720"/>
      </w:pPr>
    </w:p>
    <w:p w:rsidR="001D071A" w:rsidRPr="00614967" w:rsidRDefault="001D071A" w:rsidP="001D071A">
      <w:pPr>
        <w:ind w:left="720"/>
        <w:rPr>
          <w:b/>
          <w:u w:val="single"/>
        </w:rPr>
      </w:pPr>
      <w:r w:rsidRPr="00614967">
        <w:rPr>
          <w:b/>
          <w:u w:val="single"/>
        </w:rPr>
        <w:t>Impact on Performance</w:t>
      </w:r>
    </w:p>
    <w:p w:rsidR="001D071A" w:rsidRPr="00614967" w:rsidRDefault="001D071A" w:rsidP="001D071A">
      <w:pPr>
        <w:ind w:left="720"/>
        <w:rPr>
          <w:b/>
          <w:u w:val="single"/>
        </w:rPr>
      </w:pPr>
    </w:p>
    <w:p w:rsidR="001D071A" w:rsidRPr="00614967" w:rsidRDefault="001D071A" w:rsidP="001D071A">
      <w:pPr>
        <w:ind w:left="720"/>
      </w:pPr>
      <w:r w:rsidRPr="00614967">
        <w:t>The impact on performance for this program change is minimal as it removes only authorized positions that the Antitrust Division is not currently able to fund.  With this change, the Division expects to meet all performance goals and enforce its mission.  In addition, the Division expects to fully comply with all legally mandated requirements and deadlines.</w:t>
      </w:r>
    </w:p>
    <w:p w:rsidR="001D071A" w:rsidRDefault="001D071A" w:rsidP="003A205F">
      <w:pPr>
        <w:ind w:left="720"/>
        <w:sectPr w:rsidR="001D071A" w:rsidSect="001D071A">
          <w:endnotePr>
            <w:numFmt w:val="decimal"/>
          </w:endnotePr>
          <w:pgSz w:w="12240" w:h="15840" w:code="1"/>
          <w:pgMar w:top="864" w:right="1440" w:bottom="245" w:left="1440" w:header="0" w:footer="288" w:gutter="0"/>
          <w:cols w:space="720"/>
          <w:noEndnote/>
        </w:sectPr>
      </w:pPr>
    </w:p>
    <w:p w:rsidR="001B3FFF" w:rsidRDefault="00E86630" w:rsidP="007E2C6B">
      <w:pPr>
        <w:pStyle w:val="xl19"/>
        <w:tabs>
          <w:tab w:val="left" w:pos="-1260"/>
          <w:tab w:val="right" w:pos="8640"/>
        </w:tabs>
        <w:spacing w:before="0" w:after="0"/>
        <w:ind w:left="-1440"/>
        <w:rPr>
          <w:rFonts w:ascii="Bookman Old Style" w:hAnsi="Bookman Old Style"/>
          <w:b/>
          <w:bCs/>
          <w:noProof/>
          <w:sz w:val="32"/>
          <w:szCs w:val="32"/>
        </w:rPr>
      </w:pPr>
      <w:r>
        <w:rPr>
          <w:u w:val="single"/>
        </w:rPr>
        <w:t xml:space="preserve"> </w:t>
      </w:r>
    </w:p>
    <w:p w:rsidR="003B05E5" w:rsidRDefault="003B05E5" w:rsidP="00F948FA">
      <w:pPr>
        <w:pStyle w:val="TOC1"/>
      </w:pPr>
      <w:bookmarkStart w:id="189" w:name="_Toc349640476"/>
      <w:bookmarkEnd w:id="148"/>
      <w:bookmarkEnd w:id="187"/>
      <w:bookmarkEnd w:id="188"/>
      <w:r>
        <w:t>V</w:t>
      </w:r>
      <w:r w:rsidR="006642D3">
        <w:t>I</w:t>
      </w:r>
      <w:r>
        <w:t>.  Exhibits</w:t>
      </w:r>
      <w:bookmarkEnd w:id="189"/>
    </w:p>
    <w:p w:rsidR="003B05E5" w:rsidRDefault="003B05E5">
      <w:pPr>
        <w:pStyle w:val="Header"/>
        <w:tabs>
          <w:tab w:val="clear" w:pos="4320"/>
          <w:tab w:val="clear" w:pos="8640"/>
        </w:tabs>
      </w:pPr>
    </w:p>
    <w:sectPr w:rsidR="003B05E5" w:rsidSect="0054642A">
      <w:footerReference w:type="default" r:id="rId61"/>
      <w:endnotePr>
        <w:numFmt w:val="decimal"/>
      </w:endnotePr>
      <w:pgSz w:w="15840" w:h="12240" w:orient="landscape" w:code="1"/>
      <w:pgMar w:top="720" w:right="1440" w:bottom="1440" w:left="1440" w:header="0" w:footer="288"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476" w:rsidRDefault="00145476">
      <w:r>
        <w:separator/>
      </w:r>
    </w:p>
  </w:endnote>
  <w:endnote w:type="continuationSeparator" w:id="0">
    <w:p w:rsidR="00145476" w:rsidRDefault="001454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WP IconicSymbolsA">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WP TypographicSymbols">
    <w:altName w:val="Courier"/>
    <w:panose1 w:val="000004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Lato">
    <w:altName w:val="Times New Roman"/>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tabs>
        <w:tab w:val="clear" w:pos="8640"/>
        <w:tab w:val="right" w:pos="9360"/>
        <w:tab w:val="left" w:pos="12150"/>
      </w:tabs>
      <w:jc w:val="center"/>
    </w:pPr>
    <w:r>
      <w:tab/>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B41A4D">
      <w:rPr>
        <w:rStyle w:val="PageNumber"/>
        <w:noProof/>
      </w:rPr>
      <w:t>45</w:t>
    </w:r>
    <w:r w:rsidR="00DD5825">
      <w:rPr>
        <w:rStyle w:val="PageNumber"/>
      </w:rPr>
      <w:fldChar w:fldCharType="end"/>
    </w:r>
    <w:r>
      <w:tab/>
    </w:r>
    <w:r>
      <w:tab/>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B41A4D">
      <w:rPr>
        <w:rStyle w:val="PageNumber"/>
        <w:noProof/>
      </w:rPr>
      <w:t>45</w:t>
    </w:r>
    <w:r w:rsidR="00DD5825">
      <w:rPr>
        <w:rStyle w:val="PageNumber"/>
      </w:rPr>
      <w:fldChar w:fldCharType="end"/>
    </w:r>
  </w:p>
  <w:p w:rsidR="00145476" w:rsidRDefault="00DD5825">
    <w:pPr>
      <w:pStyle w:val="Footer"/>
    </w:pPr>
    <w:r w:rsidRPr="00DD5825">
      <w:rPr>
        <w:noProof/>
        <w:sz w:val="20"/>
      </w:rPr>
      <w:pict>
        <v:line id="_x0000_s2092" style="position:absolute;z-index:251667456;mso-wrap-distance-top:36pt" from="1.05pt,-19pt" to="469.05pt,-19pt" stroked="f">
          <w10:wrap type="square" side="left"/>
        </v:line>
      </w:pict>
    </w:r>
    <w:r w:rsidRPr="00DD5825">
      <w:rPr>
        <w:noProof/>
        <w:sz w:val="20"/>
      </w:rPr>
      <w:pict>
        <v:line id="_x0000_s2091" style="position:absolute;z-index:251666432;mso-wrap-distance-top:36pt" from="1.05pt,-19pt" to="469.05pt,-19pt" stroked="f">
          <w10:wrap type="square" side="left"/>
        </v:line>
      </w:pict>
    </w:r>
    <w:r w:rsidRPr="00DD5825">
      <w:rPr>
        <w:noProof/>
        <w:sz w:val="20"/>
      </w:rPr>
      <w:pict>
        <v:line id="_x0000_s2090" style="position:absolute;z-index:251665408;mso-wrap-distance-top:36pt" from="1.05pt,-13pt" to="469.05pt,-13pt" stroked="f">
          <w10:wrap type="square" side="left"/>
        </v:line>
      </w:pict>
    </w:r>
    <w:r w:rsidRPr="00DD5825">
      <w:rPr>
        <w:noProof/>
        <w:sz w:val="20"/>
      </w:rPr>
      <w:pict>
        <v:line id="_x0000_s2089" style="position:absolute;z-index:251664384;mso-wrap-distance-top:36pt" from="1.05pt,-13pt" to="469.05pt,-13pt" stroked="f">
          <w10:wrap type="square" side="left"/>
        </v:lin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DD5825">
    <w:pPr>
      <w:pStyle w:val="Footer"/>
      <w:tabs>
        <w:tab w:val="clear" w:pos="4320"/>
        <w:tab w:val="center" w:pos="6480"/>
      </w:tabs>
      <w:jc w:val="center"/>
    </w:pPr>
    <w:r>
      <w:rPr>
        <w:rStyle w:val="PageNumber"/>
      </w:rPr>
      <w:fldChar w:fldCharType="begin"/>
    </w:r>
    <w:r w:rsidR="00145476">
      <w:rPr>
        <w:rStyle w:val="PageNumber"/>
      </w:rPr>
      <w:instrText xml:space="preserve"> PAGE </w:instrText>
    </w:r>
    <w:r>
      <w:rPr>
        <w:rStyle w:val="PageNumber"/>
      </w:rPr>
      <w:fldChar w:fldCharType="separate"/>
    </w:r>
    <w:r w:rsidR="00B41A4D">
      <w:rPr>
        <w:rStyle w:val="PageNumber"/>
        <w:noProof/>
      </w:rPr>
      <w:t>46</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tabs>
        <w:tab w:val="clear" w:pos="8640"/>
        <w:tab w:val="right" w:pos="9360"/>
        <w:tab w:val="left" w:pos="12150"/>
      </w:tabs>
    </w:pPr>
    <w:r>
      <w:tab/>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C6287F">
      <w:rPr>
        <w:rStyle w:val="PageNumber"/>
        <w:noProof/>
      </w:rPr>
      <w:t>6</w:t>
    </w:r>
    <w:r w:rsidR="00DD5825">
      <w:rPr>
        <w:rStyle w:val="PageNumber"/>
      </w:rPr>
      <w:fldChar w:fldCharType="end"/>
    </w:r>
  </w:p>
  <w:p w:rsidR="00145476" w:rsidRDefault="00DD5825">
    <w:pPr>
      <w:pStyle w:val="Footer"/>
    </w:pPr>
    <w:r w:rsidRPr="00DD5825">
      <w:rPr>
        <w:noProof/>
        <w:sz w:val="20"/>
      </w:rPr>
      <w:pict>
        <v:line id="_x0000_s2052" style="position:absolute;z-index:251642880;mso-wrap-distance-top:36pt" from="1.05pt,-19pt" to="469.05pt,-19pt" stroked="f">
          <w10:wrap type="square" side="left"/>
        </v:line>
      </w:pict>
    </w:r>
    <w:r w:rsidRPr="00DD5825">
      <w:rPr>
        <w:noProof/>
        <w:sz w:val="20"/>
      </w:rPr>
      <w:pict>
        <v:line id="_x0000_s2051" style="position:absolute;z-index:251641856;mso-wrap-distance-top:36pt" from="1.05pt,-19pt" to="469.05pt,-19pt" stroked="f">
          <w10:wrap type="square" side="left"/>
        </v:line>
      </w:pict>
    </w:r>
    <w:r w:rsidRPr="00DD5825">
      <w:rPr>
        <w:noProof/>
        <w:sz w:val="20"/>
      </w:rPr>
      <w:pict>
        <v:line id="_x0000_s2050" style="position:absolute;z-index:251640832;mso-wrap-distance-top:36pt" from="1.05pt,-13pt" to="469.05pt,-13pt" stroked="f">
          <w10:wrap type="square" side="left"/>
        </v:line>
      </w:pict>
    </w:r>
    <w:r w:rsidRPr="00DD5825">
      <w:rPr>
        <w:noProof/>
        <w:sz w:val="20"/>
      </w:rPr>
      <w:pict>
        <v:line id="_x0000_s2049" style="position:absolute;z-index:251639808;mso-wrap-distance-top:36pt" from="1.05pt,-13pt" to="469.05pt,-13pt" stroked="f">
          <w10:wrap type="square" side="left"/>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tabs>
        <w:tab w:val="clear" w:pos="8640"/>
        <w:tab w:val="right" w:pos="9360"/>
        <w:tab w:val="left" w:pos="12150"/>
      </w:tabs>
    </w:pPr>
    <w:r>
      <w:tab/>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B41A4D">
      <w:rPr>
        <w:rStyle w:val="PageNumber"/>
        <w:noProof/>
      </w:rPr>
      <w:t>16</w:t>
    </w:r>
    <w:r w:rsidR="00DD5825">
      <w:rPr>
        <w:rStyle w:val="PageNumber"/>
      </w:rPr>
      <w:fldChar w:fldCharType="end"/>
    </w:r>
  </w:p>
  <w:p w:rsidR="00145476" w:rsidRDefault="00DD5825">
    <w:pPr>
      <w:pStyle w:val="Footer"/>
    </w:pPr>
    <w:r w:rsidRPr="00DD5825">
      <w:rPr>
        <w:noProof/>
        <w:sz w:val="20"/>
      </w:rPr>
      <w:pict>
        <v:line id="_x0000_s2056" style="position:absolute;z-index:251646976;mso-wrap-distance-top:36pt" from="1.05pt,-19pt" to="469.05pt,-19pt" stroked="f">
          <w10:wrap type="square" side="left"/>
        </v:line>
      </w:pict>
    </w:r>
    <w:r w:rsidRPr="00DD5825">
      <w:rPr>
        <w:noProof/>
        <w:sz w:val="20"/>
      </w:rPr>
      <w:pict>
        <v:line id="_x0000_s2055" style="position:absolute;z-index:251645952;mso-wrap-distance-top:36pt" from="1.05pt,-19pt" to="469.05pt,-19pt" stroked="f">
          <w10:wrap type="square" side="left"/>
        </v:line>
      </w:pict>
    </w:r>
    <w:r w:rsidRPr="00DD5825">
      <w:rPr>
        <w:noProof/>
        <w:sz w:val="20"/>
      </w:rPr>
      <w:pict>
        <v:line id="_x0000_s2054" style="position:absolute;z-index:251644928;mso-wrap-distance-top:36pt" from="1.05pt,-13pt" to="469.05pt,-13pt" stroked="f">
          <w10:wrap type="square" side="left"/>
        </v:line>
      </w:pict>
    </w:r>
    <w:r w:rsidRPr="00DD5825">
      <w:rPr>
        <w:noProof/>
        <w:sz w:val="20"/>
      </w:rPr>
      <w:pict>
        <v:line id="_x0000_s2053" style="position:absolute;z-index:251643904;mso-wrap-distance-top:36pt" from="1.05pt,-13pt" to="469.05pt,-13pt" stroked="f">
          <w10:wrap type="square" side="left"/>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tabs>
        <w:tab w:val="clear" w:pos="8640"/>
        <w:tab w:val="right" w:pos="9360"/>
        <w:tab w:val="left" w:pos="12150"/>
      </w:tabs>
      <w:jc w:val="center"/>
    </w:pPr>
    <w:r>
      <w:tab/>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C6287F">
      <w:rPr>
        <w:rStyle w:val="PageNumber"/>
        <w:noProof/>
      </w:rPr>
      <w:t>18</w:t>
    </w:r>
    <w:r w:rsidR="00DD5825">
      <w:rPr>
        <w:rStyle w:val="PageNumber"/>
      </w:rPr>
      <w:fldChar w:fldCharType="end"/>
    </w:r>
    <w:r>
      <w:tab/>
    </w:r>
    <w:r>
      <w:tab/>
    </w:r>
    <w:r>
      <w:tab/>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C6287F">
      <w:rPr>
        <w:rStyle w:val="PageNumber"/>
        <w:noProof/>
      </w:rPr>
      <w:t>18</w:t>
    </w:r>
    <w:r w:rsidR="00DD5825">
      <w:rPr>
        <w:rStyle w:val="PageNumber"/>
      </w:rPr>
      <w:fldChar w:fldCharType="end"/>
    </w:r>
  </w:p>
  <w:p w:rsidR="00145476" w:rsidRDefault="00DD5825">
    <w:pPr>
      <w:pStyle w:val="Footer"/>
    </w:pPr>
    <w:r w:rsidRPr="00DD5825">
      <w:rPr>
        <w:noProof/>
        <w:sz w:val="20"/>
      </w:rPr>
      <w:pict>
        <v:line id="_x0000_s2100" style="position:absolute;z-index:251675648;mso-wrap-distance-top:36pt" from="1.05pt,-19pt" to="469.05pt,-19pt" stroked="f">
          <w10:wrap type="square" side="left"/>
        </v:line>
      </w:pict>
    </w:r>
    <w:r w:rsidRPr="00DD5825">
      <w:rPr>
        <w:noProof/>
        <w:sz w:val="20"/>
      </w:rPr>
      <w:pict>
        <v:line id="_x0000_s2099" style="position:absolute;z-index:251674624;mso-wrap-distance-top:36pt" from="1.05pt,-19pt" to="469.05pt,-19pt" stroked="f">
          <w10:wrap type="square" side="left"/>
        </v:line>
      </w:pict>
    </w:r>
    <w:r w:rsidRPr="00DD5825">
      <w:rPr>
        <w:noProof/>
        <w:sz w:val="20"/>
      </w:rPr>
      <w:pict>
        <v:line id="_x0000_s2098" style="position:absolute;z-index:251673600;mso-wrap-distance-top:36pt" from="1.05pt,-13pt" to="469.05pt,-13pt" stroked="f">
          <w10:wrap type="square" side="left"/>
        </v:line>
      </w:pict>
    </w:r>
    <w:r w:rsidRPr="00DD5825">
      <w:rPr>
        <w:noProof/>
        <w:sz w:val="20"/>
      </w:rPr>
      <w:pict>
        <v:line id="_x0000_s2097" style="position:absolute;z-index:251672576;mso-wrap-distance-top:36pt" from="1.05pt,-13pt" to="469.05pt,-13pt" stroked="f">
          <w10:wrap type="square" side="left"/>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tabs>
        <w:tab w:val="clear" w:pos="8640"/>
        <w:tab w:val="right" w:pos="9360"/>
        <w:tab w:val="left" w:pos="12150"/>
      </w:tabs>
      <w:jc w:val="center"/>
    </w:pPr>
    <w:r>
      <w:tab/>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C6287F">
      <w:rPr>
        <w:rStyle w:val="PageNumber"/>
        <w:noProof/>
      </w:rPr>
      <w:t>20</w:t>
    </w:r>
    <w:r w:rsidR="00DD5825">
      <w:rPr>
        <w:rStyle w:val="PageNumber"/>
      </w:rPr>
      <w:fldChar w:fldCharType="end"/>
    </w:r>
    <w:r>
      <w:tab/>
    </w:r>
    <w:r>
      <w:tab/>
    </w:r>
    <w:r>
      <w:tab/>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C6287F">
      <w:rPr>
        <w:rStyle w:val="PageNumber"/>
        <w:noProof/>
      </w:rPr>
      <w:t>20</w:t>
    </w:r>
    <w:r w:rsidR="00DD5825">
      <w:rPr>
        <w:rStyle w:val="PageNumber"/>
      </w:rPr>
      <w:fldChar w:fldCharType="end"/>
    </w:r>
  </w:p>
  <w:p w:rsidR="00145476" w:rsidRDefault="00DD5825">
    <w:pPr>
      <w:pStyle w:val="Footer"/>
    </w:pPr>
    <w:r w:rsidRPr="00DD5825">
      <w:rPr>
        <w:noProof/>
        <w:sz w:val="20"/>
      </w:rPr>
      <w:pict>
        <v:line id="_x0000_s2096" style="position:absolute;z-index:251671552;mso-wrap-distance-top:36pt" from="1.05pt,-19pt" to="469.05pt,-19pt" stroked="f">
          <w10:wrap type="square" side="left"/>
        </v:line>
      </w:pict>
    </w:r>
    <w:r w:rsidRPr="00DD5825">
      <w:rPr>
        <w:noProof/>
        <w:sz w:val="20"/>
      </w:rPr>
      <w:pict>
        <v:line id="_x0000_s2095" style="position:absolute;z-index:251670528;mso-wrap-distance-top:36pt" from="1.05pt,-19pt" to="469.05pt,-19pt" stroked="f">
          <w10:wrap type="square" side="left"/>
        </v:line>
      </w:pict>
    </w:r>
    <w:r w:rsidRPr="00DD5825">
      <w:rPr>
        <w:noProof/>
        <w:sz w:val="20"/>
      </w:rPr>
      <w:pict>
        <v:line id="_x0000_s2094" style="position:absolute;z-index:251669504;mso-wrap-distance-top:36pt" from="1.05pt,-13pt" to="469.05pt,-13pt" stroked="f">
          <w10:wrap type="square" side="left"/>
        </v:line>
      </w:pict>
    </w:r>
    <w:r w:rsidRPr="00DD5825">
      <w:rPr>
        <w:noProof/>
        <w:sz w:val="20"/>
      </w:rPr>
      <w:pict>
        <v:line id="_x0000_s2093" style="position:absolute;z-index:251668480;mso-wrap-distance-top:36pt" from="1.05pt,-13pt" to="469.05pt,-13pt" stroked="f">
          <w10:wrap type="square" side="left"/>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DD5825">
    <w:pPr>
      <w:pStyle w:val="Footer"/>
      <w:tabs>
        <w:tab w:val="clear" w:pos="8640"/>
        <w:tab w:val="right" w:pos="12960"/>
      </w:tabs>
      <w:ind w:right="720"/>
      <w:jc w:val="center"/>
    </w:pPr>
    <w:r w:rsidRPr="00DD5825">
      <w:rPr>
        <w:noProof/>
        <w:sz w:val="20"/>
      </w:rPr>
      <w:pict>
        <v:line id="_x0000_s2068" style="position:absolute;left:0;text-align:left;z-index:251655168;mso-wrap-distance-top:36pt" from="1.05pt,-19pt" to="469.05pt,-19pt" stroked="f">
          <w10:wrap type="square" side="left"/>
        </v:line>
      </w:pict>
    </w:r>
    <w:r w:rsidRPr="00DD5825">
      <w:rPr>
        <w:noProof/>
        <w:sz w:val="20"/>
      </w:rPr>
      <w:pict>
        <v:line id="_x0000_s2067" style="position:absolute;left:0;text-align:left;z-index:251654144;mso-wrap-distance-top:36pt" from="1.05pt,-19pt" to="469.05pt,-19pt" stroked="f">
          <w10:wrap type="square" side="left"/>
        </v:line>
      </w:pict>
    </w:r>
    <w:r w:rsidRPr="00DD5825">
      <w:rPr>
        <w:noProof/>
        <w:sz w:val="20"/>
      </w:rPr>
      <w:pict>
        <v:line id="_x0000_s2066" style="position:absolute;left:0;text-align:left;z-index:251653120;mso-wrap-distance-top:36pt" from="1.05pt,-13pt" to="469.05pt,-13pt" stroked="f">
          <w10:wrap type="square" side="left"/>
        </v:line>
      </w:pict>
    </w:r>
    <w:r w:rsidRPr="00DD5825">
      <w:rPr>
        <w:noProof/>
        <w:sz w:val="20"/>
      </w:rPr>
      <w:pict>
        <v:line id="_x0000_s2065" style="position:absolute;left:0;text-align:left;z-index:251652096;mso-wrap-distance-top:36pt" from="1.05pt,-13pt" to="469.05pt,-13pt" stroked="f">
          <w10:wrap type="square" side="left"/>
        </v:line>
      </w:pict>
    </w:r>
    <w:r w:rsidR="00145476">
      <w:t xml:space="preserve">Page </w:t>
    </w:r>
    <w:r>
      <w:rPr>
        <w:rStyle w:val="PageNumber"/>
      </w:rPr>
      <w:fldChar w:fldCharType="begin"/>
    </w:r>
    <w:r w:rsidR="00145476">
      <w:rPr>
        <w:rStyle w:val="PageNumber"/>
      </w:rPr>
      <w:instrText xml:space="preserve"> PAGE </w:instrText>
    </w:r>
    <w:r>
      <w:rPr>
        <w:rStyle w:val="PageNumber"/>
      </w:rPr>
      <w:fldChar w:fldCharType="separate"/>
    </w:r>
    <w:r w:rsidR="00C6287F">
      <w:rPr>
        <w:rStyle w:val="PageNumber"/>
        <w:noProof/>
      </w:rPr>
      <w:t>29</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Footer"/>
      <w:tabs>
        <w:tab w:val="clear" w:pos="8640"/>
        <w:tab w:val="right" w:pos="9360"/>
        <w:tab w:val="left" w:pos="12150"/>
      </w:tabs>
      <w:jc w:val="center"/>
    </w:pPr>
    <w:r>
      <w:t xml:space="preserve">Page </w:t>
    </w:r>
    <w:r w:rsidR="00DD5825">
      <w:rPr>
        <w:rStyle w:val="PageNumber"/>
      </w:rPr>
      <w:fldChar w:fldCharType="begin"/>
    </w:r>
    <w:r>
      <w:rPr>
        <w:rStyle w:val="PageNumber"/>
      </w:rPr>
      <w:instrText xml:space="preserve"> PAGE </w:instrText>
    </w:r>
    <w:r w:rsidR="00DD5825">
      <w:rPr>
        <w:rStyle w:val="PageNumber"/>
      </w:rPr>
      <w:fldChar w:fldCharType="separate"/>
    </w:r>
    <w:r w:rsidR="00C6287F">
      <w:rPr>
        <w:rStyle w:val="PageNumber"/>
        <w:noProof/>
      </w:rPr>
      <w:t>40</w:t>
    </w:r>
    <w:r w:rsidR="00DD5825">
      <w:rPr>
        <w:rStyle w:val="PageNumber"/>
      </w:rPr>
      <w:fldChar w:fldCharType="end"/>
    </w:r>
  </w:p>
  <w:p w:rsidR="00145476" w:rsidRDefault="00DD5825">
    <w:pPr>
      <w:pStyle w:val="Footer"/>
    </w:pPr>
    <w:r w:rsidRPr="00DD5825">
      <w:rPr>
        <w:noProof/>
        <w:sz w:val="20"/>
      </w:rPr>
      <w:pict>
        <v:line id="_x0000_s2064" style="position:absolute;z-index:251651072;mso-wrap-distance-top:36pt" from="1.05pt,-19pt" to="469.05pt,-19pt" stroked="f">
          <w10:wrap type="square" side="left"/>
        </v:line>
      </w:pict>
    </w:r>
    <w:r w:rsidRPr="00DD5825">
      <w:rPr>
        <w:noProof/>
        <w:sz w:val="20"/>
      </w:rPr>
      <w:pict>
        <v:line id="_x0000_s2063" style="position:absolute;z-index:251650048;mso-wrap-distance-top:36pt" from="1.05pt,-19pt" to="469.05pt,-19pt" stroked="f">
          <w10:wrap type="square" side="left"/>
        </v:line>
      </w:pict>
    </w:r>
    <w:r w:rsidRPr="00DD5825">
      <w:rPr>
        <w:noProof/>
        <w:sz w:val="20"/>
      </w:rPr>
      <w:pict>
        <v:line id="_x0000_s2062" style="position:absolute;z-index:251649024;mso-wrap-distance-top:36pt" from="1.05pt,-13pt" to="469.05pt,-13pt" stroked="f">
          <w10:wrap type="square" side="left"/>
        </v:line>
      </w:pict>
    </w:r>
    <w:r w:rsidRPr="00DD5825">
      <w:rPr>
        <w:noProof/>
        <w:sz w:val="20"/>
      </w:rPr>
      <w:pict>
        <v:line id="_x0000_s2061" style="position:absolute;z-index:251648000;mso-wrap-distance-top:36pt" from="1.05pt,-13pt" to="469.05pt,-13pt" stroked="f">
          <w10:wrap type="square" side="left"/>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476" w:rsidRDefault="00145476">
      <w:r>
        <w:separator/>
      </w:r>
    </w:p>
  </w:footnote>
  <w:footnote w:type="continuationSeparator" w:id="0">
    <w:p w:rsidR="00145476" w:rsidRDefault="00145476">
      <w:r>
        <w:continuationSeparator/>
      </w:r>
    </w:p>
  </w:footnote>
  <w:footnote w:id="1">
    <w:p w:rsidR="00145476" w:rsidRDefault="00145476">
      <w:pPr>
        <w:spacing w:after="240"/>
        <w:ind w:right="360"/>
      </w:pPr>
      <w:r>
        <w:rPr>
          <w:rStyle w:val="FootnoteReference"/>
        </w:rPr>
        <w:footnoteRef/>
      </w:r>
      <w:proofErr w:type="gramStart"/>
      <w:r>
        <w:rPr>
          <w:sz w:val="20"/>
          <w:szCs w:val="20"/>
        </w:rPr>
        <w:t xml:space="preserve">United States Department of Commerce, Bureau of Economic Analysis, </w:t>
      </w:r>
      <w:r>
        <w:rPr>
          <w:rFonts w:ascii="WP TypographicSymbols" w:hAnsi="WP TypographicSymbols"/>
          <w:sz w:val="20"/>
          <w:szCs w:val="20"/>
        </w:rPr>
        <w:t>A</w:t>
      </w:r>
      <w:r>
        <w:rPr>
          <w:sz w:val="20"/>
          <w:szCs w:val="20"/>
        </w:rPr>
        <w:t>U.S.</w:t>
      </w:r>
      <w:proofErr w:type="gramEnd"/>
      <w:r>
        <w:rPr>
          <w:sz w:val="20"/>
          <w:szCs w:val="20"/>
        </w:rPr>
        <w:t xml:space="preserve"> International Trade in Goods and Services</w:t>
      </w:r>
      <w:r>
        <w:rPr>
          <w:rFonts w:ascii="WP TypographicSymbols" w:hAnsi="WP TypographicSymbols"/>
          <w:sz w:val="20"/>
          <w:szCs w:val="20"/>
        </w:rPr>
        <w:t>@</w:t>
      </w:r>
      <w:r>
        <w:rPr>
          <w:sz w:val="20"/>
          <w:szCs w:val="20"/>
        </w:rPr>
        <w:t xml:space="preserve">, </w:t>
      </w:r>
      <w:hyperlink r:id="rId1" w:history="1">
        <w:r w:rsidRPr="006E44B1">
          <w:rPr>
            <w:rStyle w:val="Hyperlink"/>
            <w:sz w:val="20"/>
            <w:szCs w:val="20"/>
          </w:rPr>
          <w:t>http://www.bea.gov/newsreleases/international/trade/2012/pdf/trad1012.pdf</w:t>
        </w:r>
      </w:hyperlink>
      <w:r>
        <w:rPr>
          <w:sz w:val="20"/>
          <w:szCs w:val="20"/>
        </w:rPr>
        <w:t>, December 2012.</w:t>
      </w:r>
    </w:p>
  </w:footnote>
  <w:footnote w:id="2">
    <w:p w:rsidR="00145476" w:rsidRDefault="00145476">
      <w:pPr>
        <w:widowControl/>
        <w:rPr>
          <w:sz w:val="16"/>
          <w:szCs w:val="16"/>
          <w:vertAlign w:val="superscript"/>
        </w:rPr>
      </w:pPr>
      <w:r>
        <w:rPr>
          <w:rStyle w:val="FootnoteReference"/>
        </w:rPr>
        <w:t>2</w:t>
      </w:r>
      <w:r>
        <w:rPr>
          <w:vertAlign w:val="superscript"/>
        </w:rPr>
        <w:t xml:space="preserve"> </w:t>
      </w:r>
      <w:r>
        <w:rPr>
          <w:sz w:val="18"/>
        </w:rPr>
        <w:t xml:space="preserve"> </w:t>
      </w:r>
      <w:r>
        <w:rPr>
          <w:sz w:val="16"/>
          <w:szCs w:val="16"/>
        </w:rPr>
        <w:t xml:space="preserve">Connor, John M. “Statistics on Modern Private International Cartels, 1990-2005”, </w:t>
      </w:r>
      <w:r>
        <w:rPr>
          <w:i/>
          <w:iCs/>
          <w:sz w:val="16"/>
          <w:szCs w:val="16"/>
        </w:rPr>
        <w:t>The American Antitrust Institute -  Working Paper 07-01</w:t>
      </w:r>
      <w:r>
        <w:rPr>
          <w:sz w:val="16"/>
          <w:szCs w:val="16"/>
        </w:rPr>
        <w:t>, January 10, 2007.</w:t>
      </w:r>
    </w:p>
    <w:p w:rsidR="00145476" w:rsidRDefault="00145476">
      <w:pPr>
        <w:pStyle w:val="FootnoteText"/>
        <w:rPr>
          <w:sz w:val="18"/>
        </w:rPr>
      </w:pPr>
      <w:r>
        <w:rPr>
          <w:sz w:val="18"/>
        </w:rPr>
        <w:t xml:space="preserve"> </w:t>
      </w:r>
    </w:p>
  </w:footnote>
  <w:footnote w:id="3">
    <w:p w:rsidR="00145476" w:rsidRPr="006D7D3D" w:rsidRDefault="00145476" w:rsidP="006D7D3D">
      <w:pPr>
        <w:rPr>
          <w:rFonts w:ascii="Book Antiqua" w:hAnsi="Book Antiqua"/>
          <w:sz w:val="16"/>
          <w:szCs w:val="16"/>
        </w:rPr>
      </w:pPr>
      <w:r w:rsidRPr="005B72F2">
        <w:rPr>
          <w:rStyle w:val="FootnoteReference"/>
        </w:rPr>
        <w:t>3</w:t>
      </w:r>
      <w:r>
        <w:rPr>
          <w:rFonts w:ascii="Verdana" w:hAnsi="Verdana"/>
          <w:color w:val="4C4C4C"/>
          <w:sz w:val="16"/>
          <w:szCs w:val="16"/>
        </w:rPr>
        <w:t xml:space="preserve">  </w:t>
      </w:r>
      <w:proofErr w:type="spellStart"/>
      <w:r>
        <w:rPr>
          <w:rFonts w:ascii="Book Antiqua" w:hAnsi="Book Antiqua"/>
          <w:sz w:val="16"/>
          <w:szCs w:val="16"/>
        </w:rPr>
        <w:t>Anupreeta</w:t>
      </w:r>
      <w:proofErr w:type="spellEnd"/>
      <w:r>
        <w:rPr>
          <w:rFonts w:ascii="Book Antiqua" w:hAnsi="Book Antiqua"/>
          <w:sz w:val="16"/>
          <w:szCs w:val="16"/>
        </w:rPr>
        <w:t xml:space="preserve"> Das, Dana </w:t>
      </w:r>
      <w:proofErr w:type="spellStart"/>
      <w:r>
        <w:rPr>
          <w:rFonts w:ascii="Book Antiqua" w:hAnsi="Book Antiqua"/>
          <w:sz w:val="16"/>
          <w:szCs w:val="16"/>
        </w:rPr>
        <w:t>Cimilluca</w:t>
      </w:r>
      <w:proofErr w:type="spellEnd"/>
      <w:r>
        <w:rPr>
          <w:rFonts w:ascii="Book Antiqua" w:hAnsi="Book Antiqua"/>
          <w:sz w:val="16"/>
          <w:szCs w:val="16"/>
        </w:rPr>
        <w:t>.  “Same Old, Same Old in the Mergers Arena</w:t>
      </w:r>
      <w:r w:rsidRPr="006D7D3D">
        <w:rPr>
          <w:rFonts w:ascii="Book Antiqua" w:hAnsi="Book Antiqua"/>
          <w:sz w:val="16"/>
          <w:szCs w:val="16"/>
        </w:rPr>
        <w:t xml:space="preserve">”, </w:t>
      </w:r>
      <w:proofErr w:type="gramStart"/>
      <w:r w:rsidRPr="006D7D3D">
        <w:rPr>
          <w:rFonts w:ascii="Book Antiqua" w:hAnsi="Book Antiqua"/>
          <w:i/>
          <w:iCs/>
          <w:sz w:val="16"/>
          <w:szCs w:val="16"/>
        </w:rPr>
        <w:t>The</w:t>
      </w:r>
      <w:proofErr w:type="gramEnd"/>
      <w:r w:rsidRPr="006D7D3D">
        <w:rPr>
          <w:rFonts w:ascii="Book Antiqua" w:hAnsi="Book Antiqua"/>
          <w:i/>
          <w:iCs/>
          <w:sz w:val="16"/>
          <w:szCs w:val="16"/>
        </w:rPr>
        <w:t xml:space="preserve"> Wall Street Journal, </w:t>
      </w:r>
      <w:r>
        <w:rPr>
          <w:rFonts w:ascii="Book Antiqua" w:hAnsi="Book Antiqua"/>
          <w:sz w:val="16"/>
          <w:szCs w:val="16"/>
        </w:rPr>
        <w:t>January 2, 2013, p. R19</w:t>
      </w:r>
      <w:r w:rsidRPr="006D7D3D">
        <w:rPr>
          <w:rFonts w:ascii="Book Antiqua" w:hAnsi="Book Antiqua"/>
          <w:sz w:val="16"/>
          <w:szCs w:val="16"/>
        </w:rPr>
        <w:t>.</w:t>
      </w:r>
    </w:p>
    <w:p w:rsidR="00145476" w:rsidRPr="006D7D3D" w:rsidRDefault="00145476" w:rsidP="006D7D3D">
      <w:pPr>
        <w:shd w:val="clear" w:color="auto" w:fill="FFFFFF"/>
        <w:spacing w:before="66" w:after="66"/>
        <w:ind w:left="90" w:hanging="180"/>
        <w:rPr>
          <w:rFonts w:ascii="Verdana" w:hAnsi="Verdana"/>
          <w:color w:val="4C4C4C"/>
          <w:sz w:val="16"/>
          <w:szCs w:val="16"/>
        </w:rPr>
      </w:pPr>
    </w:p>
    <w:p w:rsidR="00145476" w:rsidRPr="00041394" w:rsidRDefault="00145476" w:rsidP="00CE538B">
      <w:pPr>
        <w:shd w:val="clear" w:color="auto" w:fill="FFFFFF"/>
        <w:spacing w:before="66" w:after="66"/>
        <w:ind w:left="90" w:hanging="180"/>
        <w:rPr>
          <w:rFonts w:ascii="Verdana" w:hAnsi="Verdana"/>
          <w:color w:val="4C4C4C"/>
          <w:sz w:val="16"/>
          <w:szCs w:val="16"/>
        </w:rPr>
      </w:pPr>
      <w:r>
        <w:rPr>
          <w:rStyle w:val="italic1"/>
          <w:color w:val="000000"/>
          <w:sz w:val="16"/>
          <w:szCs w:val="16"/>
        </w:rPr>
        <w:t xml:space="preserve"> </w:t>
      </w:r>
    </w:p>
    <w:p w:rsidR="00145476" w:rsidRDefault="00145476" w:rsidP="00241E13"/>
  </w:footnote>
  <w:footnote w:id="4">
    <w:p w:rsidR="00145476" w:rsidRDefault="00145476">
      <w:pPr>
        <w:pStyle w:val="FootnoteText"/>
      </w:pPr>
      <w:r w:rsidRPr="005D6126">
        <w:rPr>
          <w:rStyle w:val="FootnoteReference"/>
          <w:sz w:val="24"/>
          <w:szCs w:val="24"/>
        </w:rPr>
        <w:t>4</w:t>
      </w:r>
      <w:r w:rsidRPr="005D6126">
        <w:rPr>
          <w:sz w:val="24"/>
          <w:szCs w:val="24"/>
        </w:rPr>
        <w:t xml:space="preserve"> </w:t>
      </w:r>
      <w:r>
        <w:rPr>
          <w:sz w:val="16"/>
        </w:rPr>
        <w:t xml:space="preserve"> Farrell, Maureen. “M&amp;A Making a Comeback” </w:t>
      </w:r>
      <w:hyperlink r:id="rId2" w:history="1">
        <w:r w:rsidRPr="000B1D64">
          <w:rPr>
            <w:rStyle w:val="Hyperlink"/>
            <w:sz w:val="16"/>
          </w:rPr>
          <w:t>www.cnnmoney.com</w:t>
        </w:r>
      </w:hyperlink>
      <w:r>
        <w:rPr>
          <w:sz w:val="16"/>
        </w:rPr>
        <w:t>, February 14, 2013, retrieved February 25, 2013</w:t>
      </w:r>
      <w:r>
        <w:rPr>
          <w:sz w:val="16"/>
          <w:szCs w:val="16"/>
        </w:rPr>
        <w:t xml:space="preserve">.  </w:t>
      </w:r>
      <w:hyperlink r:id="rId3" w:history="1">
        <w:r w:rsidRPr="000B1D64">
          <w:rPr>
            <w:rStyle w:val="Hyperlink"/>
            <w:sz w:val="16"/>
            <w:szCs w:val="16"/>
          </w:rPr>
          <w:t>http://money.cnn.com/2013/02/12/investing/merger-acquisition/index.html</w:t>
        </w:r>
      </w:hyperlink>
      <w:r>
        <w:rPr>
          <w:sz w:val="16"/>
          <w:szCs w:val="16"/>
        </w:rPr>
        <w:t xml:space="preserve"> </w:t>
      </w:r>
    </w:p>
  </w:footnote>
  <w:footnote w:id="5">
    <w:p w:rsidR="00145476" w:rsidRPr="00FB769F" w:rsidRDefault="00145476" w:rsidP="00FB769F">
      <w:pPr>
        <w:widowControl/>
        <w:rPr>
          <w:rFonts w:ascii="Comic Sans MS" w:hAnsi="Comic Sans MS" w:cs="Comic Sans MS"/>
          <w:sz w:val="16"/>
          <w:szCs w:val="16"/>
        </w:rPr>
      </w:pPr>
      <w:r w:rsidRPr="005D6126">
        <w:rPr>
          <w:rStyle w:val="FootnoteReference"/>
        </w:rPr>
        <w:t>5</w:t>
      </w:r>
      <w:r w:rsidRPr="005D6126">
        <w:t xml:space="preserve"> </w:t>
      </w:r>
      <w:r>
        <w:rPr>
          <w:sz w:val="16"/>
          <w:szCs w:val="16"/>
        </w:rPr>
        <w:t xml:space="preserve">CTIA – “Wireless Quick Facts” </w:t>
      </w:r>
      <w:hyperlink r:id="rId4" w:history="1">
        <w:r>
          <w:rPr>
            <w:rStyle w:val="Hyperlink"/>
            <w:sz w:val="16"/>
            <w:szCs w:val="16"/>
          </w:rPr>
          <w:t>www.ctia.or</w:t>
        </w:r>
        <w:r w:rsidRPr="000B1D64">
          <w:rPr>
            <w:rStyle w:val="Hyperlink"/>
            <w:sz w:val="16"/>
            <w:szCs w:val="16"/>
          </w:rPr>
          <w:t>g</w:t>
        </w:r>
      </w:hyperlink>
      <w:r>
        <w:rPr>
          <w:sz w:val="16"/>
          <w:szCs w:val="16"/>
        </w:rPr>
        <w:t xml:space="preserve">, November 2012, retrieved February 25, 2013.  </w:t>
      </w:r>
      <w:hyperlink r:id="rId5" w:history="1">
        <w:r w:rsidRPr="000B1D64">
          <w:rPr>
            <w:rStyle w:val="Hyperlink"/>
            <w:sz w:val="16"/>
            <w:szCs w:val="16"/>
          </w:rPr>
          <w:t>http://www.ctia.org/consumer_info/service/index.cfm/AID/10323</w:t>
        </w:r>
      </w:hyperlink>
      <w:r>
        <w:rPr>
          <w:sz w:val="16"/>
          <w:szCs w:val="16"/>
        </w:rPr>
        <w:t xml:space="preserve"> </w:t>
      </w:r>
      <w:r w:rsidRPr="00180C2E">
        <w:rPr>
          <w:sz w:val="16"/>
          <w:szCs w:val="16"/>
        </w:rPr>
        <w:t xml:space="preserve"> </w:t>
      </w:r>
      <w:r>
        <w:rPr>
          <w:sz w:val="16"/>
          <w:szCs w:val="16"/>
        </w:rPr>
        <w:t xml:space="preserve">  </w:t>
      </w:r>
    </w:p>
  </w:footnote>
  <w:footnote w:id="6">
    <w:p w:rsidR="00145476" w:rsidRDefault="00145476" w:rsidP="007E37AD">
      <w:pPr>
        <w:pStyle w:val="Default"/>
        <w:rPr>
          <w:sz w:val="16"/>
          <w:szCs w:val="16"/>
        </w:rPr>
      </w:pPr>
      <w:r w:rsidRPr="005D6126">
        <w:rPr>
          <w:rStyle w:val="FootnoteReference"/>
        </w:rPr>
        <w:t>6</w:t>
      </w:r>
      <w:r w:rsidRPr="005D6126">
        <w:t xml:space="preserve">  </w:t>
      </w:r>
      <w:r w:rsidRPr="00AC45EA">
        <w:rPr>
          <w:rFonts w:ascii="Times New Roman" w:hAnsi="Times New Roman" w:cs="Times New Roman"/>
          <w:sz w:val="16"/>
          <w:szCs w:val="16"/>
        </w:rPr>
        <w:t>Smith, Aaron. "</w:t>
      </w:r>
      <w:r>
        <w:rPr>
          <w:rFonts w:ascii="Times New Roman" w:hAnsi="Times New Roman" w:cs="Times New Roman"/>
          <w:sz w:val="16"/>
          <w:szCs w:val="16"/>
        </w:rPr>
        <w:t>17% of cell phone owners do most of their online browsing on their phone, rather than a computer or other device</w:t>
      </w:r>
      <w:r w:rsidRPr="00AC45EA">
        <w:rPr>
          <w:rFonts w:ascii="Times New Roman" w:hAnsi="Times New Roman" w:cs="Times New Roman"/>
          <w:sz w:val="16"/>
          <w:szCs w:val="16"/>
        </w:rPr>
        <w:t xml:space="preserve">" </w:t>
      </w:r>
      <w:r w:rsidRPr="00AC45EA">
        <w:rPr>
          <w:rFonts w:ascii="Times New Roman" w:hAnsi="Times New Roman" w:cs="Times New Roman"/>
          <w:i/>
          <w:sz w:val="16"/>
          <w:szCs w:val="16"/>
        </w:rPr>
        <w:t>Pew Internet &amp; American Life Project</w:t>
      </w:r>
      <w:r w:rsidRPr="00AC45EA">
        <w:rPr>
          <w:rFonts w:ascii="Times New Roman" w:hAnsi="Times New Roman" w:cs="Times New Roman"/>
          <w:sz w:val="16"/>
          <w:szCs w:val="16"/>
        </w:rPr>
        <w:t>, Ju</w:t>
      </w:r>
      <w:r>
        <w:rPr>
          <w:rFonts w:ascii="Times New Roman" w:hAnsi="Times New Roman" w:cs="Times New Roman"/>
          <w:sz w:val="16"/>
          <w:szCs w:val="16"/>
        </w:rPr>
        <w:t>ne 26</w:t>
      </w:r>
      <w:r w:rsidRPr="00AC45EA">
        <w:rPr>
          <w:rFonts w:ascii="Times New Roman" w:hAnsi="Times New Roman" w:cs="Times New Roman"/>
          <w:sz w:val="16"/>
          <w:szCs w:val="16"/>
        </w:rPr>
        <w:t>, 201</w:t>
      </w:r>
      <w:r>
        <w:rPr>
          <w:rFonts w:ascii="Times New Roman" w:hAnsi="Times New Roman" w:cs="Times New Roman"/>
          <w:sz w:val="16"/>
          <w:szCs w:val="16"/>
        </w:rPr>
        <w:t>2</w:t>
      </w:r>
      <w:r w:rsidRPr="00AC45EA">
        <w:rPr>
          <w:rFonts w:ascii="Times New Roman" w:hAnsi="Times New Roman" w:cs="Times New Roman"/>
          <w:sz w:val="16"/>
          <w:szCs w:val="16"/>
        </w:rPr>
        <w:t xml:space="preserve">, retrieved </w:t>
      </w:r>
      <w:r>
        <w:rPr>
          <w:rFonts w:ascii="Times New Roman" w:hAnsi="Times New Roman" w:cs="Times New Roman"/>
          <w:sz w:val="16"/>
          <w:szCs w:val="16"/>
        </w:rPr>
        <w:t>February 25</w:t>
      </w:r>
      <w:r w:rsidRPr="00AC45EA">
        <w:rPr>
          <w:rFonts w:ascii="Times New Roman" w:hAnsi="Times New Roman" w:cs="Times New Roman"/>
          <w:sz w:val="16"/>
          <w:szCs w:val="16"/>
        </w:rPr>
        <w:t>, 201</w:t>
      </w:r>
      <w:r>
        <w:rPr>
          <w:rFonts w:ascii="Times New Roman" w:hAnsi="Times New Roman" w:cs="Times New Roman"/>
          <w:sz w:val="16"/>
          <w:szCs w:val="16"/>
        </w:rPr>
        <w:t>3</w:t>
      </w:r>
      <w:r w:rsidRPr="00AC45EA">
        <w:rPr>
          <w:rFonts w:ascii="Times New Roman" w:hAnsi="Times New Roman" w:cs="Times New Roman"/>
          <w:sz w:val="16"/>
          <w:szCs w:val="16"/>
        </w:rPr>
        <w:t xml:space="preserve">. </w:t>
      </w:r>
      <w:hyperlink r:id="rId6" w:history="1">
        <w:r w:rsidRPr="00B25624">
          <w:rPr>
            <w:rStyle w:val="Hyperlink"/>
            <w:rFonts w:ascii="Times New Roman" w:hAnsi="Times New Roman" w:cs="Times New Roman"/>
            <w:sz w:val="16"/>
            <w:szCs w:val="16"/>
          </w:rPr>
          <w:t>http://www.pewinternet.org/~/media//Files/Reports/2012/PIP_Cell_Phone_Internet_Access.pdf</w:t>
        </w:r>
      </w:hyperlink>
      <w:r>
        <w:rPr>
          <w:rFonts w:ascii="Times New Roman" w:hAnsi="Times New Roman" w:cs="Times New Roman"/>
          <w:sz w:val="16"/>
          <w:szCs w:val="16"/>
        </w:rPr>
        <w:t xml:space="preserve"> </w:t>
      </w:r>
    </w:p>
    <w:p w:rsidR="00145476" w:rsidRDefault="00145476">
      <w:pPr>
        <w:widowControl/>
        <w:rPr>
          <w:rFonts w:ascii="Comic Sans MS" w:hAnsi="Comic Sans MS" w:cs="Comic Sans MS"/>
          <w:sz w:val="16"/>
          <w:szCs w:val="16"/>
        </w:rPr>
      </w:pPr>
    </w:p>
  </w:footnote>
  <w:footnote w:id="7">
    <w:p w:rsidR="00145476" w:rsidRDefault="00145476" w:rsidP="000558F2">
      <w:pPr>
        <w:widowControl/>
        <w:rPr>
          <w:sz w:val="16"/>
          <w:szCs w:val="16"/>
        </w:rPr>
      </w:pPr>
      <w:r>
        <w:rPr>
          <w:rStyle w:val="FootnoteReference"/>
        </w:rPr>
        <w:t>7</w:t>
      </w:r>
      <w:r>
        <w:t xml:space="preserve"> </w:t>
      </w:r>
      <w:proofErr w:type="spellStart"/>
      <w:r w:rsidRPr="008D4B05">
        <w:rPr>
          <w:sz w:val="16"/>
          <w:szCs w:val="16"/>
        </w:rPr>
        <w:t>Rainie</w:t>
      </w:r>
      <w:proofErr w:type="spellEnd"/>
      <w:r w:rsidRPr="008D4B05">
        <w:rPr>
          <w:sz w:val="16"/>
          <w:szCs w:val="16"/>
        </w:rPr>
        <w:t>, Lee</w:t>
      </w:r>
      <w:r>
        <w:rPr>
          <w:sz w:val="16"/>
          <w:szCs w:val="16"/>
        </w:rPr>
        <w:t xml:space="preserve">. </w:t>
      </w:r>
      <w:r w:rsidRPr="008D4B05">
        <w:rPr>
          <w:sz w:val="16"/>
          <w:szCs w:val="16"/>
        </w:rPr>
        <w:t>“</w:t>
      </w:r>
      <w:r>
        <w:rPr>
          <w:sz w:val="16"/>
          <w:szCs w:val="16"/>
        </w:rPr>
        <w:t xml:space="preserve">24% of internet users have made phone calls online’’, </w:t>
      </w:r>
      <w:r>
        <w:rPr>
          <w:i/>
          <w:sz w:val="16"/>
          <w:szCs w:val="16"/>
        </w:rPr>
        <w:t>Pew Internet and American Life Project,</w:t>
      </w:r>
      <w:r>
        <w:rPr>
          <w:sz w:val="16"/>
          <w:szCs w:val="16"/>
        </w:rPr>
        <w:t xml:space="preserve"> May 30, 2011, retrieved January    19, 2012  </w:t>
      </w:r>
      <w:hyperlink r:id="rId7" w:history="1">
        <w:r w:rsidRPr="002708BC">
          <w:rPr>
            <w:rStyle w:val="Hyperlink"/>
            <w:sz w:val="16"/>
            <w:szCs w:val="16"/>
          </w:rPr>
          <w:t>http://pewinternet.org/Reports/2011/13--Internet-phone-calls--Skype.aspx</w:t>
        </w:r>
      </w:hyperlink>
      <w:r>
        <w:rPr>
          <w:sz w:val="16"/>
          <w:szCs w:val="16"/>
        </w:rPr>
        <w:t xml:space="preserve">  </w:t>
      </w:r>
    </w:p>
    <w:p w:rsidR="00145476" w:rsidRDefault="00145476">
      <w:pPr>
        <w:pStyle w:val="FootnoteText"/>
      </w:pPr>
    </w:p>
  </w:footnote>
  <w:footnote w:id="8">
    <w:p w:rsidR="00145476" w:rsidRDefault="00145476">
      <w:pPr>
        <w:pStyle w:val="FootnoteText"/>
      </w:pPr>
      <w:r>
        <w:rPr>
          <w:rStyle w:val="FootnoteReference"/>
          <w:sz w:val="24"/>
          <w:szCs w:val="24"/>
        </w:rPr>
        <w:t>8</w:t>
      </w:r>
      <w:r>
        <w:rPr>
          <w:sz w:val="24"/>
          <w:szCs w:val="24"/>
          <w:vertAlign w:val="superscript"/>
        </w:rPr>
        <w:t xml:space="preserve"> </w:t>
      </w:r>
      <w:r>
        <w:rPr>
          <w:vertAlign w:val="superscript"/>
        </w:rPr>
        <w:t xml:space="preserve"> </w:t>
      </w:r>
      <w:r>
        <w:rPr>
          <w:sz w:val="18"/>
        </w:rPr>
        <w:t xml:space="preserve">“The Budget and Economic Outlook: Fiscal Years 2013 to 2023.”  </w:t>
      </w:r>
      <w:r>
        <w:rPr>
          <w:i/>
          <w:iCs/>
          <w:sz w:val="18"/>
        </w:rPr>
        <w:t>Congressional Budget Office</w:t>
      </w:r>
      <w:r>
        <w:rPr>
          <w:sz w:val="18"/>
        </w:rPr>
        <w:t>, February 2013, p</w:t>
      </w:r>
      <w:r w:rsidRPr="00E73689">
        <w:rPr>
          <w:sz w:val="18"/>
        </w:rPr>
        <w:t>.35</w:t>
      </w:r>
      <w:r>
        <w:rPr>
          <w:i/>
          <w:sz w:val="18"/>
        </w:rPr>
        <w:t>,</w:t>
      </w:r>
      <w:r w:rsidRPr="000A4662">
        <w:t xml:space="preserve"> </w:t>
      </w:r>
      <w:hyperlink r:id="rId8" w:history="1">
        <w:r w:rsidRPr="00B25624">
          <w:rPr>
            <w:rStyle w:val="Hyperlink"/>
            <w:sz w:val="18"/>
            <w:szCs w:val="18"/>
          </w:rPr>
          <w:t>http://cbo.gov/sites/default/files/cbofiles/attachments/43907-BudgetOutlook.pdf</w:t>
        </w:r>
      </w:hyperlink>
      <w:r>
        <w:rPr>
          <w:sz w:val="18"/>
          <w:szCs w:val="1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1454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4E391A"/>
    <w:lvl w:ilvl="0">
      <w:numFmt w:val="decimal"/>
      <w:lvlText w:val="*"/>
      <w:lvlJc w:val="left"/>
    </w:lvl>
  </w:abstractNum>
  <w:abstractNum w:abstractNumId="1">
    <w:nsid w:val="00000001"/>
    <w:multiLevelType w:val="singleLevel"/>
    <w:tmpl w:val="00000000"/>
    <w:lvl w:ilvl="0">
      <w:start w:val="1"/>
      <w:numFmt w:val="decimal"/>
      <w:pStyle w:val="Quick1"/>
      <w:lvlText w:val="%1."/>
      <w:lvlJc w:val="left"/>
      <w:pPr>
        <w:tabs>
          <w:tab w:val="num" w:pos="719"/>
        </w:tabs>
        <w:ind w:left="79"/>
      </w:pPr>
      <w:rPr>
        <w:rFonts w:ascii="Times New Roman" w:hAnsi="Times New Roman" w:cs="Times New Roman"/>
        <w:sz w:val="24"/>
        <w:szCs w:val="24"/>
      </w:rPr>
    </w:lvl>
  </w:abstractNum>
  <w:abstractNum w:abstractNumId="2">
    <w:nsid w:val="001561DA"/>
    <w:multiLevelType w:val="hybridMultilevel"/>
    <w:tmpl w:val="6588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D1EC1"/>
    <w:multiLevelType w:val="hybridMultilevel"/>
    <w:tmpl w:val="150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14AB4"/>
    <w:multiLevelType w:val="hybridMultilevel"/>
    <w:tmpl w:val="BAAE4B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430B4E"/>
    <w:multiLevelType w:val="hybridMultilevel"/>
    <w:tmpl w:val="CDC22E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7E569D"/>
    <w:multiLevelType w:val="hybridMultilevel"/>
    <w:tmpl w:val="E98C26BE"/>
    <w:lvl w:ilvl="0" w:tplc="10A2823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0191C"/>
    <w:multiLevelType w:val="hybridMultilevel"/>
    <w:tmpl w:val="EC064458"/>
    <w:lvl w:ilvl="0" w:tplc="808E3EC2">
      <w:start w:val="1"/>
      <w:numFmt w:val="bullet"/>
      <w:lvlText w:val=""/>
      <w:lvlJc w:val="left"/>
      <w:pPr>
        <w:ind w:left="756"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036B13"/>
    <w:multiLevelType w:val="hybridMultilevel"/>
    <w:tmpl w:val="26BC6A0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553315"/>
    <w:multiLevelType w:val="hybridMultilevel"/>
    <w:tmpl w:val="2C5400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14647685"/>
    <w:multiLevelType w:val="hybridMultilevel"/>
    <w:tmpl w:val="9C063E1C"/>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0603CD"/>
    <w:multiLevelType w:val="multilevel"/>
    <w:tmpl w:val="A73AFCA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nsid w:val="176D6654"/>
    <w:multiLevelType w:val="hybridMultilevel"/>
    <w:tmpl w:val="E4867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8AB02F3"/>
    <w:multiLevelType w:val="hybridMultilevel"/>
    <w:tmpl w:val="F24A8132"/>
    <w:lvl w:ilvl="0" w:tplc="BD8AF7AE">
      <w:start w:val="3"/>
      <w:numFmt w:val="upp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19AC009F"/>
    <w:multiLevelType w:val="hybridMultilevel"/>
    <w:tmpl w:val="EB98D196"/>
    <w:lvl w:ilvl="0" w:tplc="0409000B">
      <w:start w:val="1"/>
      <w:numFmt w:val="bullet"/>
      <w:lvlText w:val=""/>
      <w:lvlJc w:val="left"/>
      <w:pPr>
        <w:tabs>
          <w:tab w:val="num" w:pos="756"/>
        </w:tabs>
        <w:ind w:left="756" w:hanging="360"/>
      </w:pPr>
      <w:rPr>
        <w:rFonts w:ascii="Wingdings" w:hAnsi="Wingdings" w:hint="default"/>
      </w:rPr>
    </w:lvl>
    <w:lvl w:ilvl="1" w:tplc="04090003" w:tentative="1">
      <w:start w:val="1"/>
      <w:numFmt w:val="bullet"/>
      <w:lvlText w:val="o"/>
      <w:lvlJc w:val="left"/>
      <w:pPr>
        <w:tabs>
          <w:tab w:val="num" w:pos="1476"/>
        </w:tabs>
        <w:ind w:left="1476" w:hanging="360"/>
      </w:pPr>
      <w:rPr>
        <w:rFonts w:ascii="Courier New" w:hAnsi="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15">
    <w:nsid w:val="1BDA1E2A"/>
    <w:multiLevelType w:val="hybridMultilevel"/>
    <w:tmpl w:val="12A6E01C"/>
    <w:lvl w:ilvl="0" w:tplc="EF0890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CCC6DE5"/>
    <w:multiLevelType w:val="hybridMultilevel"/>
    <w:tmpl w:val="8BFCD7E2"/>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D5C04DA"/>
    <w:multiLevelType w:val="hybridMultilevel"/>
    <w:tmpl w:val="E76CC9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A43205"/>
    <w:multiLevelType w:val="hybridMultilevel"/>
    <w:tmpl w:val="725CD212"/>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A76544"/>
    <w:multiLevelType w:val="hybridMultilevel"/>
    <w:tmpl w:val="28CA5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4131907"/>
    <w:multiLevelType w:val="hybridMultilevel"/>
    <w:tmpl w:val="88826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49A7304"/>
    <w:multiLevelType w:val="hybridMultilevel"/>
    <w:tmpl w:val="60ECC112"/>
    <w:lvl w:ilvl="0" w:tplc="D48803EC">
      <w:start w:val="1"/>
      <w:numFmt w:val="bullet"/>
      <w:lvlText w:val=""/>
      <w:lvlJc w:val="left"/>
      <w:pPr>
        <w:tabs>
          <w:tab w:val="num" w:pos="2880"/>
        </w:tabs>
        <w:ind w:left="2880" w:hanging="360"/>
      </w:pPr>
      <w:rPr>
        <w:rFonts w:ascii="Wingdings" w:hAnsi="Wingdings" w:hint="default"/>
        <w:sz w:val="20"/>
      </w:rPr>
    </w:lvl>
    <w:lvl w:ilvl="1" w:tplc="6FF0BC46">
      <w:numFmt w:val="bullet"/>
      <w:lvlText w:val=""/>
      <w:lvlJc w:val="left"/>
      <w:pPr>
        <w:tabs>
          <w:tab w:val="num" w:pos="2880"/>
        </w:tabs>
        <w:ind w:left="2880" w:hanging="360"/>
      </w:pPr>
      <w:rPr>
        <w:rFonts w:ascii="Wingdings" w:eastAsia="Times New Roman" w:hAnsi="Wingdings"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279B1D61"/>
    <w:multiLevelType w:val="hybridMultilevel"/>
    <w:tmpl w:val="AB183B1A"/>
    <w:lvl w:ilvl="0" w:tplc="04090001">
      <w:start w:val="1"/>
      <w:numFmt w:val="bullet"/>
      <w:lvlText w:val=""/>
      <w:lvlJc w:val="left"/>
      <w:pPr>
        <w:ind w:left="7560" w:hanging="360"/>
      </w:pPr>
      <w:rPr>
        <w:rFonts w:ascii="Symbol" w:hAnsi="Symbo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3">
    <w:nsid w:val="29AB3098"/>
    <w:multiLevelType w:val="hybridMultilevel"/>
    <w:tmpl w:val="DD129B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B2976C4"/>
    <w:multiLevelType w:val="hybridMultilevel"/>
    <w:tmpl w:val="2C70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D07E7D"/>
    <w:multiLevelType w:val="hybridMultilevel"/>
    <w:tmpl w:val="BB380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2C8E748F"/>
    <w:multiLevelType w:val="hybridMultilevel"/>
    <w:tmpl w:val="B20883EA"/>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CDB7896"/>
    <w:multiLevelType w:val="hybridMultilevel"/>
    <w:tmpl w:val="BE6E25EE"/>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453C9F"/>
    <w:multiLevelType w:val="hybridMultilevel"/>
    <w:tmpl w:val="8CCE20F8"/>
    <w:lvl w:ilvl="0" w:tplc="4476EC94">
      <w:start w:val="1"/>
      <w:numFmt w:val="bullet"/>
      <w:lvlText w:val=""/>
      <w:lvlJc w:val="left"/>
      <w:pPr>
        <w:tabs>
          <w:tab w:val="num" w:pos="2592"/>
        </w:tabs>
        <w:ind w:left="2592" w:hanging="1152"/>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367E4450"/>
    <w:multiLevelType w:val="hybridMultilevel"/>
    <w:tmpl w:val="B2C25336"/>
    <w:lvl w:ilvl="0" w:tplc="0409000B">
      <w:start w:val="1"/>
      <w:numFmt w:val="bullet"/>
      <w:lvlText w:val=""/>
      <w:lvlJc w:val="left"/>
      <w:pPr>
        <w:tabs>
          <w:tab w:val="num" w:pos="1440"/>
        </w:tabs>
        <w:ind w:left="1440" w:hanging="720"/>
      </w:pPr>
      <w:rPr>
        <w:rFonts w:ascii="Wingdings" w:hAnsi="Wingdings" w:hint="default"/>
        <w:b w:val="0"/>
      </w:rPr>
    </w:lvl>
    <w:lvl w:ilvl="1" w:tplc="843C537A">
      <w:numFmt w:val="bullet"/>
      <w:lvlText w:val=""/>
      <w:lvlJc w:val="left"/>
      <w:pPr>
        <w:ind w:left="2160" w:hanging="360"/>
      </w:pPr>
      <w:rPr>
        <w:rFonts w:ascii="WP IconicSymbolsA" w:eastAsia="Times New Roman" w:hAnsi="WP IconicSymbols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38346E37"/>
    <w:multiLevelType w:val="hybridMultilevel"/>
    <w:tmpl w:val="E848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457526"/>
    <w:multiLevelType w:val="hybridMultilevel"/>
    <w:tmpl w:val="8292803C"/>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192891"/>
    <w:multiLevelType w:val="hybridMultilevel"/>
    <w:tmpl w:val="F3E438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CC2112A"/>
    <w:multiLevelType w:val="hybridMultilevel"/>
    <w:tmpl w:val="68B8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03487C"/>
    <w:multiLevelType w:val="hybridMultilevel"/>
    <w:tmpl w:val="F9EA0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C51B6E"/>
    <w:multiLevelType w:val="hybridMultilevel"/>
    <w:tmpl w:val="C1403A5A"/>
    <w:lvl w:ilvl="0" w:tplc="0DF8220E">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967934"/>
    <w:multiLevelType w:val="hybridMultilevel"/>
    <w:tmpl w:val="F7283CB2"/>
    <w:lvl w:ilvl="0" w:tplc="13BEB4EA">
      <w:numFmt w:val="bullet"/>
      <w:lvlText w:val=""/>
      <w:lvlJc w:val="left"/>
      <w:pPr>
        <w:ind w:left="720" w:hanging="360"/>
      </w:pPr>
      <w:rPr>
        <w:rFonts w:ascii="CommonBullets" w:eastAsia="Times New Roman" w:hAnsi="CommonBullets"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04503F"/>
    <w:multiLevelType w:val="hybridMultilevel"/>
    <w:tmpl w:val="61DE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150635"/>
    <w:multiLevelType w:val="hybridMultilevel"/>
    <w:tmpl w:val="9DC4EC9E"/>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3A4C66"/>
    <w:multiLevelType w:val="hybridMultilevel"/>
    <w:tmpl w:val="55BEEF5A"/>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0E22167"/>
    <w:multiLevelType w:val="hybridMultilevel"/>
    <w:tmpl w:val="AE464E28"/>
    <w:lvl w:ilvl="0" w:tplc="AB98802C">
      <w:start w:val="1"/>
      <w:numFmt w:val="bullet"/>
      <w:lvlText w:val=""/>
      <w:lvlJc w:val="left"/>
      <w:pPr>
        <w:tabs>
          <w:tab w:val="num" w:pos="1152"/>
        </w:tabs>
        <w:ind w:left="1152" w:hanging="1152"/>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31767D3"/>
    <w:multiLevelType w:val="hybridMultilevel"/>
    <w:tmpl w:val="8D1038C2"/>
    <w:lvl w:ilvl="0" w:tplc="4476EC94">
      <w:start w:val="1"/>
      <w:numFmt w:val="bullet"/>
      <w:lvlText w:val=""/>
      <w:lvlJc w:val="left"/>
      <w:pPr>
        <w:tabs>
          <w:tab w:val="num" w:pos="1872"/>
        </w:tabs>
        <w:ind w:left="1872" w:hanging="1152"/>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55D50184"/>
    <w:multiLevelType w:val="hybridMultilevel"/>
    <w:tmpl w:val="CB669BC2"/>
    <w:lvl w:ilvl="0" w:tplc="D48803EC">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6AE0EC3"/>
    <w:multiLevelType w:val="hybridMultilevel"/>
    <w:tmpl w:val="4844C8C0"/>
    <w:lvl w:ilvl="0" w:tplc="2092E52A">
      <w:start w:val="1"/>
      <w:numFmt w:val="bullet"/>
      <w:lvlText w:val=""/>
      <w:lvlJc w:val="left"/>
      <w:pPr>
        <w:tabs>
          <w:tab w:val="num" w:pos="1440"/>
        </w:tabs>
        <w:ind w:left="1440" w:hanging="720"/>
      </w:pPr>
      <w:rPr>
        <w:rFonts w:ascii="Wingdings" w:hAnsi="Wingdings" w:hint="default"/>
        <w:b w:val="0"/>
        <w:sz w:val="24"/>
        <w:szCs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578261FA"/>
    <w:multiLevelType w:val="hybridMultilevel"/>
    <w:tmpl w:val="9AF08780"/>
    <w:lvl w:ilvl="0" w:tplc="D168FEE0">
      <w:start w:val="1"/>
      <w:numFmt w:val="upperLetter"/>
      <w:lvlText w:val="%1."/>
      <w:lvlJc w:val="left"/>
      <w:pPr>
        <w:tabs>
          <w:tab w:val="num" w:pos="2880"/>
        </w:tabs>
        <w:ind w:left="2880" w:hanging="720"/>
      </w:pPr>
      <w:rPr>
        <w:rFonts w:hint="default"/>
      </w:rPr>
    </w:lvl>
    <w:lvl w:ilvl="1" w:tplc="B64282A2">
      <w:start w:val="1"/>
      <w:numFmt w:val="decimal"/>
      <w:lvlText w:val="%2."/>
      <w:lvlJc w:val="left"/>
      <w:pPr>
        <w:tabs>
          <w:tab w:val="num" w:pos="3600"/>
        </w:tabs>
        <w:ind w:left="3600" w:hanging="720"/>
      </w:pPr>
      <w:rPr>
        <w:rFonts w:hint="default"/>
      </w:rPr>
    </w:lvl>
    <w:lvl w:ilvl="2" w:tplc="04090001">
      <w:start w:val="1"/>
      <w:numFmt w:val="bullet"/>
      <w:lvlText w:val=""/>
      <w:lvlJc w:val="left"/>
      <w:pPr>
        <w:tabs>
          <w:tab w:val="num" w:pos="4140"/>
        </w:tabs>
        <w:ind w:left="4140" w:hanging="360"/>
      </w:pPr>
      <w:rPr>
        <w:rFonts w:ascii="Symbol" w:hAnsi="Symbol" w:hint="default"/>
      </w:rPr>
    </w:lvl>
    <w:lvl w:ilvl="3" w:tplc="0409000F">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5">
    <w:nsid w:val="580A451C"/>
    <w:multiLevelType w:val="hybridMultilevel"/>
    <w:tmpl w:val="9AB48278"/>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353C19"/>
    <w:multiLevelType w:val="hybridMultilevel"/>
    <w:tmpl w:val="ADF64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3C563F"/>
    <w:multiLevelType w:val="hybridMultilevel"/>
    <w:tmpl w:val="C4685422"/>
    <w:lvl w:ilvl="0" w:tplc="F96A122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DAF4358"/>
    <w:multiLevelType w:val="hybridMultilevel"/>
    <w:tmpl w:val="1AFEDD40"/>
    <w:lvl w:ilvl="0" w:tplc="6A20E66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F8376D7"/>
    <w:multiLevelType w:val="hybridMultilevel"/>
    <w:tmpl w:val="ADF6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666D31"/>
    <w:multiLevelType w:val="hybridMultilevel"/>
    <w:tmpl w:val="73867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2EF28CC"/>
    <w:multiLevelType w:val="hybridMultilevel"/>
    <w:tmpl w:val="DC66E8F4"/>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87543F"/>
    <w:multiLevelType w:val="hybridMultilevel"/>
    <w:tmpl w:val="B5A4036A"/>
    <w:lvl w:ilvl="0" w:tplc="7A5A32C2">
      <w:start w:val="1"/>
      <w:numFmt w:val="bullet"/>
      <w:lvlText w:val=""/>
      <w:lvlJc w:val="left"/>
      <w:pPr>
        <w:tabs>
          <w:tab w:val="num" w:pos="288"/>
        </w:tabs>
        <w:ind w:left="288" w:hanging="288"/>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76961CF"/>
    <w:multiLevelType w:val="hybridMultilevel"/>
    <w:tmpl w:val="0A3E4636"/>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6D1C7E"/>
    <w:multiLevelType w:val="hybridMultilevel"/>
    <w:tmpl w:val="76C25E26"/>
    <w:lvl w:ilvl="0" w:tplc="10A28234">
      <w:numFmt w:val="bullet"/>
      <w:lvlText w:val=""/>
      <w:lvlJc w:val="left"/>
      <w:pPr>
        <w:ind w:left="720" w:hanging="360"/>
      </w:pPr>
      <w:rPr>
        <w:rFonts w:ascii="CommonBullets" w:eastAsia="Times New Roman" w:hAnsi="CommonBulle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83D35E1"/>
    <w:multiLevelType w:val="hybridMultilevel"/>
    <w:tmpl w:val="80EAF7F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nsid w:val="7074728F"/>
    <w:multiLevelType w:val="hybridMultilevel"/>
    <w:tmpl w:val="359A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CA10DE"/>
    <w:multiLevelType w:val="hybridMultilevel"/>
    <w:tmpl w:val="0E8C9708"/>
    <w:lvl w:ilvl="0" w:tplc="808E3EC2">
      <w:start w:val="1"/>
      <w:numFmt w:val="bullet"/>
      <w:lvlText w:val=""/>
      <w:lvlJc w:val="left"/>
      <w:pPr>
        <w:ind w:left="990" w:hanging="360"/>
      </w:pPr>
      <w:rPr>
        <w:rFonts w:ascii="Wingdings 3" w:hAnsi="Wingdings 3" w:hint="default"/>
        <w:b/>
        <w:i w:val="0"/>
        <w:sz w:val="1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8">
    <w:nsid w:val="7207512A"/>
    <w:multiLevelType w:val="hybridMultilevel"/>
    <w:tmpl w:val="0908EB7C"/>
    <w:lvl w:ilvl="0" w:tplc="4476EC94">
      <w:start w:val="1"/>
      <w:numFmt w:val="bullet"/>
      <w:lvlText w:val=""/>
      <w:lvlJc w:val="left"/>
      <w:pPr>
        <w:tabs>
          <w:tab w:val="num" w:pos="1872"/>
        </w:tabs>
        <w:ind w:left="1872" w:hanging="115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729F0703"/>
    <w:multiLevelType w:val="hybridMultilevel"/>
    <w:tmpl w:val="7EF4B6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76317B58"/>
    <w:multiLevelType w:val="hybridMultilevel"/>
    <w:tmpl w:val="6CFA15EA"/>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322982"/>
    <w:multiLevelType w:val="hybridMultilevel"/>
    <w:tmpl w:val="BBAAF682"/>
    <w:lvl w:ilvl="0" w:tplc="808E3EC2">
      <w:start w:val="1"/>
      <w:numFmt w:val="bullet"/>
      <w:lvlText w:val=""/>
      <w:lvlJc w:val="left"/>
      <w:pPr>
        <w:tabs>
          <w:tab w:val="num" w:pos="288"/>
        </w:tabs>
        <w:ind w:left="288" w:hanging="288"/>
      </w:pPr>
      <w:rPr>
        <w:rFonts w:ascii="Wingdings 3" w:hAnsi="Wingdings 3"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6DC2E5C"/>
    <w:multiLevelType w:val="hybridMultilevel"/>
    <w:tmpl w:val="B00C4D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78BE654D"/>
    <w:multiLevelType w:val="hybridMultilevel"/>
    <w:tmpl w:val="FFF8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0D4C63"/>
    <w:multiLevelType w:val="hybridMultilevel"/>
    <w:tmpl w:val="9112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91C6698"/>
    <w:multiLevelType w:val="hybridMultilevel"/>
    <w:tmpl w:val="2FDEE112"/>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66">
    <w:nsid w:val="7A47447D"/>
    <w:multiLevelType w:val="hybridMultilevel"/>
    <w:tmpl w:val="5A583816"/>
    <w:lvl w:ilvl="0" w:tplc="0DF8220E">
      <w:numFmt w:val="bullet"/>
      <w:lvlText w:val=""/>
      <w:lvlJc w:val="left"/>
      <w:pPr>
        <w:ind w:left="1080" w:hanging="360"/>
      </w:pPr>
      <w:rPr>
        <w:rFonts w:ascii="CommonBullets" w:eastAsia="Times New Roman" w:hAnsi="CommonBullet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ACA6932"/>
    <w:multiLevelType w:val="hybridMultilevel"/>
    <w:tmpl w:val="05389FCA"/>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CE11D2"/>
    <w:multiLevelType w:val="hybridMultilevel"/>
    <w:tmpl w:val="A74A52C2"/>
    <w:lvl w:ilvl="0" w:tplc="808E3EC2">
      <w:start w:val="1"/>
      <w:numFmt w:val="bullet"/>
      <w:lvlText w:val=""/>
      <w:lvlJc w:val="left"/>
      <w:pPr>
        <w:tabs>
          <w:tab w:val="num" w:pos="288"/>
        </w:tabs>
        <w:ind w:left="288" w:hanging="288"/>
      </w:pPr>
      <w:rPr>
        <w:rFonts w:ascii="Wingdings 3" w:hAnsi="Wingdings 3"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B8B6243"/>
    <w:multiLevelType w:val="hybridMultilevel"/>
    <w:tmpl w:val="2CC4D854"/>
    <w:lvl w:ilvl="0" w:tplc="808E3EC2">
      <w:start w:val="1"/>
      <w:numFmt w:val="bullet"/>
      <w:lvlText w:val=""/>
      <w:lvlJc w:val="left"/>
      <w:pPr>
        <w:ind w:left="720" w:hanging="360"/>
      </w:pPr>
      <w:rPr>
        <w:rFonts w:ascii="Wingdings 3" w:hAnsi="Wingdings 3"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E7937E0"/>
    <w:multiLevelType w:val="hybridMultilevel"/>
    <w:tmpl w:val="DF6A69A2"/>
    <w:lvl w:ilvl="0" w:tplc="808E3EC2">
      <w:start w:val="1"/>
      <w:numFmt w:val="bullet"/>
      <w:lvlText w:val=""/>
      <w:lvlJc w:val="left"/>
      <w:pPr>
        <w:ind w:left="720" w:hanging="360"/>
      </w:pPr>
      <w:rPr>
        <w:rFonts w:ascii="Wingdings 3" w:hAnsi="Wingdings 3" w:hint="default"/>
        <w:b/>
        <w:i w:val="0"/>
        <w:sz w:val="16"/>
      </w:rPr>
    </w:lvl>
    <w:lvl w:ilvl="1" w:tplc="FACC16A8">
      <w:numFmt w:val="bullet"/>
      <w:lvlText w:val=""/>
      <w:lvlJc w:val="left"/>
      <w:pPr>
        <w:ind w:left="1440" w:hanging="360"/>
      </w:pPr>
      <w:rPr>
        <w:rFonts w:ascii="CommonBullets" w:eastAsia="Times New Roman" w:hAnsi="CommonBullets"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E87569C"/>
    <w:multiLevelType w:val="hybridMultilevel"/>
    <w:tmpl w:val="EB023934"/>
    <w:lvl w:ilvl="0" w:tplc="0409000B">
      <w:start w:val="1"/>
      <w:numFmt w:val="bullet"/>
      <w:lvlText w:val=""/>
      <w:lvlJc w:val="left"/>
      <w:pPr>
        <w:tabs>
          <w:tab w:val="num" w:pos="1872"/>
        </w:tabs>
        <w:ind w:left="1872" w:hanging="1152"/>
      </w:pPr>
      <w:rPr>
        <w:rFonts w:ascii="Wingdings" w:hAnsi="Wingding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lvlOverride w:ilvl="0">
      <w:startOverride w:val="1"/>
      <w:lvl w:ilvl="0">
        <w:start w:val="1"/>
        <w:numFmt w:val="decimal"/>
        <w:pStyle w:val="Quick1"/>
        <w:lvlText w:val="%1."/>
        <w:lvlJc w:val="left"/>
      </w:lvl>
    </w:lvlOverride>
  </w:num>
  <w:num w:numId="2">
    <w:abstractNumId w:val="44"/>
  </w:num>
  <w:num w:numId="3">
    <w:abstractNumId w:val="25"/>
  </w:num>
  <w:num w:numId="4">
    <w:abstractNumId w:val="55"/>
  </w:num>
  <w:num w:numId="5">
    <w:abstractNumId w:val="14"/>
  </w:num>
  <w:num w:numId="6">
    <w:abstractNumId w:val="26"/>
  </w:num>
  <w:num w:numId="7">
    <w:abstractNumId w:val="21"/>
  </w:num>
  <w:num w:numId="8">
    <w:abstractNumId w:val="43"/>
  </w:num>
  <w:num w:numId="9">
    <w:abstractNumId w:val="29"/>
  </w:num>
  <w:num w:numId="10">
    <w:abstractNumId w:val="0"/>
    <w:lvlOverride w:ilvl="0">
      <w:lvl w:ilvl="0">
        <w:numFmt w:val="bullet"/>
        <w:lvlText w:val=""/>
        <w:legacy w:legacy="1" w:legacySpace="0" w:legacyIndent="0"/>
        <w:lvlJc w:val="left"/>
        <w:rPr>
          <w:rFonts w:ascii="CommonBullets" w:hAnsi="CommonBullets" w:hint="default"/>
          <w:sz w:val="16"/>
        </w:rPr>
      </w:lvl>
    </w:lvlOverride>
  </w:num>
  <w:num w:numId="11">
    <w:abstractNumId w:val="17"/>
  </w:num>
  <w:num w:numId="12">
    <w:abstractNumId w:val="52"/>
  </w:num>
  <w:num w:numId="13">
    <w:abstractNumId w:val="68"/>
  </w:num>
  <w:num w:numId="14">
    <w:abstractNumId w:val="61"/>
  </w:num>
  <w:num w:numId="15">
    <w:abstractNumId w:val="40"/>
  </w:num>
  <w:num w:numId="16">
    <w:abstractNumId w:val="58"/>
  </w:num>
  <w:num w:numId="17">
    <w:abstractNumId w:val="41"/>
  </w:num>
  <w:num w:numId="18">
    <w:abstractNumId w:val="16"/>
  </w:num>
  <w:num w:numId="19">
    <w:abstractNumId w:val="42"/>
  </w:num>
  <w:num w:numId="20">
    <w:abstractNumId w:val="28"/>
  </w:num>
  <w:num w:numId="21">
    <w:abstractNumId w:val="39"/>
  </w:num>
  <w:num w:numId="22">
    <w:abstractNumId w:val="8"/>
  </w:num>
  <w:num w:numId="23">
    <w:abstractNumId w:val="6"/>
  </w:num>
  <w:num w:numId="24">
    <w:abstractNumId w:val="70"/>
  </w:num>
  <w:num w:numId="25">
    <w:abstractNumId w:val="54"/>
  </w:num>
  <w:num w:numId="26">
    <w:abstractNumId w:val="34"/>
  </w:num>
  <w:num w:numId="27">
    <w:abstractNumId w:val="4"/>
  </w:num>
  <w:num w:numId="28">
    <w:abstractNumId w:val="5"/>
  </w:num>
  <w:num w:numId="29">
    <w:abstractNumId w:val="48"/>
  </w:num>
  <w:num w:numId="30">
    <w:abstractNumId w:val="32"/>
  </w:num>
  <w:num w:numId="31">
    <w:abstractNumId w:val="7"/>
  </w:num>
  <w:num w:numId="32">
    <w:abstractNumId w:val="51"/>
  </w:num>
  <w:num w:numId="33">
    <w:abstractNumId w:val="45"/>
  </w:num>
  <w:num w:numId="34">
    <w:abstractNumId w:val="36"/>
  </w:num>
  <w:num w:numId="35">
    <w:abstractNumId w:val="53"/>
  </w:num>
  <w:num w:numId="36">
    <w:abstractNumId w:val="27"/>
  </w:num>
  <w:num w:numId="37">
    <w:abstractNumId w:val="38"/>
  </w:num>
  <w:num w:numId="38">
    <w:abstractNumId w:val="69"/>
  </w:num>
  <w:num w:numId="39">
    <w:abstractNumId w:val="18"/>
  </w:num>
  <w:num w:numId="40">
    <w:abstractNumId w:val="35"/>
  </w:num>
  <w:num w:numId="41">
    <w:abstractNumId w:val="66"/>
  </w:num>
  <w:num w:numId="42">
    <w:abstractNumId w:val="10"/>
  </w:num>
  <w:num w:numId="43">
    <w:abstractNumId w:val="31"/>
  </w:num>
  <w:num w:numId="44">
    <w:abstractNumId w:val="65"/>
  </w:num>
  <w:num w:numId="45">
    <w:abstractNumId w:val="23"/>
  </w:num>
  <w:num w:numId="46">
    <w:abstractNumId w:val="59"/>
  </w:num>
  <w:num w:numId="47">
    <w:abstractNumId w:val="11"/>
  </w:num>
  <w:num w:numId="48">
    <w:abstractNumId w:val="19"/>
  </w:num>
  <w:num w:numId="49">
    <w:abstractNumId w:val="9"/>
  </w:num>
  <w:num w:numId="50">
    <w:abstractNumId w:val="22"/>
  </w:num>
  <w:num w:numId="51">
    <w:abstractNumId w:val="3"/>
  </w:num>
  <w:num w:numId="52">
    <w:abstractNumId w:val="46"/>
  </w:num>
  <w:num w:numId="53">
    <w:abstractNumId w:val="62"/>
  </w:num>
  <w:num w:numId="54">
    <w:abstractNumId w:val="50"/>
  </w:num>
  <w:num w:numId="55">
    <w:abstractNumId w:val="13"/>
  </w:num>
  <w:num w:numId="56">
    <w:abstractNumId w:val="12"/>
  </w:num>
  <w:num w:numId="57">
    <w:abstractNumId w:val="15"/>
  </w:num>
  <w:num w:numId="58">
    <w:abstractNumId w:val="20"/>
  </w:num>
  <w:num w:numId="59">
    <w:abstractNumId w:val="30"/>
  </w:num>
  <w:num w:numId="60">
    <w:abstractNumId w:val="47"/>
  </w:num>
  <w:num w:numId="61">
    <w:abstractNumId w:val="71"/>
  </w:num>
  <w:num w:numId="62">
    <w:abstractNumId w:val="60"/>
  </w:num>
  <w:num w:numId="63">
    <w:abstractNumId w:val="67"/>
  </w:num>
  <w:num w:numId="64">
    <w:abstractNumId w:val="57"/>
  </w:num>
  <w:num w:numId="65">
    <w:abstractNumId w:val="37"/>
  </w:num>
  <w:num w:numId="66">
    <w:abstractNumId w:val="24"/>
  </w:num>
  <w:num w:numId="67">
    <w:abstractNumId w:val="63"/>
  </w:num>
  <w:num w:numId="68">
    <w:abstractNumId w:val="56"/>
  </w:num>
  <w:num w:numId="69">
    <w:abstractNumId w:val="49"/>
  </w:num>
  <w:num w:numId="70">
    <w:abstractNumId w:val="33"/>
  </w:num>
  <w:num w:numId="71">
    <w:abstractNumId w:val="64"/>
  </w:num>
  <w:num w:numId="72">
    <w:abstractNumId w:val="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101" style="mso-position-vertical-relative:page" o:allowoverlap="f" fill="f" fillcolor="white" stroke="f">
      <v:fill color="white" on="f"/>
      <v:stroke on="f"/>
      <o:colormru v:ext="edit" colors="#183a68"/>
    </o:shapedefaults>
    <o:shapelayout v:ext="edit">
      <o:idmap v:ext="edit" data="2"/>
    </o:shapelayout>
  </w:hdrShapeDefaults>
  <w:footnotePr>
    <w:footnote w:id="-1"/>
    <w:footnote w:id="0"/>
  </w:footnotePr>
  <w:endnotePr>
    <w:numFmt w:val="decimal"/>
    <w:endnote w:id="-1"/>
    <w:endnote w:id="0"/>
  </w:endnotePr>
  <w:compat>
    <w:wpJustification/>
    <w:noTabHangInd/>
    <w:subFontBySize/>
    <w:suppressBottomSpacing/>
    <w:truncateFontHeightsLikeWP6/>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B3FA7"/>
    <w:rsid w:val="0000125D"/>
    <w:rsid w:val="00004098"/>
    <w:rsid w:val="00004BAF"/>
    <w:rsid w:val="00004E01"/>
    <w:rsid w:val="000053B9"/>
    <w:rsid w:val="000060B0"/>
    <w:rsid w:val="00007BD3"/>
    <w:rsid w:val="00012689"/>
    <w:rsid w:val="00013012"/>
    <w:rsid w:val="00013073"/>
    <w:rsid w:val="00014598"/>
    <w:rsid w:val="00016818"/>
    <w:rsid w:val="000175CF"/>
    <w:rsid w:val="00017BC4"/>
    <w:rsid w:val="00020D3D"/>
    <w:rsid w:val="00021676"/>
    <w:rsid w:val="00024CAE"/>
    <w:rsid w:val="00025B17"/>
    <w:rsid w:val="00025C48"/>
    <w:rsid w:val="000275A1"/>
    <w:rsid w:val="00027A23"/>
    <w:rsid w:val="00031BA7"/>
    <w:rsid w:val="0003394A"/>
    <w:rsid w:val="00033D03"/>
    <w:rsid w:val="00033F01"/>
    <w:rsid w:val="00034083"/>
    <w:rsid w:val="00034DAD"/>
    <w:rsid w:val="00035B3A"/>
    <w:rsid w:val="0003654F"/>
    <w:rsid w:val="00037A3A"/>
    <w:rsid w:val="000407FB"/>
    <w:rsid w:val="00041394"/>
    <w:rsid w:val="0004225D"/>
    <w:rsid w:val="000424EF"/>
    <w:rsid w:val="000429BF"/>
    <w:rsid w:val="000436F7"/>
    <w:rsid w:val="000467C1"/>
    <w:rsid w:val="0005013D"/>
    <w:rsid w:val="00052908"/>
    <w:rsid w:val="00052B4D"/>
    <w:rsid w:val="00052C78"/>
    <w:rsid w:val="00054976"/>
    <w:rsid w:val="00054CFF"/>
    <w:rsid w:val="000558F2"/>
    <w:rsid w:val="00060BF2"/>
    <w:rsid w:val="000666D9"/>
    <w:rsid w:val="00066D89"/>
    <w:rsid w:val="00066E81"/>
    <w:rsid w:val="0006728F"/>
    <w:rsid w:val="000672C6"/>
    <w:rsid w:val="000705D5"/>
    <w:rsid w:val="000709BD"/>
    <w:rsid w:val="00071B1A"/>
    <w:rsid w:val="0007273E"/>
    <w:rsid w:val="000728AE"/>
    <w:rsid w:val="00073E74"/>
    <w:rsid w:val="00075042"/>
    <w:rsid w:val="0007548E"/>
    <w:rsid w:val="00075ADF"/>
    <w:rsid w:val="00077E21"/>
    <w:rsid w:val="00080906"/>
    <w:rsid w:val="0008116E"/>
    <w:rsid w:val="00081FD8"/>
    <w:rsid w:val="00083F95"/>
    <w:rsid w:val="00085CB7"/>
    <w:rsid w:val="00087000"/>
    <w:rsid w:val="000876E1"/>
    <w:rsid w:val="0008779B"/>
    <w:rsid w:val="000908E8"/>
    <w:rsid w:val="00090A8D"/>
    <w:rsid w:val="00090F80"/>
    <w:rsid w:val="00091280"/>
    <w:rsid w:val="00092789"/>
    <w:rsid w:val="0009369D"/>
    <w:rsid w:val="000938B2"/>
    <w:rsid w:val="0009638F"/>
    <w:rsid w:val="00096B77"/>
    <w:rsid w:val="00096B78"/>
    <w:rsid w:val="00097EBF"/>
    <w:rsid w:val="000A0928"/>
    <w:rsid w:val="000A11FC"/>
    <w:rsid w:val="000A1CFD"/>
    <w:rsid w:val="000A1FD0"/>
    <w:rsid w:val="000A2FC4"/>
    <w:rsid w:val="000A404A"/>
    <w:rsid w:val="000A4662"/>
    <w:rsid w:val="000A5092"/>
    <w:rsid w:val="000A50F8"/>
    <w:rsid w:val="000A51EF"/>
    <w:rsid w:val="000A6AA9"/>
    <w:rsid w:val="000B18E9"/>
    <w:rsid w:val="000B2F20"/>
    <w:rsid w:val="000B6B4E"/>
    <w:rsid w:val="000C0384"/>
    <w:rsid w:val="000C03A9"/>
    <w:rsid w:val="000C075E"/>
    <w:rsid w:val="000C1018"/>
    <w:rsid w:val="000C1054"/>
    <w:rsid w:val="000C14A9"/>
    <w:rsid w:val="000C1886"/>
    <w:rsid w:val="000C216B"/>
    <w:rsid w:val="000C22EF"/>
    <w:rsid w:val="000C4779"/>
    <w:rsid w:val="000C4E41"/>
    <w:rsid w:val="000C5BA9"/>
    <w:rsid w:val="000C69A4"/>
    <w:rsid w:val="000D2108"/>
    <w:rsid w:val="000D3068"/>
    <w:rsid w:val="000D4577"/>
    <w:rsid w:val="000D541C"/>
    <w:rsid w:val="000D5ABD"/>
    <w:rsid w:val="000D6652"/>
    <w:rsid w:val="000E03BC"/>
    <w:rsid w:val="000E14B6"/>
    <w:rsid w:val="000E23E4"/>
    <w:rsid w:val="000F0DC0"/>
    <w:rsid w:val="000F1748"/>
    <w:rsid w:val="000F3993"/>
    <w:rsid w:val="000F3AA6"/>
    <w:rsid w:val="000F4442"/>
    <w:rsid w:val="000F6A98"/>
    <w:rsid w:val="00102787"/>
    <w:rsid w:val="00102BFC"/>
    <w:rsid w:val="00104504"/>
    <w:rsid w:val="0010540E"/>
    <w:rsid w:val="001063D9"/>
    <w:rsid w:val="00106E52"/>
    <w:rsid w:val="0010789E"/>
    <w:rsid w:val="001104EA"/>
    <w:rsid w:val="00110795"/>
    <w:rsid w:val="00110A0D"/>
    <w:rsid w:val="0011176C"/>
    <w:rsid w:val="00115CC8"/>
    <w:rsid w:val="00116CD7"/>
    <w:rsid w:val="00117DB6"/>
    <w:rsid w:val="00120AD5"/>
    <w:rsid w:val="00123927"/>
    <w:rsid w:val="00123A36"/>
    <w:rsid w:val="0012438C"/>
    <w:rsid w:val="0012630C"/>
    <w:rsid w:val="00127807"/>
    <w:rsid w:val="00127A26"/>
    <w:rsid w:val="001335A0"/>
    <w:rsid w:val="001365AA"/>
    <w:rsid w:val="00136700"/>
    <w:rsid w:val="001373AD"/>
    <w:rsid w:val="00137919"/>
    <w:rsid w:val="00141374"/>
    <w:rsid w:val="0014298E"/>
    <w:rsid w:val="001444D1"/>
    <w:rsid w:val="00144A98"/>
    <w:rsid w:val="00145476"/>
    <w:rsid w:val="001459D3"/>
    <w:rsid w:val="00147293"/>
    <w:rsid w:val="00147ED2"/>
    <w:rsid w:val="00152731"/>
    <w:rsid w:val="001540E9"/>
    <w:rsid w:val="001548B5"/>
    <w:rsid w:val="00160603"/>
    <w:rsid w:val="00164F27"/>
    <w:rsid w:val="00166027"/>
    <w:rsid w:val="001729ED"/>
    <w:rsid w:val="001758CA"/>
    <w:rsid w:val="001776CA"/>
    <w:rsid w:val="00177A8B"/>
    <w:rsid w:val="001808C7"/>
    <w:rsid w:val="00180C2E"/>
    <w:rsid w:val="001815C4"/>
    <w:rsid w:val="001817EA"/>
    <w:rsid w:val="001837EC"/>
    <w:rsid w:val="00184265"/>
    <w:rsid w:val="00185DD0"/>
    <w:rsid w:val="00186968"/>
    <w:rsid w:val="00191AE0"/>
    <w:rsid w:val="00193E39"/>
    <w:rsid w:val="001978A8"/>
    <w:rsid w:val="00197914"/>
    <w:rsid w:val="001A23DC"/>
    <w:rsid w:val="001A2EA7"/>
    <w:rsid w:val="001A33F9"/>
    <w:rsid w:val="001B0779"/>
    <w:rsid w:val="001B13ED"/>
    <w:rsid w:val="001B18C1"/>
    <w:rsid w:val="001B2A8A"/>
    <w:rsid w:val="001B3809"/>
    <w:rsid w:val="001B3FFF"/>
    <w:rsid w:val="001B4E81"/>
    <w:rsid w:val="001C0236"/>
    <w:rsid w:val="001C0C75"/>
    <w:rsid w:val="001C2F37"/>
    <w:rsid w:val="001C3314"/>
    <w:rsid w:val="001C3B66"/>
    <w:rsid w:val="001C4AF1"/>
    <w:rsid w:val="001C54CE"/>
    <w:rsid w:val="001C5E46"/>
    <w:rsid w:val="001C7276"/>
    <w:rsid w:val="001D071A"/>
    <w:rsid w:val="001D0A84"/>
    <w:rsid w:val="001D1743"/>
    <w:rsid w:val="001D18E3"/>
    <w:rsid w:val="001D3264"/>
    <w:rsid w:val="001D3A74"/>
    <w:rsid w:val="001D6308"/>
    <w:rsid w:val="001D654E"/>
    <w:rsid w:val="001E03BA"/>
    <w:rsid w:val="001E0799"/>
    <w:rsid w:val="001E0F3B"/>
    <w:rsid w:val="001E50F5"/>
    <w:rsid w:val="001E6516"/>
    <w:rsid w:val="001E77FC"/>
    <w:rsid w:val="001F18D6"/>
    <w:rsid w:val="001F3829"/>
    <w:rsid w:val="001F4CB5"/>
    <w:rsid w:val="001F75C7"/>
    <w:rsid w:val="001F79DB"/>
    <w:rsid w:val="00200277"/>
    <w:rsid w:val="00200EA7"/>
    <w:rsid w:val="00200EDD"/>
    <w:rsid w:val="00201B4B"/>
    <w:rsid w:val="00202058"/>
    <w:rsid w:val="00202F60"/>
    <w:rsid w:val="00204391"/>
    <w:rsid w:val="00206AC6"/>
    <w:rsid w:val="0021092A"/>
    <w:rsid w:val="0021255F"/>
    <w:rsid w:val="00212A86"/>
    <w:rsid w:val="00213F5A"/>
    <w:rsid w:val="00214F4B"/>
    <w:rsid w:val="002176DA"/>
    <w:rsid w:val="00217AD6"/>
    <w:rsid w:val="002201F9"/>
    <w:rsid w:val="00220746"/>
    <w:rsid w:val="002225B3"/>
    <w:rsid w:val="00222DC7"/>
    <w:rsid w:val="00223479"/>
    <w:rsid w:val="00223873"/>
    <w:rsid w:val="00224E33"/>
    <w:rsid w:val="002254F0"/>
    <w:rsid w:val="002256BC"/>
    <w:rsid w:val="00226405"/>
    <w:rsid w:val="00226CEE"/>
    <w:rsid w:val="00230539"/>
    <w:rsid w:val="002351F4"/>
    <w:rsid w:val="00237098"/>
    <w:rsid w:val="00240E60"/>
    <w:rsid w:val="00241E13"/>
    <w:rsid w:val="00246943"/>
    <w:rsid w:val="00247233"/>
    <w:rsid w:val="00247978"/>
    <w:rsid w:val="002502D3"/>
    <w:rsid w:val="0025062B"/>
    <w:rsid w:val="002521A9"/>
    <w:rsid w:val="0025257D"/>
    <w:rsid w:val="00252AFF"/>
    <w:rsid w:val="002542EB"/>
    <w:rsid w:val="00254C3A"/>
    <w:rsid w:val="00255037"/>
    <w:rsid w:val="00257AAF"/>
    <w:rsid w:val="002603B1"/>
    <w:rsid w:val="00260671"/>
    <w:rsid w:val="00260FCA"/>
    <w:rsid w:val="00262AC3"/>
    <w:rsid w:val="0026321B"/>
    <w:rsid w:val="0026389C"/>
    <w:rsid w:val="002664DD"/>
    <w:rsid w:val="00267447"/>
    <w:rsid w:val="002720B5"/>
    <w:rsid w:val="00273094"/>
    <w:rsid w:val="0027328F"/>
    <w:rsid w:val="00275EB9"/>
    <w:rsid w:val="00277577"/>
    <w:rsid w:val="00282100"/>
    <w:rsid w:val="002822F4"/>
    <w:rsid w:val="00284E48"/>
    <w:rsid w:val="00285EB5"/>
    <w:rsid w:val="00286196"/>
    <w:rsid w:val="00286B53"/>
    <w:rsid w:val="00290F71"/>
    <w:rsid w:val="00293760"/>
    <w:rsid w:val="00293809"/>
    <w:rsid w:val="002A173F"/>
    <w:rsid w:val="002A3F19"/>
    <w:rsid w:val="002A4176"/>
    <w:rsid w:val="002B0CB3"/>
    <w:rsid w:val="002B2E72"/>
    <w:rsid w:val="002B3988"/>
    <w:rsid w:val="002B6BEA"/>
    <w:rsid w:val="002B75D8"/>
    <w:rsid w:val="002B7B3A"/>
    <w:rsid w:val="002C2F64"/>
    <w:rsid w:val="002C3C31"/>
    <w:rsid w:val="002C5272"/>
    <w:rsid w:val="002C5F3C"/>
    <w:rsid w:val="002C75CB"/>
    <w:rsid w:val="002D4653"/>
    <w:rsid w:val="002D5816"/>
    <w:rsid w:val="002E0153"/>
    <w:rsid w:val="002E2733"/>
    <w:rsid w:val="002E3873"/>
    <w:rsid w:val="002E4840"/>
    <w:rsid w:val="002E52D8"/>
    <w:rsid w:val="002E5CC6"/>
    <w:rsid w:val="002E69D1"/>
    <w:rsid w:val="002E75AB"/>
    <w:rsid w:val="002F28BB"/>
    <w:rsid w:val="002F65A0"/>
    <w:rsid w:val="002F797B"/>
    <w:rsid w:val="0030244F"/>
    <w:rsid w:val="00302DC4"/>
    <w:rsid w:val="0030318B"/>
    <w:rsid w:val="0030767F"/>
    <w:rsid w:val="003076A0"/>
    <w:rsid w:val="003076AA"/>
    <w:rsid w:val="00307CFB"/>
    <w:rsid w:val="00310490"/>
    <w:rsid w:val="00314430"/>
    <w:rsid w:val="003204CD"/>
    <w:rsid w:val="003208CF"/>
    <w:rsid w:val="00320C97"/>
    <w:rsid w:val="00321097"/>
    <w:rsid w:val="00323765"/>
    <w:rsid w:val="00325D2F"/>
    <w:rsid w:val="00326164"/>
    <w:rsid w:val="00326BE2"/>
    <w:rsid w:val="003271E0"/>
    <w:rsid w:val="003272F7"/>
    <w:rsid w:val="0032754A"/>
    <w:rsid w:val="00327B97"/>
    <w:rsid w:val="00332B16"/>
    <w:rsid w:val="003347D9"/>
    <w:rsid w:val="00343310"/>
    <w:rsid w:val="00343C0F"/>
    <w:rsid w:val="00344C24"/>
    <w:rsid w:val="00350BB6"/>
    <w:rsid w:val="00352B39"/>
    <w:rsid w:val="00352DFC"/>
    <w:rsid w:val="00354FDD"/>
    <w:rsid w:val="00355144"/>
    <w:rsid w:val="00355967"/>
    <w:rsid w:val="00356384"/>
    <w:rsid w:val="00360AD5"/>
    <w:rsid w:val="00361106"/>
    <w:rsid w:val="00361872"/>
    <w:rsid w:val="003623F4"/>
    <w:rsid w:val="00365B74"/>
    <w:rsid w:val="003679DB"/>
    <w:rsid w:val="00367DAD"/>
    <w:rsid w:val="00371F84"/>
    <w:rsid w:val="00373624"/>
    <w:rsid w:val="00375F6A"/>
    <w:rsid w:val="00377B10"/>
    <w:rsid w:val="003821A3"/>
    <w:rsid w:val="00384626"/>
    <w:rsid w:val="00384BB4"/>
    <w:rsid w:val="003853BD"/>
    <w:rsid w:val="003857DB"/>
    <w:rsid w:val="00385926"/>
    <w:rsid w:val="003871B0"/>
    <w:rsid w:val="0039053D"/>
    <w:rsid w:val="00390AC3"/>
    <w:rsid w:val="00391197"/>
    <w:rsid w:val="003918F5"/>
    <w:rsid w:val="00394214"/>
    <w:rsid w:val="003958BA"/>
    <w:rsid w:val="003A205F"/>
    <w:rsid w:val="003A3513"/>
    <w:rsid w:val="003A3FD3"/>
    <w:rsid w:val="003A5CDB"/>
    <w:rsid w:val="003A5F27"/>
    <w:rsid w:val="003A6C1E"/>
    <w:rsid w:val="003B049E"/>
    <w:rsid w:val="003B05E5"/>
    <w:rsid w:val="003B175D"/>
    <w:rsid w:val="003B1772"/>
    <w:rsid w:val="003B4564"/>
    <w:rsid w:val="003B4B3B"/>
    <w:rsid w:val="003B4C93"/>
    <w:rsid w:val="003B79EA"/>
    <w:rsid w:val="003B7C23"/>
    <w:rsid w:val="003B7DA0"/>
    <w:rsid w:val="003C0CC6"/>
    <w:rsid w:val="003C632E"/>
    <w:rsid w:val="003C71D9"/>
    <w:rsid w:val="003C7799"/>
    <w:rsid w:val="003D18A3"/>
    <w:rsid w:val="003D334A"/>
    <w:rsid w:val="003D36C3"/>
    <w:rsid w:val="003D6C65"/>
    <w:rsid w:val="003D6D58"/>
    <w:rsid w:val="003D707F"/>
    <w:rsid w:val="003D7280"/>
    <w:rsid w:val="003E09EB"/>
    <w:rsid w:val="003E34C1"/>
    <w:rsid w:val="003E5743"/>
    <w:rsid w:val="003E7476"/>
    <w:rsid w:val="003F0361"/>
    <w:rsid w:val="003F1EDF"/>
    <w:rsid w:val="003F3AF9"/>
    <w:rsid w:val="003F4174"/>
    <w:rsid w:val="003F545E"/>
    <w:rsid w:val="003F5814"/>
    <w:rsid w:val="003F604C"/>
    <w:rsid w:val="003F66B0"/>
    <w:rsid w:val="00400CFF"/>
    <w:rsid w:val="00401005"/>
    <w:rsid w:val="004013F7"/>
    <w:rsid w:val="0040177D"/>
    <w:rsid w:val="00402168"/>
    <w:rsid w:val="004027AD"/>
    <w:rsid w:val="004032C6"/>
    <w:rsid w:val="00403738"/>
    <w:rsid w:val="00406344"/>
    <w:rsid w:val="00406E65"/>
    <w:rsid w:val="00406FE8"/>
    <w:rsid w:val="00407E37"/>
    <w:rsid w:val="00411DBB"/>
    <w:rsid w:val="0041383E"/>
    <w:rsid w:val="004152EB"/>
    <w:rsid w:val="00415C91"/>
    <w:rsid w:val="00416210"/>
    <w:rsid w:val="00416716"/>
    <w:rsid w:val="0041682C"/>
    <w:rsid w:val="0042090E"/>
    <w:rsid w:val="00424514"/>
    <w:rsid w:val="004260A1"/>
    <w:rsid w:val="00426EE1"/>
    <w:rsid w:val="00427204"/>
    <w:rsid w:val="0043007E"/>
    <w:rsid w:val="00432BD1"/>
    <w:rsid w:val="00432C4D"/>
    <w:rsid w:val="004352FB"/>
    <w:rsid w:val="00435BFD"/>
    <w:rsid w:val="00435C3A"/>
    <w:rsid w:val="0043643C"/>
    <w:rsid w:val="00436C4F"/>
    <w:rsid w:val="00437087"/>
    <w:rsid w:val="00442804"/>
    <w:rsid w:val="00442EA7"/>
    <w:rsid w:val="00444DFD"/>
    <w:rsid w:val="00445A2D"/>
    <w:rsid w:val="00447FC5"/>
    <w:rsid w:val="00450132"/>
    <w:rsid w:val="00451EF8"/>
    <w:rsid w:val="00452501"/>
    <w:rsid w:val="00452997"/>
    <w:rsid w:val="0045547C"/>
    <w:rsid w:val="00455903"/>
    <w:rsid w:val="00455B1F"/>
    <w:rsid w:val="00457A34"/>
    <w:rsid w:val="00457F97"/>
    <w:rsid w:val="004605FE"/>
    <w:rsid w:val="00465759"/>
    <w:rsid w:val="0046766D"/>
    <w:rsid w:val="00473C38"/>
    <w:rsid w:val="004744CB"/>
    <w:rsid w:val="00475ABE"/>
    <w:rsid w:val="00476528"/>
    <w:rsid w:val="00477199"/>
    <w:rsid w:val="00480DA1"/>
    <w:rsid w:val="0048167A"/>
    <w:rsid w:val="00482044"/>
    <w:rsid w:val="00483152"/>
    <w:rsid w:val="00483D22"/>
    <w:rsid w:val="00484AB9"/>
    <w:rsid w:val="004859CA"/>
    <w:rsid w:val="004870B2"/>
    <w:rsid w:val="00487B9B"/>
    <w:rsid w:val="00490C2F"/>
    <w:rsid w:val="0049194F"/>
    <w:rsid w:val="00493A29"/>
    <w:rsid w:val="004942EE"/>
    <w:rsid w:val="0049465B"/>
    <w:rsid w:val="00494B27"/>
    <w:rsid w:val="0049590B"/>
    <w:rsid w:val="00495B03"/>
    <w:rsid w:val="004A3505"/>
    <w:rsid w:val="004A3920"/>
    <w:rsid w:val="004A5B1C"/>
    <w:rsid w:val="004B315C"/>
    <w:rsid w:val="004B31D7"/>
    <w:rsid w:val="004B624F"/>
    <w:rsid w:val="004B6527"/>
    <w:rsid w:val="004B75BA"/>
    <w:rsid w:val="004C281E"/>
    <w:rsid w:val="004C29D8"/>
    <w:rsid w:val="004C2E05"/>
    <w:rsid w:val="004D151D"/>
    <w:rsid w:val="004D2A2C"/>
    <w:rsid w:val="004D2AD9"/>
    <w:rsid w:val="004D5591"/>
    <w:rsid w:val="004D5762"/>
    <w:rsid w:val="004D6663"/>
    <w:rsid w:val="004D7A55"/>
    <w:rsid w:val="004E0160"/>
    <w:rsid w:val="004E02B1"/>
    <w:rsid w:val="004E454F"/>
    <w:rsid w:val="004E7521"/>
    <w:rsid w:val="004F02A5"/>
    <w:rsid w:val="004F06E1"/>
    <w:rsid w:val="004F06E5"/>
    <w:rsid w:val="004F0B0E"/>
    <w:rsid w:val="004F0BA0"/>
    <w:rsid w:val="004F27CE"/>
    <w:rsid w:val="004F769C"/>
    <w:rsid w:val="004F7E71"/>
    <w:rsid w:val="00505734"/>
    <w:rsid w:val="0050594F"/>
    <w:rsid w:val="00506268"/>
    <w:rsid w:val="00506916"/>
    <w:rsid w:val="00506ECA"/>
    <w:rsid w:val="00510811"/>
    <w:rsid w:val="00510AEC"/>
    <w:rsid w:val="00511EE3"/>
    <w:rsid w:val="005136AA"/>
    <w:rsid w:val="005140F8"/>
    <w:rsid w:val="00515EAC"/>
    <w:rsid w:val="00517E0E"/>
    <w:rsid w:val="005206D0"/>
    <w:rsid w:val="00521F2D"/>
    <w:rsid w:val="0052304C"/>
    <w:rsid w:val="00524932"/>
    <w:rsid w:val="00526F58"/>
    <w:rsid w:val="00527272"/>
    <w:rsid w:val="00527E62"/>
    <w:rsid w:val="005303B3"/>
    <w:rsid w:val="005318F8"/>
    <w:rsid w:val="00533131"/>
    <w:rsid w:val="00534805"/>
    <w:rsid w:val="005368B3"/>
    <w:rsid w:val="005369BA"/>
    <w:rsid w:val="00544CD5"/>
    <w:rsid w:val="0054505E"/>
    <w:rsid w:val="0054642A"/>
    <w:rsid w:val="0054753A"/>
    <w:rsid w:val="005475ED"/>
    <w:rsid w:val="00547B36"/>
    <w:rsid w:val="00547F00"/>
    <w:rsid w:val="005537BB"/>
    <w:rsid w:val="00553E43"/>
    <w:rsid w:val="005550BE"/>
    <w:rsid w:val="005554F2"/>
    <w:rsid w:val="00556BB8"/>
    <w:rsid w:val="00560986"/>
    <w:rsid w:val="0056162B"/>
    <w:rsid w:val="00561E6D"/>
    <w:rsid w:val="0056214D"/>
    <w:rsid w:val="0056380C"/>
    <w:rsid w:val="00564997"/>
    <w:rsid w:val="00565E6C"/>
    <w:rsid w:val="0056650C"/>
    <w:rsid w:val="00567CD5"/>
    <w:rsid w:val="00570571"/>
    <w:rsid w:val="005706EE"/>
    <w:rsid w:val="00570E7E"/>
    <w:rsid w:val="005713E8"/>
    <w:rsid w:val="005717CB"/>
    <w:rsid w:val="00573B34"/>
    <w:rsid w:val="0057434A"/>
    <w:rsid w:val="005756B3"/>
    <w:rsid w:val="00575F2D"/>
    <w:rsid w:val="00576F59"/>
    <w:rsid w:val="00580CBC"/>
    <w:rsid w:val="00584EA3"/>
    <w:rsid w:val="00587728"/>
    <w:rsid w:val="00591033"/>
    <w:rsid w:val="005913FE"/>
    <w:rsid w:val="005917D3"/>
    <w:rsid w:val="00591920"/>
    <w:rsid w:val="00591D02"/>
    <w:rsid w:val="005937EE"/>
    <w:rsid w:val="0059526D"/>
    <w:rsid w:val="00595BC2"/>
    <w:rsid w:val="00595FCF"/>
    <w:rsid w:val="00596271"/>
    <w:rsid w:val="00596420"/>
    <w:rsid w:val="00596B5B"/>
    <w:rsid w:val="005A06BC"/>
    <w:rsid w:val="005A2E9C"/>
    <w:rsid w:val="005A4529"/>
    <w:rsid w:val="005A4BD7"/>
    <w:rsid w:val="005A4EDD"/>
    <w:rsid w:val="005A59AE"/>
    <w:rsid w:val="005A5BA7"/>
    <w:rsid w:val="005A7ACA"/>
    <w:rsid w:val="005A7B54"/>
    <w:rsid w:val="005B1D9B"/>
    <w:rsid w:val="005B3EA3"/>
    <w:rsid w:val="005B3FA7"/>
    <w:rsid w:val="005B4034"/>
    <w:rsid w:val="005B4BAD"/>
    <w:rsid w:val="005B4DD7"/>
    <w:rsid w:val="005B589A"/>
    <w:rsid w:val="005B63B7"/>
    <w:rsid w:val="005B6E85"/>
    <w:rsid w:val="005B72F2"/>
    <w:rsid w:val="005B7F03"/>
    <w:rsid w:val="005C16B5"/>
    <w:rsid w:val="005C1F5E"/>
    <w:rsid w:val="005C48EB"/>
    <w:rsid w:val="005C786A"/>
    <w:rsid w:val="005D03B9"/>
    <w:rsid w:val="005D06B1"/>
    <w:rsid w:val="005D0D80"/>
    <w:rsid w:val="005D17EB"/>
    <w:rsid w:val="005D4297"/>
    <w:rsid w:val="005D4795"/>
    <w:rsid w:val="005D6126"/>
    <w:rsid w:val="005D653F"/>
    <w:rsid w:val="005D7F7E"/>
    <w:rsid w:val="005E03CE"/>
    <w:rsid w:val="005E14B5"/>
    <w:rsid w:val="005E2BA6"/>
    <w:rsid w:val="005E3F78"/>
    <w:rsid w:val="005E415E"/>
    <w:rsid w:val="005E5D71"/>
    <w:rsid w:val="005E7181"/>
    <w:rsid w:val="005F01B0"/>
    <w:rsid w:val="005F0AD4"/>
    <w:rsid w:val="005F3080"/>
    <w:rsid w:val="005F4D68"/>
    <w:rsid w:val="005F54FB"/>
    <w:rsid w:val="006012CE"/>
    <w:rsid w:val="00601CE2"/>
    <w:rsid w:val="00602BC5"/>
    <w:rsid w:val="0060398C"/>
    <w:rsid w:val="00603BE2"/>
    <w:rsid w:val="00604CB7"/>
    <w:rsid w:val="006056FE"/>
    <w:rsid w:val="00605A2F"/>
    <w:rsid w:val="0061037E"/>
    <w:rsid w:val="00613F15"/>
    <w:rsid w:val="00614560"/>
    <w:rsid w:val="00614967"/>
    <w:rsid w:val="006150FD"/>
    <w:rsid w:val="0061565A"/>
    <w:rsid w:val="00617A74"/>
    <w:rsid w:val="00622FA7"/>
    <w:rsid w:val="00627757"/>
    <w:rsid w:val="00630768"/>
    <w:rsid w:val="00630FA7"/>
    <w:rsid w:val="00631371"/>
    <w:rsid w:val="0063193C"/>
    <w:rsid w:val="00633EA2"/>
    <w:rsid w:val="00634727"/>
    <w:rsid w:val="006374E4"/>
    <w:rsid w:val="0064022E"/>
    <w:rsid w:val="00640A1C"/>
    <w:rsid w:val="00641F45"/>
    <w:rsid w:val="006425CD"/>
    <w:rsid w:val="00645D15"/>
    <w:rsid w:val="00651CD7"/>
    <w:rsid w:val="006532CB"/>
    <w:rsid w:val="00655990"/>
    <w:rsid w:val="00655EE9"/>
    <w:rsid w:val="00656A59"/>
    <w:rsid w:val="006629A3"/>
    <w:rsid w:val="006637B6"/>
    <w:rsid w:val="00663DD9"/>
    <w:rsid w:val="006642D3"/>
    <w:rsid w:val="006645F3"/>
    <w:rsid w:val="006657F0"/>
    <w:rsid w:val="00667C50"/>
    <w:rsid w:val="0067139B"/>
    <w:rsid w:val="006713FD"/>
    <w:rsid w:val="00671F6D"/>
    <w:rsid w:val="006739CF"/>
    <w:rsid w:val="006741BD"/>
    <w:rsid w:val="00674734"/>
    <w:rsid w:val="00675B6F"/>
    <w:rsid w:val="00677357"/>
    <w:rsid w:val="006776BB"/>
    <w:rsid w:val="006776C5"/>
    <w:rsid w:val="00681E88"/>
    <w:rsid w:val="0068402C"/>
    <w:rsid w:val="00686135"/>
    <w:rsid w:val="00686BA9"/>
    <w:rsid w:val="00686D4D"/>
    <w:rsid w:val="006902E5"/>
    <w:rsid w:val="00691B7D"/>
    <w:rsid w:val="00692A0A"/>
    <w:rsid w:val="00693994"/>
    <w:rsid w:val="006939BA"/>
    <w:rsid w:val="00693A9F"/>
    <w:rsid w:val="00693AA0"/>
    <w:rsid w:val="006942E8"/>
    <w:rsid w:val="00694844"/>
    <w:rsid w:val="00694897"/>
    <w:rsid w:val="006949FA"/>
    <w:rsid w:val="00695A6E"/>
    <w:rsid w:val="00696429"/>
    <w:rsid w:val="00697D1D"/>
    <w:rsid w:val="006A01B7"/>
    <w:rsid w:val="006A1033"/>
    <w:rsid w:val="006A11DA"/>
    <w:rsid w:val="006A3466"/>
    <w:rsid w:val="006A3687"/>
    <w:rsid w:val="006A36AB"/>
    <w:rsid w:val="006B0AA1"/>
    <w:rsid w:val="006B0FA1"/>
    <w:rsid w:val="006B4CE9"/>
    <w:rsid w:val="006B7C8D"/>
    <w:rsid w:val="006C0022"/>
    <w:rsid w:val="006C13AE"/>
    <w:rsid w:val="006C2E4A"/>
    <w:rsid w:val="006C39FD"/>
    <w:rsid w:val="006D05A7"/>
    <w:rsid w:val="006D127A"/>
    <w:rsid w:val="006D1F95"/>
    <w:rsid w:val="006D299B"/>
    <w:rsid w:val="006D36D6"/>
    <w:rsid w:val="006D3F23"/>
    <w:rsid w:val="006D48C2"/>
    <w:rsid w:val="006D67D4"/>
    <w:rsid w:val="006D6E58"/>
    <w:rsid w:val="006D7D3D"/>
    <w:rsid w:val="006E05D1"/>
    <w:rsid w:val="006E0BC9"/>
    <w:rsid w:val="006E4274"/>
    <w:rsid w:val="006E4BF6"/>
    <w:rsid w:val="006E6608"/>
    <w:rsid w:val="006F057E"/>
    <w:rsid w:val="006F10C6"/>
    <w:rsid w:val="006F1899"/>
    <w:rsid w:val="006F24C7"/>
    <w:rsid w:val="006F24F8"/>
    <w:rsid w:val="006F3BF5"/>
    <w:rsid w:val="006F5F85"/>
    <w:rsid w:val="006F68A2"/>
    <w:rsid w:val="006F71BB"/>
    <w:rsid w:val="006F7649"/>
    <w:rsid w:val="00700EBC"/>
    <w:rsid w:val="0070174C"/>
    <w:rsid w:val="00702C66"/>
    <w:rsid w:val="00706714"/>
    <w:rsid w:val="00706ACF"/>
    <w:rsid w:val="00706C11"/>
    <w:rsid w:val="00711279"/>
    <w:rsid w:val="007119BC"/>
    <w:rsid w:val="0071205B"/>
    <w:rsid w:val="00712D39"/>
    <w:rsid w:val="00713BFB"/>
    <w:rsid w:val="007158D2"/>
    <w:rsid w:val="00715FE6"/>
    <w:rsid w:val="00716633"/>
    <w:rsid w:val="00716FF1"/>
    <w:rsid w:val="007202A5"/>
    <w:rsid w:val="00720697"/>
    <w:rsid w:val="00723748"/>
    <w:rsid w:val="00723C32"/>
    <w:rsid w:val="007249F2"/>
    <w:rsid w:val="007255F9"/>
    <w:rsid w:val="0072650F"/>
    <w:rsid w:val="00726DA3"/>
    <w:rsid w:val="00726F94"/>
    <w:rsid w:val="00727743"/>
    <w:rsid w:val="00731911"/>
    <w:rsid w:val="00731B2C"/>
    <w:rsid w:val="00734223"/>
    <w:rsid w:val="007357BD"/>
    <w:rsid w:val="0074061F"/>
    <w:rsid w:val="00742438"/>
    <w:rsid w:val="0074413E"/>
    <w:rsid w:val="00744365"/>
    <w:rsid w:val="00745A53"/>
    <w:rsid w:val="00745E71"/>
    <w:rsid w:val="00746129"/>
    <w:rsid w:val="00746FC4"/>
    <w:rsid w:val="00750AD9"/>
    <w:rsid w:val="00752DF5"/>
    <w:rsid w:val="00754D3B"/>
    <w:rsid w:val="00756A80"/>
    <w:rsid w:val="00761242"/>
    <w:rsid w:val="007618CB"/>
    <w:rsid w:val="00762BA3"/>
    <w:rsid w:val="007631C5"/>
    <w:rsid w:val="00763BB0"/>
    <w:rsid w:val="00764D6E"/>
    <w:rsid w:val="00764F05"/>
    <w:rsid w:val="007669BC"/>
    <w:rsid w:val="00766EEB"/>
    <w:rsid w:val="00771661"/>
    <w:rsid w:val="00773AA5"/>
    <w:rsid w:val="00773E1F"/>
    <w:rsid w:val="00775E79"/>
    <w:rsid w:val="0077609F"/>
    <w:rsid w:val="00776D25"/>
    <w:rsid w:val="00777603"/>
    <w:rsid w:val="0078051C"/>
    <w:rsid w:val="007833A3"/>
    <w:rsid w:val="00783463"/>
    <w:rsid w:val="007840AB"/>
    <w:rsid w:val="00785CD0"/>
    <w:rsid w:val="0078751D"/>
    <w:rsid w:val="00787FD9"/>
    <w:rsid w:val="00787FDF"/>
    <w:rsid w:val="00790544"/>
    <w:rsid w:val="00794008"/>
    <w:rsid w:val="00794C0A"/>
    <w:rsid w:val="007A0801"/>
    <w:rsid w:val="007A0B12"/>
    <w:rsid w:val="007A1CBE"/>
    <w:rsid w:val="007A2C79"/>
    <w:rsid w:val="007A47B3"/>
    <w:rsid w:val="007A6B93"/>
    <w:rsid w:val="007A7379"/>
    <w:rsid w:val="007B108A"/>
    <w:rsid w:val="007B491F"/>
    <w:rsid w:val="007B7D27"/>
    <w:rsid w:val="007C08BE"/>
    <w:rsid w:val="007C0980"/>
    <w:rsid w:val="007C2346"/>
    <w:rsid w:val="007C2588"/>
    <w:rsid w:val="007C262D"/>
    <w:rsid w:val="007C72A7"/>
    <w:rsid w:val="007D1D04"/>
    <w:rsid w:val="007D5E39"/>
    <w:rsid w:val="007D70F9"/>
    <w:rsid w:val="007D752D"/>
    <w:rsid w:val="007E1A55"/>
    <w:rsid w:val="007E2C6B"/>
    <w:rsid w:val="007E37AD"/>
    <w:rsid w:val="007E3FA7"/>
    <w:rsid w:val="007E47C3"/>
    <w:rsid w:val="007E58A2"/>
    <w:rsid w:val="007E73F4"/>
    <w:rsid w:val="007E796F"/>
    <w:rsid w:val="007F1481"/>
    <w:rsid w:val="007F1B8A"/>
    <w:rsid w:val="007F306F"/>
    <w:rsid w:val="007F41E7"/>
    <w:rsid w:val="007F5444"/>
    <w:rsid w:val="007F5639"/>
    <w:rsid w:val="007F5ABF"/>
    <w:rsid w:val="00801089"/>
    <w:rsid w:val="00802826"/>
    <w:rsid w:val="0080425E"/>
    <w:rsid w:val="00807AC7"/>
    <w:rsid w:val="00807ADA"/>
    <w:rsid w:val="00810485"/>
    <w:rsid w:val="00811779"/>
    <w:rsid w:val="008148B6"/>
    <w:rsid w:val="008162A6"/>
    <w:rsid w:val="008203E1"/>
    <w:rsid w:val="008204F7"/>
    <w:rsid w:val="008229A6"/>
    <w:rsid w:val="00824805"/>
    <w:rsid w:val="00824909"/>
    <w:rsid w:val="00824F1F"/>
    <w:rsid w:val="00825969"/>
    <w:rsid w:val="00825C2B"/>
    <w:rsid w:val="008273E1"/>
    <w:rsid w:val="00827C60"/>
    <w:rsid w:val="00830D4F"/>
    <w:rsid w:val="008314DF"/>
    <w:rsid w:val="00836821"/>
    <w:rsid w:val="008419CA"/>
    <w:rsid w:val="00843758"/>
    <w:rsid w:val="00845ADB"/>
    <w:rsid w:val="00847112"/>
    <w:rsid w:val="008475E7"/>
    <w:rsid w:val="0085104C"/>
    <w:rsid w:val="00851ACA"/>
    <w:rsid w:val="00853C73"/>
    <w:rsid w:val="008578F7"/>
    <w:rsid w:val="0086008A"/>
    <w:rsid w:val="00860BFD"/>
    <w:rsid w:val="008611CA"/>
    <w:rsid w:val="008611F6"/>
    <w:rsid w:val="00862B89"/>
    <w:rsid w:val="00862BAF"/>
    <w:rsid w:val="008634AF"/>
    <w:rsid w:val="00871650"/>
    <w:rsid w:val="0087247B"/>
    <w:rsid w:val="008727EC"/>
    <w:rsid w:val="008736F4"/>
    <w:rsid w:val="0087440F"/>
    <w:rsid w:val="00874659"/>
    <w:rsid w:val="00874A5A"/>
    <w:rsid w:val="00874E68"/>
    <w:rsid w:val="00874F48"/>
    <w:rsid w:val="00875D83"/>
    <w:rsid w:val="00876708"/>
    <w:rsid w:val="00877A28"/>
    <w:rsid w:val="00877F00"/>
    <w:rsid w:val="00880CCE"/>
    <w:rsid w:val="008818FE"/>
    <w:rsid w:val="00882716"/>
    <w:rsid w:val="008853F5"/>
    <w:rsid w:val="00886DAA"/>
    <w:rsid w:val="008879F6"/>
    <w:rsid w:val="00887BAE"/>
    <w:rsid w:val="00890BFA"/>
    <w:rsid w:val="0089132B"/>
    <w:rsid w:val="00891CEC"/>
    <w:rsid w:val="0089338F"/>
    <w:rsid w:val="00893729"/>
    <w:rsid w:val="00896029"/>
    <w:rsid w:val="008973B8"/>
    <w:rsid w:val="008A0AD4"/>
    <w:rsid w:val="008A14DD"/>
    <w:rsid w:val="008A187C"/>
    <w:rsid w:val="008A2833"/>
    <w:rsid w:val="008A38D9"/>
    <w:rsid w:val="008A752D"/>
    <w:rsid w:val="008B55EE"/>
    <w:rsid w:val="008B6D6F"/>
    <w:rsid w:val="008B78A4"/>
    <w:rsid w:val="008C054B"/>
    <w:rsid w:val="008C1378"/>
    <w:rsid w:val="008C161F"/>
    <w:rsid w:val="008C182E"/>
    <w:rsid w:val="008C22D5"/>
    <w:rsid w:val="008C263D"/>
    <w:rsid w:val="008C36CC"/>
    <w:rsid w:val="008C49D8"/>
    <w:rsid w:val="008C5C4C"/>
    <w:rsid w:val="008C749D"/>
    <w:rsid w:val="008D4B05"/>
    <w:rsid w:val="008D55C3"/>
    <w:rsid w:val="008E2B87"/>
    <w:rsid w:val="008E2EBA"/>
    <w:rsid w:val="008E6798"/>
    <w:rsid w:val="008E761C"/>
    <w:rsid w:val="008E7E88"/>
    <w:rsid w:val="008F035D"/>
    <w:rsid w:val="008F0A2F"/>
    <w:rsid w:val="008F1F8A"/>
    <w:rsid w:val="008F278D"/>
    <w:rsid w:val="008F4CE9"/>
    <w:rsid w:val="008F5D21"/>
    <w:rsid w:val="008F69A9"/>
    <w:rsid w:val="008F6E4F"/>
    <w:rsid w:val="008F70F6"/>
    <w:rsid w:val="008F7E16"/>
    <w:rsid w:val="00901321"/>
    <w:rsid w:val="00903354"/>
    <w:rsid w:val="00905CCD"/>
    <w:rsid w:val="00911405"/>
    <w:rsid w:val="00911A6D"/>
    <w:rsid w:val="00911C07"/>
    <w:rsid w:val="00912C87"/>
    <w:rsid w:val="009132FE"/>
    <w:rsid w:val="0091385E"/>
    <w:rsid w:val="00914B73"/>
    <w:rsid w:val="00914CB7"/>
    <w:rsid w:val="00914F7A"/>
    <w:rsid w:val="00915CCA"/>
    <w:rsid w:val="00916A47"/>
    <w:rsid w:val="00921A6B"/>
    <w:rsid w:val="009250F5"/>
    <w:rsid w:val="00926FDE"/>
    <w:rsid w:val="0092738D"/>
    <w:rsid w:val="00927AE1"/>
    <w:rsid w:val="0093021E"/>
    <w:rsid w:val="009316D9"/>
    <w:rsid w:val="00931A1C"/>
    <w:rsid w:val="00931B96"/>
    <w:rsid w:val="00934579"/>
    <w:rsid w:val="0093494E"/>
    <w:rsid w:val="00935C78"/>
    <w:rsid w:val="009361A1"/>
    <w:rsid w:val="009406E9"/>
    <w:rsid w:val="00942472"/>
    <w:rsid w:val="00942C42"/>
    <w:rsid w:val="00943804"/>
    <w:rsid w:val="00944664"/>
    <w:rsid w:val="009523DC"/>
    <w:rsid w:val="00952D60"/>
    <w:rsid w:val="009542D5"/>
    <w:rsid w:val="00954462"/>
    <w:rsid w:val="00957327"/>
    <w:rsid w:val="00960D43"/>
    <w:rsid w:val="00963F6C"/>
    <w:rsid w:val="00964C24"/>
    <w:rsid w:val="00965DE0"/>
    <w:rsid w:val="00967A48"/>
    <w:rsid w:val="00970A42"/>
    <w:rsid w:val="00971AA9"/>
    <w:rsid w:val="00974336"/>
    <w:rsid w:val="00974B0D"/>
    <w:rsid w:val="00976565"/>
    <w:rsid w:val="009809E6"/>
    <w:rsid w:val="00981A48"/>
    <w:rsid w:val="00985529"/>
    <w:rsid w:val="0098554E"/>
    <w:rsid w:val="0098683C"/>
    <w:rsid w:val="00990F41"/>
    <w:rsid w:val="00992CFC"/>
    <w:rsid w:val="00992DD1"/>
    <w:rsid w:val="00994B18"/>
    <w:rsid w:val="009952C8"/>
    <w:rsid w:val="009965E9"/>
    <w:rsid w:val="009A1276"/>
    <w:rsid w:val="009A29F8"/>
    <w:rsid w:val="009A36BB"/>
    <w:rsid w:val="009A5798"/>
    <w:rsid w:val="009A6C58"/>
    <w:rsid w:val="009A7571"/>
    <w:rsid w:val="009B0AFD"/>
    <w:rsid w:val="009B17EB"/>
    <w:rsid w:val="009B2B17"/>
    <w:rsid w:val="009B3C82"/>
    <w:rsid w:val="009B4FDD"/>
    <w:rsid w:val="009B704B"/>
    <w:rsid w:val="009B7DA8"/>
    <w:rsid w:val="009C01FC"/>
    <w:rsid w:val="009C029F"/>
    <w:rsid w:val="009C2147"/>
    <w:rsid w:val="009C25FD"/>
    <w:rsid w:val="009C2E3D"/>
    <w:rsid w:val="009C3D79"/>
    <w:rsid w:val="009D36AC"/>
    <w:rsid w:val="009D44B1"/>
    <w:rsid w:val="009D49CC"/>
    <w:rsid w:val="009D5ABE"/>
    <w:rsid w:val="009D6644"/>
    <w:rsid w:val="009D758B"/>
    <w:rsid w:val="009E04FE"/>
    <w:rsid w:val="009E06A0"/>
    <w:rsid w:val="009E0CB6"/>
    <w:rsid w:val="009E1A54"/>
    <w:rsid w:val="009E2919"/>
    <w:rsid w:val="009E2AA8"/>
    <w:rsid w:val="009E320D"/>
    <w:rsid w:val="009E3ED0"/>
    <w:rsid w:val="009E4851"/>
    <w:rsid w:val="009E4D7C"/>
    <w:rsid w:val="009E573C"/>
    <w:rsid w:val="009E6DC2"/>
    <w:rsid w:val="009E6DE6"/>
    <w:rsid w:val="009F10ED"/>
    <w:rsid w:val="009F156E"/>
    <w:rsid w:val="009F297B"/>
    <w:rsid w:val="009F46F1"/>
    <w:rsid w:val="009F4980"/>
    <w:rsid w:val="009F4994"/>
    <w:rsid w:val="009F4AA1"/>
    <w:rsid w:val="009F5742"/>
    <w:rsid w:val="009F5E21"/>
    <w:rsid w:val="009F744F"/>
    <w:rsid w:val="00A00DC0"/>
    <w:rsid w:val="00A0103A"/>
    <w:rsid w:val="00A01085"/>
    <w:rsid w:val="00A01A1D"/>
    <w:rsid w:val="00A01D98"/>
    <w:rsid w:val="00A034C1"/>
    <w:rsid w:val="00A0576F"/>
    <w:rsid w:val="00A061B8"/>
    <w:rsid w:val="00A07A77"/>
    <w:rsid w:val="00A138E6"/>
    <w:rsid w:val="00A1438E"/>
    <w:rsid w:val="00A16AD9"/>
    <w:rsid w:val="00A16D38"/>
    <w:rsid w:val="00A16EDB"/>
    <w:rsid w:val="00A17068"/>
    <w:rsid w:val="00A17367"/>
    <w:rsid w:val="00A200B0"/>
    <w:rsid w:val="00A20165"/>
    <w:rsid w:val="00A2035F"/>
    <w:rsid w:val="00A205E8"/>
    <w:rsid w:val="00A21608"/>
    <w:rsid w:val="00A21C47"/>
    <w:rsid w:val="00A24799"/>
    <w:rsid w:val="00A24860"/>
    <w:rsid w:val="00A24B8B"/>
    <w:rsid w:val="00A24CDF"/>
    <w:rsid w:val="00A24E10"/>
    <w:rsid w:val="00A26062"/>
    <w:rsid w:val="00A26C4A"/>
    <w:rsid w:val="00A26CD0"/>
    <w:rsid w:val="00A32331"/>
    <w:rsid w:val="00A32894"/>
    <w:rsid w:val="00A32FFF"/>
    <w:rsid w:val="00A33155"/>
    <w:rsid w:val="00A358E4"/>
    <w:rsid w:val="00A36044"/>
    <w:rsid w:val="00A36854"/>
    <w:rsid w:val="00A424A0"/>
    <w:rsid w:val="00A4253D"/>
    <w:rsid w:val="00A42795"/>
    <w:rsid w:val="00A427DD"/>
    <w:rsid w:val="00A43300"/>
    <w:rsid w:val="00A453E3"/>
    <w:rsid w:val="00A51D03"/>
    <w:rsid w:val="00A52609"/>
    <w:rsid w:val="00A5279D"/>
    <w:rsid w:val="00A53ACD"/>
    <w:rsid w:val="00A6228E"/>
    <w:rsid w:val="00A6578D"/>
    <w:rsid w:val="00A71204"/>
    <w:rsid w:val="00A728EA"/>
    <w:rsid w:val="00A72F52"/>
    <w:rsid w:val="00A72FC6"/>
    <w:rsid w:val="00A746CF"/>
    <w:rsid w:val="00A77579"/>
    <w:rsid w:val="00A814D9"/>
    <w:rsid w:val="00A81BAA"/>
    <w:rsid w:val="00A81F6E"/>
    <w:rsid w:val="00A8425D"/>
    <w:rsid w:val="00A84868"/>
    <w:rsid w:val="00A84E8D"/>
    <w:rsid w:val="00A85470"/>
    <w:rsid w:val="00A85A38"/>
    <w:rsid w:val="00A85C17"/>
    <w:rsid w:val="00A8622B"/>
    <w:rsid w:val="00A87974"/>
    <w:rsid w:val="00A87F03"/>
    <w:rsid w:val="00A9124A"/>
    <w:rsid w:val="00A9216E"/>
    <w:rsid w:val="00A92298"/>
    <w:rsid w:val="00A923CD"/>
    <w:rsid w:val="00A9366C"/>
    <w:rsid w:val="00A94EF1"/>
    <w:rsid w:val="00A969E7"/>
    <w:rsid w:val="00A97CBE"/>
    <w:rsid w:val="00AA1C27"/>
    <w:rsid w:val="00AA475F"/>
    <w:rsid w:val="00AA4F4C"/>
    <w:rsid w:val="00AA6430"/>
    <w:rsid w:val="00AB03BA"/>
    <w:rsid w:val="00AB237C"/>
    <w:rsid w:val="00AB2FCC"/>
    <w:rsid w:val="00AB3FC8"/>
    <w:rsid w:val="00AC3998"/>
    <w:rsid w:val="00AC3F9C"/>
    <w:rsid w:val="00AC4192"/>
    <w:rsid w:val="00AC45EA"/>
    <w:rsid w:val="00AC4DAD"/>
    <w:rsid w:val="00AC6B85"/>
    <w:rsid w:val="00AD0D63"/>
    <w:rsid w:val="00AD1E83"/>
    <w:rsid w:val="00AD1EFB"/>
    <w:rsid w:val="00AD4AA4"/>
    <w:rsid w:val="00AD64C0"/>
    <w:rsid w:val="00AD7F13"/>
    <w:rsid w:val="00AE0069"/>
    <w:rsid w:val="00AE1A17"/>
    <w:rsid w:val="00AE341C"/>
    <w:rsid w:val="00AE4422"/>
    <w:rsid w:val="00AE6AE9"/>
    <w:rsid w:val="00AE7C3B"/>
    <w:rsid w:val="00AF3A21"/>
    <w:rsid w:val="00AF3C29"/>
    <w:rsid w:val="00AF42AD"/>
    <w:rsid w:val="00AF688E"/>
    <w:rsid w:val="00B00112"/>
    <w:rsid w:val="00B008D9"/>
    <w:rsid w:val="00B01EAD"/>
    <w:rsid w:val="00B02688"/>
    <w:rsid w:val="00B0384D"/>
    <w:rsid w:val="00B041D5"/>
    <w:rsid w:val="00B049BB"/>
    <w:rsid w:val="00B05591"/>
    <w:rsid w:val="00B066C5"/>
    <w:rsid w:val="00B07211"/>
    <w:rsid w:val="00B10F51"/>
    <w:rsid w:val="00B12594"/>
    <w:rsid w:val="00B146BC"/>
    <w:rsid w:val="00B163B6"/>
    <w:rsid w:val="00B16B0C"/>
    <w:rsid w:val="00B21953"/>
    <w:rsid w:val="00B22CF3"/>
    <w:rsid w:val="00B237F9"/>
    <w:rsid w:val="00B23AC1"/>
    <w:rsid w:val="00B24157"/>
    <w:rsid w:val="00B25F60"/>
    <w:rsid w:val="00B26E47"/>
    <w:rsid w:val="00B305E2"/>
    <w:rsid w:val="00B34640"/>
    <w:rsid w:val="00B34A78"/>
    <w:rsid w:val="00B364C5"/>
    <w:rsid w:val="00B369F7"/>
    <w:rsid w:val="00B373D6"/>
    <w:rsid w:val="00B37C7D"/>
    <w:rsid w:val="00B4017B"/>
    <w:rsid w:val="00B40D96"/>
    <w:rsid w:val="00B41A4D"/>
    <w:rsid w:val="00B42018"/>
    <w:rsid w:val="00B45F98"/>
    <w:rsid w:val="00B50C97"/>
    <w:rsid w:val="00B515B2"/>
    <w:rsid w:val="00B52D43"/>
    <w:rsid w:val="00B537F7"/>
    <w:rsid w:val="00B554C4"/>
    <w:rsid w:val="00B555D6"/>
    <w:rsid w:val="00B556C1"/>
    <w:rsid w:val="00B56CE2"/>
    <w:rsid w:val="00B576C2"/>
    <w:rsid w:val="00B57AE2"/>
    <w:rsid w:val="00B61C8C"/>
    <w:rsid w:val="00B667DB"/>
    <w:rsid w:val="00B6708F"/>
    <w:rsid w:val="00B67E3C"/>
    <w:rsid w:val="00B73D0C"/>
    <w:rsid w:val="00B758C2"/>
    <w:rsid w:val="00B75EDB"/>
    <w:rsid w:val="00B86D63"/>
    <w:rsid w:val="00B87C70"/>
    <w:rsid w:val="00B87F98"/>
    <w:rsid w:val="00B90BFF"/>
    <w:rsid w:val="00B90D31"/>
    <w:rsid w:val="00B93472"/>
    <w:rsid w:val="00B93A57"/>
    <w:rsid w:val="00B950E4"/>
    <w:rsid w:val="00B95348"/>
    <w:rsid w:val="00B9659A"/>
    <w:rsid w:val="00B96DD5"/>
    <w:rsid w:val="00B979E8"/>
    <w:rsid w:val="00BA2123"/>
    <w:rsid w:val="00BA2FCB"/>
    <w:rsid w:val="00BA3B19"/>
    <w:rsid w:val="00BA6032"/>
    <w:rsid w:val="00BA7428"/>
    <w:rsid w:val="00BB0485"/>
    <w:rsid w:val="00BB0881"/>
    <w:rsid w:val="00BB22A3"/>
    <w:rsid w:val="00BB2CD5"/>
    <w:rsid w:val="00BB3F74"/>
    <w:rsid w:val="00BB6018"/>
    <w:rsid w:val="00BB667D"/>
    <w:rsid w:val="00BB6F98"/>
    <w:rsid w:val="00BC43A4"/>
    <w:rsid w:val="00BC4CF2"/>
    <w:rsid w:val="00BC5467"/>
    <w:rsid w:val="00BD2814"/>
    <w:rsid w:val="00BD7FDA"/>
    <w:rsid w:val="00BE0EAF"/>
    <w:rsid w:val="00BE3524"/>
    <w:rsid w:val="00BE3669"/>
    <w:rsid w:val="00BE36C5"/>
    <w:rsid w:val="00BE6CD4"/>
    <w:rsid w:val="00BE7197"/>
    <w:rsid w:val="00BE78D8"/>
    <w:rsid w:val="00BE7E79"/>
    <w:rsid w:val="00BF1947"/>
    <w:rsid w:val="00BF3074"/>
    <w:rsid w:val="00BF5914"/>
    <w:rsid w:val="00BF5AB1"/>
    <w:rsid w:val="00BF5DB6"/>
    <w:rsid w:val="00BF5ECF"/>
    <w:rsid w:val="00BF69EA"/>
    <w:rsid w:val="00BF7D01"/>
    <w:rsid w:val="00C01113"/>
    <w:rsid w:val="00C05ADA"/>
    <w:rsid w:val="00C05E67"/>
    <w:rsid w:val="00C06CFB"/>
    <w:rsid w:val="00C07571"/>
    <w:rsid w:val="00C11219"/>
    <w:rsid w:val="00C122AA"/>
    <w:rsid w:val="00C15770"/>
    <w:rsid w:val="00C15E64"/>
    <w:rsid w:val="00C16229"/>
    <w:rsid w:val="00C1673B"/>
    <w:rsid w:val="00C167E1"/>
    <w:rsid w:val="00C215F9"/>
    <w:rsid w:val="00C23678"/>
    <w:rsid w:val="00C26AFE"/>
    <w:rsid w:val="00C3003F"/>
    <w:rsid w:val="00C30F00"/>
    <w:rsid w:val="00C32099"/>
    <w:rsid w:val="00C323C9"/>
    <w:rsid w:val="00C32ECA"/>
    <w:rsid w:val="00C342E8"/>
    <w:rsid w:val="00C34439"/>
    <w:rsid w:val="00C34785"/>
    <w:rsid w:val="00C36C9B"/>
    <w:rsid w:val="00C37EB0"/>
    <w:rsid w:val="00C4113C"/>
    <w:rsid w:val="00C41C65"/>
    <w:rsid w:val="00C4256B"/>
    <w:rsid w:val="00C426EE"/>
    <w:rsid w:val="00C45A34"/>
    <w:rsid w:val="00C46084"/>
    <w:rsid w:val="00C46692"/>
    <w:rsid w:val="00C47E95"/>
    <w:rsid w:val="00C506EF"/>
    <w:rsid w:val="00C50FE4"/>
    <w:rsid w:val="00C510B9"/>
    <w:rsid w:val="00C53EF9"/>
    <w:rsid w:val="00C54CB4"/>
    <w:rsid w:val="00C56D51"/>
    <w:rsid w:val="00C57FD5"/>
    <w:rsid w:val="00C6287F"/>
    <w:rsid w:val="00C6338B"/>
    <w:rsid w:val="00C64A74"/>
    <w:rsid w:val="00C65A6A"/>
    <w:rsid w:val="00C66655"/>
    <w:rsid w:val="00C66D99"/>
    <w:rsid w:val="00C67103"/>
    <w:rsid w:val="00C67AA7"/>
    <w:rsid w:val="00C67D49"/>
    <w:rsid w:val="00C67F8F"/>
    <w:rsid w:val="00C7046A"/>
    <w:rsid w:val="00C73162"/>
    <w:rsid w:val="00C7341C"/>
    <w:rsid w:val="00C740EB"/>
    <w:rsid w:val="00C8099F"/>
    <w:rsid w:val="00C821B6"/>
    <w:rsid w:val="00C83F8E"/>
    <w:rsid w:val="00C916AA"/>
    <w:rsid w:val="00C924FD"/>
    <w:rsid w:val="00C932F7"/>
    <w:rsid w:val="00C95A79"/>
    <w:rsid w:val="00C96589"/>
    <w:rsid w:val="00CA2549"/>
    <w:rsid w:val="00CA3297"/>
    <w:rsid w:val="00CB395B"/>
    <w:rsid w:val="00CB3DA2"/>
    <w:rsid w:val="00CB68E3"/>
    <w:rsid w:val="00CC0305"/>
    <w:rsid w:val="00CC2A5F"/>
    <w:rsid w:val="00CC2CA9"/>
    <w:rsid w:val="00CC3423"/>
    <w:rsid w:val="00CD401F"/>
    <w:rsid w:val="00CD49F6"/>
    <w:rsid w:val="00CD4A06"/>
    <w:rsid w:val="00CD5E1C"/>
    <w:rsid w:val="00CD78E9"/>
    <w:rsid w:val="00CE1387"/>
    <w:rsid w:val="00CE41F6"/>
    <w:rsid w:val="00CE4411"/>
    <w:rsid w:val="00CE538B"/>
    <w:rsid w:val="00CE5D53"/>
    <w:rsid w:val="00CE7E7D"/>
    <w:rsid w:val="00D0035E"/>
    <w:rsid w:val="00D006C8"/>
    <w:rsid w:val="00D01E1A"/>
    <w:rsid w:val="00D03021"/>
    <w:rsid w:val="00D061FA"/>
    <w:rsid w:val="00D075D8"/>
    <w:rsid w:val="00D127B1"/>
    <w:rsid w:val="00D12A98"/>
    <w:rsid w:val="00D13F65"/>
    <w:rsid w:val="00D13FBA"/>
    <w:rsid w:val="00D16649"/>
    <w:rsid w:val="00D16A51"/>
    <w:rsid w:val="00D17777"/>
    <w:rsid w:val="00D17A66"/>
    <w:rsid w:val="00D17CC8"/>
    <w:rsid w:val="00D21886"/>
    <w:rsid w:val="00D21B0A"/>
    <w:rsid w:val="00D21BD2"/>
    <w:rsid w:val="00D22651"/>
    <w:rsid w:val="00D2328C"/>
    <w:rsid w:val="00D24F2C"/>
    <w:rsid w:val="00D2575D"/>
    <w:rsid w:val="00D2578C"/>
    <w:rsid w:val="00D308EF"/>
    <w:rsid w:val="00D319BE"/>
    <w:rsid w:val="00D31B9A"/>
    <w:rsid w:val="00D32D1C"/>
    <w:rsid w:val="00D371B2"/>
    <w:rsid w:val="00D41F7E"/>
    <w:rsid w:val="00D4211F"/>
    <w:rsid w:val="00D421D3"/>
    <w:rsid w:val="00D422BA"/>
    <w:rsid w:val="00D44041"/>
    <w:rsid w:val="00D5010E"/>
    <w:rsid w:val="00D50253"/>
    <w:rsid w:val="00D50E85"/>
    <w:rsid w:val="00D511A0"/>
    <w:rsid w:val="00D55C26"/>
    <w:rsid w:val="00D60F64"/>
    <w:rsid w:val="00D61F4E"/>
    <w:rsid w:val="00D649B1"/>
    <w:rsid w:val="00D70DF4"/>
    <w:rsid w:val="00D71830"/>
    <w:rsid w:val="00D7248B"/>
    <w:rsid w:val="00D72F96"/>
    <w:rsid w:val="00D746E9"/>
    <w:rsid w:val="00D754A5"/>
    <w:rsid w:val="00D75A3C"/>
    <w:rsid w:val="00D76F08"/>
    <w:rsid w:val="00D866D9"/>
    <w:rsid w:val="00D90810"/>
    <w:rsid w:val="00D91234"/>
    <w:rsid w:val="00D92084"/>
    <w:rsid w:val="00D95EBB"/>
    <w:rsid w:val="00D962E1"/>
    <w:rsid w:val="00D965D5"/>
    <w:rsid w:val="00D96DF9"/>
    <w:rsid w:val="00D974C9"/>
    <w:rsid w:val="00DA00C9"/>
    <w:rsid w:val="00DA0378"/>
    <w:rsid w:val="00DA09C6"/>
    <w:rsid w:val="00DA1E30"/>
    <w:rsid w:val="00DA46B1"/>
    <w:rsid w:val="00DA499F"/>
    <w:rsid w:val="00DB0AC5"/>
    <w:rsid w:val="00DB1ECA"/>
    <w:rsid w:val="00DB2E6F"/>
    <w:rsid w:val="00DB6A34"/>
    <w:rsid w:val="00DC0F50"/>
    <w:rsid w:val="00DC4024"/>
    <w:rsid w:val="00DC6756"/>
    <w:rsid w:val="00DC696F"/>
    <w:rsid w:val="00DC79C5"/>
    <w:rsid w:val="00DD0E07"/>
    <w:rsid w:val="00DD216D"/>
    <w:rsid w:val="00DD3A57"/>
    <w:rsid w:val="00DD5825"/>
    <w:rsid w:val="00DD6526"/>
    <w:rsid w:val="00DE1926"/>
    <w:rsid w:val="00DE2A5C"/>
    <w:rsid w:val="00DE32DC"/>
    <w:rsid w:val="00DE338E"/>
    <w:rsid w:val="00DE4CFE"/>
    <w:rsid w:val="00DF09B7"/>
    <w:rsid w:val="00DF1B39"/>
    <w:rsid w:val="00DF212B"/>
    <w:rsid w:val="00DF3627"/>
    <w:rsid w:val="00DF409B"/>
    <w:rsid w:val="00DF5C10"/>
    <w:rsid w:val="00DF61CA"/>
    <w:rsid w:val="00DF6370"/>
    <w:rsid w:val="00DF6628"/>
    <w:rsid w:val="00E013DE"/>
    <w:rsid w:val="00E01769"/>
    <w:rsid w:val="00E02DE3"/>
    <w:rsid w:val="00E049C9"/>
    <w:rsid w:val="00E06350"/>
    <w:rsid w:val="00E0648A"/>
    <w:rsid w:val="00E06AAB"/>
    <w:rsid w:val="00E07130"/>
    <w:rsid w:val="00E10046"/>
    <w:rsid w:val="00E1142E"/>
    <w:rsid w:val="00E124C1"/>
    <w:rsid w:val="00E133E5"/>
    <w:rsid w:val="00E14196"/>
    <w:rsid w:val="00E17A70"/>
    <w:rsid w:val="00E20FB7"/>
    <w:rsid w:val="00E214F4"/>
    <w:rsid w:val="00E217D3"/>
    <w:rsid w:val="00E26A30"/>
    <w:rsid w:val="00E26FD3"/>
    <w:rsid w:val="00E30594"/>
    <w:rsid w:val="00E3060E"/>
    <w:rsid w:val="00E315B5"/>
    <w:rsid w:val="00E317AA"/>
    <w:rsid w:val="00E3256B"/>
    <w:rsid w:val="00E32867"/>
    <w:rsid w:val="00E33057"/>
    <w:rsid w:val="00E33518"/>
    <w:rsid w:val="00E36275"/>
    <w:rsid w:val="00E3732E"/>
    <w:rsid w:val="00E41A7A"/>
    <w:rsid w:val="00E41BB0"/>
    <w:rsid w:val="00E42702"/>
    <w:rsid w:val="00E4632C"/>
    <w:rsid w:val="00E46468"/>
    <w:rsid w:val="00E46858"/>
    <w:rsid w:val="00E471D0"/>
    <w:rsid w:val="00E47342"/>
    <w:rsid w:val="00E52F7C"/>
    <w:rsid w:val="00E54013"/>
    <w:rsid w:val="00E55937"/>
    <w:rsid w:val="00E55E44"/>
    <w:rsid w:val="00E568BE"/>
    <w:rsid w:val="00E57727"/>
    <w:rsid w:val="00E60E74"/>
    <w:rsid w:val="00E61C65"/>
    <w:rsid w:val="00E61E11"/>
    <w:rsid w:val="00E628FB"/>
    <w:rsid w:val="00E62AD5"/>
    <w:rsid w:val="00E635EB"/>
    <w:rsid w:val="00E63A3A"/>
    <w:rsid w:val="00E6489F"/>
    <w:rsid w:val="00E65ACC"/>
    <w:rsid w:val="00E67A4B"/>
    <w:rsid w:val="00E718C5"/>
    <w:rsid w:val="00E71D9A"/>
    <w:rsid w:val="00E73689"/>
    <w:rsid w:val="00E74424"/>
    <w:rsid w:val="00E74D8B"/>
    <w:rsid w:val="00E7579A"/>
    <w:rsid w:val="00E775D6"/>
    <w:rsid w:val="00E7771C"/>
    <w:rsid w:val="00E77C34"/>
    <w:rsid w:val="00E802C3"/>
    <w:rsid w:val="00E81AC4"/>
    <w:rsid w:val="00E82F46"/>
    <w:rsid w:val="00E84CA4"/>
    <w:rsid w:val="00E84EA9"/>
    <w:rsid w:val="00E8503E"/>
    <w:rsid w:val="00E86594"/>
    <w:rsid w:val="00E86630"/>
    <w:rsid w:val="00E86B20"/>
    <w:rsid w:val="00E9262D"/>
    <w:rsid w:val="00E935A5"/>
    <w:rsid w:val="00E9685F"/>
    <w:rsid w:val="00EA1216"/>
    <w:rsid w:val="00EA17A9"/>
    <w:rsid w:val="00EA2E09"/>
    <w:rsid w:val="00EA3677"/>
    <w:rsid w:val="00EA47B3"/>
    <w:rsid w:val="00EA5963"/>
    <w:rsid w:val="00EA64C2"/>
    <w:rsid w:val="00EA6E81"/>
    <w:rsid w:val="00EA7F90"/>
    <w:rsid w:val="00EB5079"/>
    <w:rsid w:val="00EB7FC1"/>
    <w:rsid w:val="00EC31BA"/>
    <w:rsid w:val="00EC3558"/>
    <w:rsid w:val="00EC6650"/>
    <w:rsid w:val="00ED2546"/>
    <w:rsid w:val="00ED4793"/>
    <w:rsid w:val="00ED500B"/>
    <w:rsid w:val="00ED687D"/>
    <w:rsid w:val="00ED7518"/>
    <w:rsid w:val="00ED7602"/>
    <w:rsid w:val="00EE1233"/>
    <w:rsid w:val="00EE1B0C"/>
    <w:rsid w:val="00EE1E1E"/>
    <w:rsid w:val="00EE4DD3"/>
    <w:rsid w:val="00EE5CF7"/>
    <w:rsid w:val="00EE7644"/>
    <w:rsid w:val="00EE7C06"/>
    <w:rsid w:val="00EF0B7B"/>
    <w:rsid w:val="00EF44DF"/>
    <w:rsid w:val="00F004FD"/>
    <w:rsid w:val="00F00C41"/>
    <w:rsid w:val="00F03197"/>
    <w:rsid w:val="00F03C5F"/>
    <w:rsid w:val="00F04474"/>
    <w:rsid w:val="00F05E64"/>
    <w:rsid w:val="00F07E6A"/>
    <w:rsid w:val="00F101CD"/>
    <w:rsid w:val="00F11554"/>
    <w:rsid w:val="00F1203E"/>
    <w:rsid w:val="00F12C40"/>
    <w:rsid w:val="00F14088"/>
    <w:rsid w:val="00F15034"/>
    <w:rsid w:val="00F16579"/>
    <w:rsid w:val="00F177CC"/>
    <w:rsid w:val="00F23ECE"/>
    <w:rsid w:val="00F252FE"/>
    <w:rsid w:val="00F25969"/>
    <w:rsid w:val="00F263E0"/>
    <w:rsid w:val="00F32F1B"/>
    <w:rsid w:val="00F3317E"/>
    <w:rsid w:val="00F335AF"/>
    <w:rsid w:val="00F33E9A"/>
    <w:rsid w:val="00F34E8B"/>
    <w:rsid w:val="00F35A48"/>
    <w:rsid w:val="00F36383"/>
    <w:rsid w:val="00F36DCB"/>
    <w:rsid w:val="00F40A4E"/>
    <w:rsid w:val="00F41222"/>
    <w:rsid w:val="00F427DC"/>
    <w:rsid w:val="00F44179"/>
    <w:rsid w:val="00F4426E"/>
    <w:rsid w:val="00F45646"/>
    <w:rsid w:val="00F4784E"/>
    <w:rsid w:val="00F47856"/>
    <w:rsid w:val="00F5105E"/>
    <w:rsid w:val="00F51154"/>
    <w:rsid w:val="00F526A5"/>
    <w:rsid w:val="00F54552"/>
    <w:rsid w:val="00F54AE0"/>
    <w:rsid w:val="00F54B95"/>
    <w:rsid w:val="00F54FD2"/>
    <w:rsid w:val="00F57020"/>
    <w:rsid w:val="00F576EB"/>
    <w:rsid w:val="00F57805"/>
    <w:rsid w:val="00F6166F"/>
    <w:rsid w:val="00F61F9F"/>
    <w:rsid w:val="00F62068"/>
    <w:rsid w:val="00F636B8"/>
    <w:rsid w:val="00F63BC9"/>
    <w:rsid w:val="00F657DA"/>
    <w:rsid w:val="00F65EEC"/>
    <w:rsid w:val="00F66455"/>
    <w:rsid w:val="00F7231D"/>
    <w:rsid w:val="00F73817"/>
    <w:rsid w:val="00F738AC"/>
    <w:rsid w:val="00F7483C"/>
    <w:rsid w:val="00F77023"/>
    <w:rsid w:val="00F77273"/>
    <w:rsid w:val="00F77C3D"/>
    <w:rsid w:val="00F82420"/>
    <w:rsid w:val="00F83278"/>
    <w:rsid w:val="00F83671"/>
    <w:rsid w:val="00F86E8D"/>
    <w:rsid w:val="00F90F8B"/>
    <w:rsid w:val="00F913A7"/>
    <w:rsid w:val="00F916AB"/>
    <w:rsid w:val="00F948FA"/>
    <w:rsid w:val="00F95B8D"/>
    <w:rsid w:val="00FA16BF"/>
    <w:rsid w:val="00FA4511"/>
    <w:rsid w:val="00FA4A78"/>
    <w:rsid w:val="00FA525C"/>
    <w:rsid w:val="00FB2E3F"/>
    <w:rsid w:val="00FB3A85"/>
    <w:rsid w:val="00FB623C"/>
    <w:rsid w:val="00FB769F"/>
    <w:rsid w:val="00FB7770"/>
    <w:rsid w:val="00FC041D"/>
    <w:rsid w:val="00FC04A9"/>
    <w:rsid w:val="00FC1327"/>
    <w:rsid w:val="00FC33E9"/>
    <w:rsid w:val="00FC34B1"/>
    <w:rsid w:val="00FC411A"/>
    <w:rsid w:val="00FC78F8"/>
    <w:rsid w:val="00FD0024"/>
    <w:rsid w:val="00FD010C"/>
    <w:rsid w:val="00FD09CE"/>
    <w:rsid w:val="00FD1DE3"/>
    <w:rsid w:val="00FD38FF"/>
    <w:rsid w:val="00FD3F22"/>
    <w:rsid w:val="00FD6E62"/>
    <w:rsid w:val="00FD70F3"/>
    <w:rsid w:val="00FD7579"/>
    <w:rsid w:val="00FE193F"/>
    <w:rsid w:val="00FE1EEF"/>
    <w:rsid w:val="00FE3524"/>
    <w:rsid w:val="00FE355B"/>
    <w:rsid w:val="00FE3C9B"/>
    <w:rsid w:val="00FE41B4"/>
    <w:rsid w:val="00FE49CF"/>
    <w:rsid w:val="00FE4F3A"/>
    <w:rsid w:val="00FE52A0"/>
    <w:rsid w:val="00FE5EA4"/>
    <w:rsid w:val="00FF6140"/>
    <w:rsid w:val="00FF66DA"/>
    <w:rsid w:val="00FF7755"/>
    <w:rsid w:val="00FF7B27"/>
    <w:rsid w:val="00FF7F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01" style="mso-position-vertical-relative:page" o:allowoverlap="f" fill="f" fillcolor="white" stroke="f">
      <v:fill color="white" on="f"/>
      <v:stroke on="f"/>
      <o:colormru v:ext="edit" colors="#183a68"/>
    </o:shapedefaults>
    <o:shapelayout v:ext="edit">
      <o:idmap v:ext="edit" data="1"/>
      <o:rules v:ext="edit">
        <o:r id="V:Rule5" type="connector" idref="#_x0000_s1053">
          <o:proxy start="" idref="#_x0000_s1040" connectloc="2"/>
          <o:proxy end="" idref="#_x0000_s1044" connectloc="0"/>
        </o:r>
        <o:r id="V:Rule6" type="connector" idref="#_x0000_s1055"/>
        <o:r id="V:Rule7" type="connector" idref="#_x0000_s1054">
          <o:proxy start="" idref="#_x0000_s1041" connectloc="2"/>
          <o:proxy end="" idref="#_x0000_s1049" connectloc="0"/>
        </o:r>
        <o:r id="V:Rule8"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7"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2716"/>
    <w:pPr>
      <w:widowControl w:val="0"/>
      <w:autoSpaceDE w:val="0"/>
      <w:autoSpaceDN w:val="0"/>
      <w:adjustRightInd w:val="0"/>
    </w:pPr>
    <w:rPr>
      <w:sz w:val="24"/>
      <w:szCs w:val="24"/>
    </w:rPr>
  </w:style>
  <w:style w:type="paragraph" w:styleId="Heading1">
    <w:name w:val="heading 1"/>
    <w:basedOn w:val="TOC1"/>
    <w:next w:val="Normal"/>
    <w:autoRedefine/>
    <w:qFormat/>
    <w:rsid w:val="00882716"/>
    <w:pPr>
      <w:keepNext/>
      <w:jc w:val="center"/>
    </w:pPr>
    <w:rPr>
      <w:sz w:val="32"/>
      <w:szCs w:val="22"/>
    </w:rPr>
  </w:style>
  <w:style w:type="paragraph" w:styleId="Heading2">
    <w:name w:val="heading 2"/>
    <w:basedOn w:val="TOC2"/>
    <w:next w:val="Normal"/>
    <w:autoRedefine/>
    <w:qFormat/>
    <w:rsid w:val="00882716"/>
    <w:pPr>
      <w:keepNext/>
      <w:tabs>
        <w:tab w:val="center" w:pos="6840"/>
      </w:tabs>
      <w:jc w:val="center"/>
      <w:outlineLvl w:val="1"/>
    </w:pPr>
    <w:rPr>
      <w:b w:val="0"/>
      <w:bCs w:val="0"/>
      <w:sz w:val="22"/>
      <w:szCs w:val="22"/>
    </w:rPr>
  </w:style>
  <w:style w:type="paragraph" w:styleId="Heading3">
    <w:name w:val="heading 3"/>
    <w:basedOn w:val="TOC3"/>
    <w:next w:val="Normal"/>
    <w:autoRedefine/>
    <w:qFormat/>
    <w:rsid w:val="00882716"/>
    <w:pPr>
      <w:keepNext/>
      <w:tabs>
        <w:tab w:val="center" w:pos="6840"/>
      </w:tabs>
      <w:jc w:val="center"/>
    </w:pPr>
    <w:rPr>
      <w:b w:val="0"/>
      <w:bCs w:val="0"/>
      <w:sz w:val="48"/>
      <w:szCs w:val="22"/>
    </w:rPr>
  </w:style>
  <w:style w:type="paragraph" w:styleId="Heading4">
    <w:name w:val="heading 4"/>
    <w:basedOn w:val="Normal"/>
    <w:next w:val="Normal"/>
    <w:qFormat/>
    <w:rsid w:val="00882716"/>
    <w:pPr>
      <w:keepNext/>
      <w:widowControl/>
      <w:outlineLvl w:val="3"/>
    </w:pPr>
    <w:rPr>
      <w:rFonts w:ascii="Arial" w:hAnsi="Arial" w:cs="Arial"/>
      <w:b/>
      <w:bCs/>
      <w:smallCaps/>
    </w:rPr>
  </w:style>
  <w:style w:type="paragraph" w:styleId="Heading5">
    <w:name w:val="heading 5"/>
    <w:basedOn w:val="Normal"/>
    <w:next w:val="Normal"/>
    <w:qFormat/>
    <w:rsid w:val="00882716"/>
    <w:pPr>
      <w:keepNext/>
      <w:jc w:val="center"/>
      <w:outlineLvl w:val="4"/>
    </w:pPr>
    <w:rPr>
      <w:rFonts w:ascii="Arial" w:hAnsi="Arial" w:cs="Arial"/>
      <w:b/>
      <w:bCs/>
      <w:sz w:val="32"/>
    </w:rPr>
  </w:style>
  <w:style w:type="paragraph" w:styleId="Heading6">
    <w:name w:val="heading 6"/>
    <w:basedOn w:val="Normal"/>
    <w:next w:val="Normal"/>
    <w:qFormat/>
    <w:rsid w:val="00882716"/>
    <w:pPr>
      <w:keepNext/>
      <w:widowControl/>
      <w:outlineLvl w:val="5"/>
    </w:pPr>
    <w:rPr>
      <w:rFonts w:ascii="Arial" w:hAnsi="Arial" w:cs="Arial"/>
      <w:b/>
      <w:bCs/>
      <w:smallCaps/>
      <w:sz w:val="19"/>
      <w:szCs w:val="19"/>
    </w:rPr>
  </w:style>
  <w:style w:type="paragraph" w:styleId="Heading7">
    <w:name w:val="heading 7"/>
    <w:basedOn w:val="Normal"/>
    <w:next w:val="Normal"/>
    <w:qFormat/>
    <w:rsid w:val="00882716"/>
    <w:pPr>
      <w:spacing w:before="240" w:after="60"/>
      <w:outlineLvl w:val="6"/>
    </w:pPr>
  </w:style>
  <w:style w:type="paragraph" w:styleId="Heading8">
    <w:name w:val="heading 8"/>
    <w:basedOn w:val="Normal"/>
    <w:next w:val="Normal"/>
    <w:qFormat/>
    <w:rsid w:val="00882716"/>
    <w:pPr>
      <w:spacing w:before="240" w:after="60"/>
      <w:outlineLvl w:val="7"/>
    </w:pPr>
    <w:rPr>
      <w:i/>
      <w:iCs/>
    </w:rPr>
  </w:style>
  <w:style w:type="paragraph" w:styleId="Heading9">
    <w:name w:val="heading 9"/>
    <w:basedOn w:val="Normal"/>
    <w:next w:val="Normal"/>
    <w:qFormat/>
    <w:rsid w:val="0088271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558F2"/>
    <w:rPr>
      <w:vertAlign w:val="superscript"/>
    </w:rPr>
  </w:style>
  <w:style w:type="paragraph" w:customStyle="1" w:styleId="a">
    <w:name w:val="_"/>
    <w:basedOn w:val="Normal"/>
    <w:rsid w:val="00882716"/>
    <w:pPr>
      <w:ind w:left="2059" w:hanging="1980"/>
    </w:pPr>
  </w:style>
  <w:style w:type="paragraph" w:customStyle="1" w:styleId="Quick">
    <w:name w:val="Quick _"/>
    <w:basedOn w:val="Normal"/>
    <w:rsid w:val="00882716"/>
    <w:pPr>
      <w:ind w:left="720" w:hanging="720"/>
    </w:pPr>
  </w:style>
  <w:style w:type="paragraph" w:customStyle="1" w:styleId="Quick1">
    <w:name w:val="Quick 1."/>
    <w:basedOn w:val="Normal"/>
    <w:rsid w:val="00882716"/>
    <w:pPr>
      <w:numPr>
        <w:numId w:val="1"/>
      </w:numPr>
      <w:ind w:left="719" w:hanging="640"/>
    </w:pPr>
  </w:style>
  <w:style w:type="character" w:styleId="Hyperlink">
    <w:name w:val="Hyperlink"/>
    <w:basedOn w:val="DefaultParagraphFont"/>
    <w:uiPriority w:val="99"/>
    <w:rsid w:val="00882716"/>
    <w:rPr>
      <w:color w:val="0000FF"/>
      <w:u w:val="single"/>
    </w:rPr>
  </w:style>
  <w:style w:type="character" w:styleId="FollowedHyperlink">
    <w:name w:val="FollowedHyperlink"/>
    <w:basedOn w:val="DefaultParagraphFont"/>
    <w:rsid w:val="00882716"/>
    <w:rPr>
      <w:color w:val="800080"/>
      <w:u w:val="single"/>
    </w:rPr>
  </w:style>
  <w:style w:type="paragraph" w:styleId="Header">
    <w:name w:val="header"/>
    <w:basedOn w:val="Normal"/>
    <w:link w:val="HeaderChar"/>
    <w:rsid w:val="00882716"/>
    <w:pPr>
      <w:tabs>
        <w:tab w:val="center" w:pos="4320"/>
        <w:tab w:val="right" w:pos="8640"/>
      </w:tabs>
    </w:pPr>
  </w:style>
  <w:style w:type="paragraph" w:styleId="Footer">
    <w:name w:val="footer"/>
    <w:basedOn w:val="Normal"/>
    <w:link w:val="FooterChar"/>
    <w:uiPriority w:val="99"/>
    <w:rsid w:val="00882716"/>
    <w:pPr>
      <w:tabs>
        <w:tab w:val="center" w:pos="4320"/>
        <w:tab w:val="right" w:pos="8640"/>
      </w:tabs>
    </w:pPr>
  </w:style>
  <w:style w:type="character" w:styleId="PageNumber">
    <w:name w:val="page number"/>
    <w:basedOn w:val="DefaultParagraphFont"/>
    <w:rsid w:val="00882716"/>
  </w:style>
  <w:style w:type="paragraph" w:styleId="BodyTextIndent">
    <w:name w:val="Body Text Indent"/>
    <w:basedOn w:val="Normal"/>
    <w:rsid w:val="00882716"/>
    <w:pPr>
      <w:widowControl/>
      <w:ind w:left="2520"/>
    </w:pPr>
  </w:style>
  <w:style w:type="paragraph" w:styleId="TOC1">
    <w:name w:val="toc 1"/>
    <w:basedOn w:val="Normal"/>
    <w:next w:val="Normal"/>
    <w:autoRedefine/>
    <w:uiPriority w:val="39"/>
    <w:rsid w:val="00F948FA"/>
    <w:pPr>
      <w:tabs>
        <w:tab w:val="left" w:pos="360"/>
        <w:tab w:val="right" w:pos="9350"/>
      </w:tabs>
      <w:spacing w:before="360"/>
      <w:outlineLvl w:val="0"/>
    </w:pPr>
    <w:rPr>
      <w:b/>
      <w:bCs/>
      <w:noProof/>
      <w:sz w:val="28"/>
      <w:szCs w:val="28"/>
    </w:rPr>
  </w:style>
  <w:style w:type="paragraph" w:styleId="TOC2">
    <w:name w:val="toc 2"/>
    <w:basedOn w:val="Normal"/>
    <w:next w:val="Normal"/>
    <w:autoRedefine/>
    <w:semiHidden/>
    <w:rsid w:val="009E2919"/>
    <w:pPr>
      <w:tabs>
        <w:tab w:val="num" w:pos="0"/>
      </w:tabs>
    </w:pPr>
    <w:rPr>
      <w:b/>
      <w:bCs/>
      <w:noProof/>
    </w:rPr>
  </w:style>
  <w:style w:type="paragraph" w:styleId="TOC3">
    <w:name w:val="toc 3"/>
    <w:basedOn w:val="Normal"/>
    <w:next w:val="Normal"/>
    <w:autoRedefine/>
    <w:uiPriority w:val="39"/>
    <w:rsid w:val="0054505E"/>
    <w:pPr>
      <w:tabs>
        <w:tab w:val="right" w:pos="9350"/>
      </w:tabs>
      <w:ind w:left="180"/>
      <w:outlineLvl w:val="2"/>
    </w:pPr>
    <w:rPr>
      <w:b/>
      <w:bCs/>
    </w:rPr>
  </w:style>
  <w:style w:type="paragraph" w:styleId="TOC4">
    <w:name w:val="toc 4"/>
    <w:basedOn w:val="Normal"/>
    <w:next w:val="Normal"/>
    <w:autoRedefine/>
    <w:uiPriority w:val="39"/>
    <w:rsid w:val="001C3314"/>
    <w:pPr>
      <w:ind w:leftChars="75" w:left="180"/>
      <w:outlineLvl w:val="3"/>
    </w:pPr>
    <w:rPr>
      <w:b/>
      <w:bCs/>
      <w:noProof/>
    </w:rPr>
  </w:style>
  <w:style w:type="paragraph" w:styleId="TOC5">
    <w:name w:val="toc 5"/>
    <w:basedOn w:val="Normal"/>
    <w:next w:val="Normal"/>
    <w:autoRedefine/>
    <w:semiHidden/>
    <w:rsid w:val="00882716"/>
    <w:pPr>
      <w:ind w:left="720"/>
    </w:pPr>
    <w:rPr>
      <w:b/>
      <w:bCs/>
    </w:rPr>
  </w:style>
  <w:style w:type="paragraph" w:styleId="TOC6">
    <w:name w:val="toc 6"/>
    <w:basedOn w:val="Normal"/>
    <w:next w:val="Normal"/>
    <w:autoRedefine/>
    <w:semiHidden/>
    <w:rsid w:val="00882716"/>
    <w:pPr>
      <w:ind w:left="960"/>
    </w:pPr>
  </w:style>
  <w:style w:type="paragraph" w:styleId="TOC7">
    <w:name w:val="toc 7"/>
    <w:basedOn w:val="Normal"/>
    <w:next w:val="Normal"/>
    <w:autoRedefine/>
    <w:uiPriority w:val="39"/>
    <w:rsid w:val="00882716"/>
    <w:pPr>
      <w:ind w:left="1200"/>
    </w:pPr>
  </w:style>
  <w:style w:type="paragraph" w:styleId="TOC8">
    <w:name w:val="toc 8"/>
    <w:basedOn w:val="Normal"/>
    <w:next w:val="Normal"/>
    <w:autoRedefine/>
    <w:semiHidden/>
    <w:rsid w:val="00882716"/>
    <w:pPr>
      <w:ind w:left="1440"/>
    </w:pPr>
  </w:style>
  <w:style w:type="paragraph" w:styleId="TOC9">
    <w:name w:val="toc 9"/>
    <w:basedOn w:val="Normal"/>
    <w:next w:val="Normal"/>
    <w:autoRedefine/>
    <w:semiHidden/>
    <w:rsid w:val="00882716"/>
    <w:pPr>
      <w:ind w:left="1680"/>
    </w:pPr>
  </w:style>
  <w:style w:type="paragraph" w:styleId="DocumentMap">
    <w:name w:val="Document Map"/>
    <w:basedOn w:val="Normal"/>
    <w:semiHidden/>
    <w:rsid w:val="00882716"/>
    <w:pPr>
      <w:shd w:val="clear" w:color="auto" w:fill="000080"/>
    </w:pPr>
    <w:rPr>
      <w:rFonts w:ascii="Tahoma" w:hAnsi="Tahoma" w:cs="Tahoma"/>
    </w:rPr>
  </w:style>
  <w:style w:type="paragraph" w:styleId="FootnoteText">
    <w:name w:val="footnote text"/>
    <w:basedOn w:val="Normal"/>
    <w:semiHidden/>
    <w:rsid w:val="00882716"/>
    <w:rPr>
      <w:sz w:val="20"/>
      <w:szCs w:val="20"/>
    </w:rPr>
  </w:style>
  <w:style w:type="paragraph" w:styleId="BodyTextIndent2">
    <w:name w:val="Body Text Indent 2"/>
    <w:basedOn w:val="Normal"/>
    <w:link w:val="BodyTextIndent2Char"/>
    <w:rsid w:val="00882716"/>
    <w:pPr>
      <w:widowControl/>
      <w:tabs>
        <w:tab w:val="left" w:pos="-981"/>
        <w:tab w:val="left" w:pos="-641"/>
        <w:tab w:val="left" w:pos="79"/>
        <w:tab w:val="left" w:pos="799"/>
        <w:tab w:val="left" w:pos="1519"/>
        <w:tab w:val="left" w:pos="2610"/>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2599"/>
    </w:pPr>
  </w:style>
  <w:style w:type="paragraph" w:styleId="BlockText">
    <w:name w:val="Block Text"/>
    <w:basedOn w:val="Normal"/>
    <w:rsid w:val="00882716"/>
    <w:pPr>
      <w:widowControl/>
      <w:tabs>
        <w:tab w:val="left" w:pos="-621"/>
        <w:tab w:val="left" w:pos="-281"/>
        <w:tab w:val="left" w:pos="259"/>
        <w:tab w:val="left" w:pos="2419"/>
        <w:tab w:val="left" w:pos="2779"/>
        <w:tab w:val="left" w:pos="3319"/>
        <w:tab w:val="left" w:pos="4039"/>
        <w:tab w:val="left" w:pos="4759"/>
        <w:tab w:val="left" w:pos="5479"/>
        <w:tab w:val="left" w:pos="6199"/>
        <w:tab w:val="left" w:pos="6919"/>
        <w:tab w:val="left" w:pos="7639"/>
        <w:tab w:val="left" w:pos="8359"/>
        <w:tab w:val="left" w:pos="9079"/>
        <w:tab w:val="left" w:pos="9799"/>
        <w:tab w:val="left" w:pos="10519"/>
        <w:tab w:val="left" w:pos="11239"/>
      </w:tabs>
      <w:ind w:left="2340" w:right="24"/>
    </w:pPr>
  </w:style>
  <w:style w:type="paragraph" w:styleId="BodyTextIndent3">
    <w:name w:val="Body Text Indent 3"/>
    <w:basedOn w:val="Normal"/>
    <w:rsid w:val="00882716"/>
    <w:pPr>
      <w:widowControl/>
      <w:tabs>
        <w:tab w:val="left" w:pos="-981"/>
        <w:tab w:val="left" w:pos="-641"/>
        <w:tab w:val="left" w:pos="-101"/>
        <w:tab w:val="left" w:pos="2059"/>
        <w:tab w:val="left" w:pos="2340"/>
        <w:tab w:val="left" w:pos="2959"/>
        <w:tab w:val="left" w:pos="3679"/>
        <w:tab w:val="left" w:pos="4399"/>
        <w:tab w:val="left" w:pos="5119"/>
        <w:tab w:val="left" w:pos="5839"/>
        <w:tab w:val="left" w:pos="6559"/>
        <w:tab w:val="left" w:pos="7279"/>
        <w:tab w:val="left" w:pos="7999"/>
        <w:tab w:val="left" w:pos="8719"/>
        <w:tab w:val="left" w:pos="9439"/>
        <w:tab w:val="left" w:pos="10159"/>
        <w:tab w:val="left" w:pos="10879"/>
      </w:tabs>
      <w:ind w:left="2340"/>
    </w:pPr>
  </w:style>
  <w:style w:type="paragraph" w:styleId="BodyText">
    <w:name w:val="Body Text"/>
    <w:aliases w:val="body text,bt,heading3,NCDOT Body Text,1body,BodText,Body Txt,FL IND"/>
    <w:basedOn w:val="Normal"/>
    <w:rsid w:val="00882716"/>
    <w:pPr>
      <w:tabs>
        <w:tab w:val="left" w:pos="-720"/>
      </w:tabs>
      <w:suppressAutoHyphens/>
      <w:autoSpaceDE/>
      <w:autoSpaceDN/>
      <w:adjustRightInd/>
      <w:spacing w:line="240" w:lineRule="atLeast"/>
    </w:pPr>
    <w:rPr>
      <w:rFonts w:ascii="Arial" w:hAnsi="Arial"/>
      <w:sz w:val="16"/>
      <w:szCs w:val="20"/>
    </w:rPr>
  </w:style>
  <w:style w:type="paragraph" w:styleId="BodyText3">
    <w:name w:val="Body Text 3"/>
    <w:basedOn w:val="Normal"/>
    <w:rsid w:val="00882716"/>
    <w:pPr>
      <w:keepLines/>
      <w:autoSpaceDE/>
      <w:autoSpaceDN/>
      <w:adjustRightInd/>
      <w:jc w:val="both"/>
    </w:pPr>
    <w:rPr>
      <w:rFonts w:ascii="Arial" w:hAnsi="Arial"/>
      <w:sz w:val="18"/>
      <w:szCs w:val="20"/>
    </w:rPr>
  </w:style>
  <w:style w:type="character" w:customStyle="1" w:styleId="EquationCaption">
    <w:name w:val="_Equation Caption"/>
    <w:rsid w:val="00882716"/>
  </w:style>
  <w:style w:type="paragraph" w:styleId="BodyText2">
    <w:name w:val="Body Text 2"/>
    <w:basedOn w:val="Normal"/>
    <w:rsid w:val="00882716"/>
    <w:pPr>
      <w:framePr w:w="4078" w:h="717" w:hRule="exact" w:hSpace="240" w:vSpace="240" w:wrap="auto" w:vAnchor="text" w:hAnchor="page" w:x="7702" w:y="4014"/>
      <w:tabs>
        <w:tab w:val="left" w:pos="-1440"/>
        <w:tab w:val="num" w:pos="720"/>
      </w:tabs>
      <w:jc w:val="center"/>
    </w:pPr>
    <w:rPr>
      <w:b/>
      <w:bCs/>
      <w:sz w:val="20"/>
    </w:rPr>
  </w:style>
  <w:style w:type="paragraph" w:customStyle="1" w:styleId="Style0">
    <w:name w:val="Style0"/>
    <w:rsid w:val="00882716"/>
    <w:pPr>
      <w:autoSpaceDE w:val="0"/>
      <w:autoSpaceDN w:val="0"/>
      <w:adjustRightInd w:val="0"/>
    </w:pPr>
    <w:rPr>
      <w:rFonts w:ascii="Arial" w:hAnsi="Arial"/>
      <w:sz w:val="24"/>
      <w:szCs w:val="24"/>
    </w:rPr>
  </w:style>
  <w:style w:type="paragraph" w:customStyle="1" w:styleId="level1">
    <w:name w:val="_level1"/>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1080" w:hanging="360"/>
    </w:pPr>
  </w:style>
  <w:style w:type="paragraph" w:customStyle="1" w:styleId="BodyTextIn">
    <w:name w:val="Body Text In"/>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360"/>
    </w:pPr>
  </w:style>
  <w:style w:type="paragraph" w:customStyle="1" w:styleId="BodyTextI1">
    <w:name w:val="Body Text I1"/>
    <w:basedOn w:val="Normal"/>
    <w:rsid w:val="00882716"/>
    <w:pPr>
      <w:tabs>
        <w:tab w:val="left" w:pos="0"/>
        <w:tab w:val="left" w:pos="360"/>
        <w:tab w:val="left" w:pos="1080"/>
        <w:tab w:val="left" w:pos="1800"/>
        <w:tab w:val="left" w:pos="2520"/>
        <w:tab w:val="left" w:pos="3240"/>
        <w:tab w:val="left" w:pos="3960"/>
        <w:tab w:val="left" w:pos="4680"/>
        <w:tab w:val="left" w:pos="5400"/>
        <w:tab w:val="left" w:pos="6120"/>
        <w:tab w:val="right" w:pos="6840"/>
      </w:tabs>
      <w:ind w:left="2520"/>
    </w:pPr>
  </w:style>
  <w:style w:type="character" w:styleId="CommentReference">
    <w:name w:val="annotation reference"/>
    <w:basedOn w:val="DefaultParagraphFont"/>
    <w:semiHidden/>
    <w:rsid w:val="00882716"/>
    <w:rPr>
      <w:sz w:val="16"/>
      <w:szCs w:val="16"/>
    </w:rPr>
  </w:style>
  <w:style w:type="paragraph" w:styleId="CommentText">
    <w:name w:val="annotation text"/>
    <w:basedOn w:val="Normal"/>
    <w:semiHidden/>
    <w:rsid w:val="00882716"/>
    <w:rPr>
      <w:sz w:val="20"/>
      <w:szCs w:val="20"/>
    </w:rPr>
  </w:style>
  <w:style w:type="paragraph" w:styleId="PlainText">
    <w:name w:val="Plain Text"/>
    <w:basedOn w:val="Normal"/>
    <w:rsid w:val="00882716"/>
    <w:pPr>
      <w:widowControl/>
      <w:autoSpaceDE/>
      <w:autoSpaceDN/>
      <w:adjustRightInd/>
    </w:pPr>
    <w:rPr>
      <w:rFonts w:ascii="Courier New" w:hAnsi="Courier New" w:cs="Courier New"/>
      <w:sz w:val="20"/>
      <w:szCs w:val="20"/>
    </w:rPr>
  </w:style>
  <w:style w:type="paragraph" w:customStyle="1" w:styleId="TOC114pt">
    <w:name w:val="TOC 1 + 14 pt"/>
    <w:basedOn w:val="TOC1"/>
    <w:rsid w:val="00882716"/>
    <w:rPr>
      <w:sz w:val="20"/>
    </w:rPr>
  </w:style>
  <w:style w:type="paragraph" w:styleId="CommentSubject">
    <w:name w:val="annotation subject"/>
    <w:basedOn w:val="CommentText"/>
    <w:next w:val="CommentText"/>
    <w:semiHidden/>
    <w:rsid w:val="00882716"/>
    <w:rPr>
      <w:b/>
      <w:bCs/>
    </w:rPr>
  </w:style>
  <w:style w:type="paragraph" w:styleId="EndnoteText">
    <w:name w:val="endnote text"/>
    <w:basedOn w:val="Normal"/>
    <w:semiHidden/>
    <w:rsid w:val="00882716"/>
    <w:rPr>
      <w:sz w:val="20"/>
      <w:szCs w:val="20"/>
    </w:rPr>
  </w:style>
  <w:style w:type="character" w:styleId="EndnoteReference">
    <w:name w:val="endnote reference"/>
    <w:basedOn w:val="DefaultParagraphFont"/>
    <w:semiHidden/>
    <w:rsid w:val="00882716"/>
    <w:rPr>
      <w:vertAlign w:val="superscript"/>
    </w:rPr>
  </w:style>
  <w:style w:type="paragraph" w:styleId="BalloonText">
    <w:name w:val="Balloon Text"/>
    <w:basedOn w:val="Normal"/>
    <w:semiHidden/>
    <w:rsid w:val="00882716"/>
    <w:rPr>
      <w:rFonts w:ascii="Tahoma" w:hAnsi="Tahoma" w:cs="Tahoma"/>
      <w:sz w:val="16"/>
      <w:szCs w:val="16"/>
    </w:rPr>
  </w:style>
  <w:style w:type="character" w:customStyle="1" w:styleId="searchword">
    <w:name w:val="searchword"/>
    <w:basedOn w:val="DefaultParagraphFont"/>
    <w:rsid w:val="00882716"/>
    <w:rPr>
      <w:shd w:val="clear" w:color="auto" w:fill="FFFF00"/>
    </w:rPr>
  </w:style>
  <w:style w:type="paragraph" w:customStyle="1" w:styleId="H4">
    <w:name w:val="H4"/>
    <w:basedOn w:val="Normal"/>
    <w:rsid w:val="008827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character" w:styleId="Strong">
    <w:name w:val="Strong"/>
    <w:basedOn w:val="DefaultParagraphFont"/>
    <w:qFormat/>
    <w:rsid w:val="00882716"/>
    <w:rPr>
      <w:b/>
      <w:bCs/>
    </w:rPr>
  </w:style>
  <w:style w:type="paragraph" w:styleId="ListParagraph">
    <w:name w:val="List Paragraph"/>
    <w:basedOn w:val="Normal"/>
    <w:uiPriority w:val="34"/>
    <w:qFormat/>
    <w:rsid w:val="00882716"/>
    <w:pPr>
      <w:ind w:left="720"/>
    </w:pPr>
  </w:style>
  <w:style w:type="paragraph" w:customStyle="1" w:styleId="xl19">
    <w:name w:val="xl19"/>
    <w:basedOn w:val="Normal"/>
    <w:rsid w:val="00882716"/>
    <w:pPr>
      <w:widowControl/>
      <w:autoSpaceDE/>
      <w:autoSpaceDN/>
      <w:adjustRightInd/>
      <w:spacing w:before="100" w:after="100"/>
    </w:pPr>
    <w:rPr>
      <w:rFonts w:eastAsia="Arial Unicode MS"/>
      <w:szCs w:val="20"/>
    </w:rPr>
  </w:style>
  <w:style w:type="paragraph" w:customStyle="1" w:styleId="xl24">
    <w:name w:val="xl24"/>
    <w:basedOn w:val="Normal"/>
    <w:rsid w:val="00882716"/>
    <w:pPr>
      <w:widowControl/>
      <w:autoSpaceDE/>
      <w:autoSpaceDN/>
      <w:adjustRightInd/>
      <w:spacing w:before="100" w:after="100"/>
    </w:pPr>
    <w:rPr>
      <w:rFonts w:eastAsia="Arial Unicode MS"/>
      <w:szCs w:val="20"/>
      <w:u w:val="single"/>
    </w:rPr>
  </w:style>
  <w:style w:type="paragraph" w:styleId="Revision">
    <w:name w:val="Revision"/>
    <w:hidden/>
    <w:uiPriority w:val="99"/>
    <w:semiHidden/>
    <w:rsid w:val="004C2E05"/>
    <w:rPr>
      <w:sz w:val="24"/>
      <w:szCs w:val="24"/>
    </w:rPr>
  </w:style>
  <w:style w:type="paragraph" w:styleId="Caption">
    <w:name w:val="caption"/>
    <w:basedOn w:val="Normal"/>
    <w:next w:val="Normal"/>
    <w:unhideWhenUsed/>
    <w:qFormat/>
    <w:rsid w:val="00226405"/>
    <w:rPr>
      <w:b/>
      <w:bCs/>
      <w:sz w:val="20"/>
      <w:szCs w:val="20"/>
    </w:rPr>
  </w:style>
  <w:style w:type="character" w:customStyle="1" w:styleId="HeaderChar">
    <w:name w:val="Header Char"/>
    <w:basedOn w:val="DefaultParagraphFont"/>
    <w:link w:val="Header"/>
    <w:rsid w:val="00B40D96"/>
    <w:rPr>
      <w:sz w:val="24"/>
      <w:szCs w:val="24"/>
    </w:rPr>
  </w:style>
  <w:style w:type="character" w:customStyle="1" w:styleId="FooterChar">
    <w:name w:val="Footer Char"/>
    <w:basedOn w:val="DefaultParagraphFont"/>
    <w:link w:val="Footer"/>
    <w:uiPriority w:val="99"/>
    <w:rsid w:val="00B40D96"/>
    <w:rPr>
      <w:sz w:val="24"/>
      <w:szCs w:val="24"/>
    </w:rPr>
  </w:style>
  <w:style w:type="paragraph" w:styleId="NormalWeb">
    <w:name w:val="Normal (Web)"/>
    <w:basedOn w:val="Normal"/>
    <w:uiPriority w:val="99"/>
    <w:unhideWhenUsed/>
    <w:rsid w:val="00DA46B1"/>
    <w:pPr>
      <w:widowControl/>
      <w:autoSpaceDE/>
      <w:autoSpaceDN/>
      <w:adjustRightInd/>
      <w:spacing w:before="100" w:beforeAutospacing="1" w:after="100" w:afterAutospacing="1"/>
    </w:pPr>
    <w:rPr>
      <w:color w:val="000000"/>
    </w:rPr>
  </w:style>
  <w:style w:type="character" w:customStyle="1" w:styleId="BodyTextIndent2Char">
    <w:name w:val="Body Text Indent 2 Char"/>
    <w:basedOn w:val="DefaultParagraphFont"/>
    <w:link w:val="BodyTextIndent2"/>
    <w:rsid w:val="00595FCF"/>
    <w:rPr>
      <w:sz w:val="24"/>
      <w:szCs w:val="24"/>
    </w:rPr>
  </w:style>
  <w:style w:type="character" w:customStyle="1" w:styleId="italic1">
    <w:name w:val="italic1"/>
    <w:basedOn w:val="DefaultParagraphFont"/>
    <w:rsid w:val="00C7046A"/>
    <w:rPr>
      <w:i/>
      <w:iCs/>
    </w:rPr>
  </w:style>
  <w:style w:type="paragraph" w:customStyle="1" w:styleId="Default">
    <w:name w:val="Default"/>
    <w:rsid w:val="00AC45EA"/>
    <w:pPr>
      <w:autoSpaceDE w:val="0"/>
      <w:autoSpaceDN w:val="0"/>
      <w:adjustRightInd w:val="0"/>
    </w:pPr>
    <w:rPr>
      <w:rFonts w:ascii="Calibri" w:hAnsi="Calibri" w:cs="Calibri"/>
      <w:color w:val="000000"/>
      <w:sz w:val="24"/>
      <w:szCs w:val="24"/>
    </w:rPr>
  </w:style>
  <w:style w:type="table" w:customStyle="1" w:styleId="MediumList11">
    <w:name w:val="Medium List 11"/>
    <w:basedOn w:val="TableNormal"/>
    <w:uiPriority w:val="65"/>
    <w:rsid w:val="007840AB"/>
    <w:rPr>
      <w:rFonts w:ascii="Calibri" w:hAnsi="Calibri"/>
      <w:color w:val="000000" w:themeColor="text1"/>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295896">
      <w:bodyDiv w:val="1"/>
      <w:marLeft w:val="66"/>
      <w:marRight w:val="66"/>
      <w:marTop w:val="66"/>
      <w:marBottom w:val="66"/>
      <w:divBdr>
        <w:top w:val="none" w:sz="0" w:space="0" w:color="auto"/>
        <w:left w:val="none" w:sz="0" w:space="0" w:color="auto"/>
        <w:bottom w:val="none" w:sz="0" w:space="0" w:color="auto"/>
        <w:right w:val="none" w:sz="0" w:space="0" w:color="auto"/>
      </w:divBdr>
      <w:divsChild>
        <w:div w:id="107168519">
          <w:marLeft w:val="0"/>
          <w:marRight w:val="0"/>
          <w:marTop w:val="0"/>
          <w:marBottom w:val="0"/>
          <w:divBdr>
            <w:top w:val="none" w:sz="0" w:space="0" w:color="auto"/>
            <w:left w:val="none" w:sz="0" w:space="0" w:color="auto"/>
            <w:bottom w:val="none" w:sz="0" w:space="0" w:color="auto"/>
            <w:right w:val="none" w:sz="0" w:space="0" w:color="auto"/>
          </w:divBdr>
          <w:divsChild>
            <w:div w:id="10119071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61886146">
      <w:bodyDiv w:val="1"/>
      <w:marLeft w:val="0"/>
      <w:marRight w:val="0"/>
      <w:marTop w:val="0"/>
      <w:marBottom w:val="0"/>
      <w:divBdr>
        <w:top w:val="none" w:sz="0" w:space="0" w:color="auto"/>
        <w:left w:val="none" w:sz="0" w:space="0" w:color="auto"/>
        <w:bottom w:val="none" w:sz="0" w:space="0" w:color="auto"/>
        <w:right w:val="none" w:sz="0" w:space="0" w:color="auto"/>
      </w:divBdr>
      <w:divsChild>
        <w:div w:id="1779518960">
          <w:marLeft w:val="0"/>
          <w:marRight w:val="52"/>
          <w:marTop w:val="0"/>
          <w:marBottom w:val="0"/>
          <w:divBdr>
            <w:top w:val="none" w:sz="0" w:space="0" w:color="auto"/>
            <w:left w:val="none" w:sz="0" w:space="0" w:color="auto"/>
            <w:bottom w:val="none" w:sz="0" w:space="0" w:color="auto"/>
            <w:right w:val="none" w:sz="0" w:space="0" w:color="auto"/>
          </w:divBdr>
          <w:divsChild>
            <w:div w:id="1145701265">
              <w:marLeft w:val="0"/>
              <w:marRight w:val="0"/>
              <w:marTop w:val="0"/>
              <w:marBottom w:val="0"/>
              <w:divBdr>
                <w:top w:val="single" w:sz="4" w:space="8" w:color="DDDDDD"/>
                <w:left w:val="single" w:sz="4" w:space="17" w:color="DDDDDD"/>
                <w:bottom w:val="single" w:sz="2" w:space="1" w:color="DDDDDD"/>
                <w:right w:val="single" w:sz="4" w:space="17" w:color="DDDDDD"/>
              </w:divBdr>
              <w:divsChild>
                <w:div w:id="221067410">
                  <w:marLeft w:val="0"/>
                  <w:marRight w:val="0"/>
                  <w:marTop w:val="157"/>
                  <w:marBottom w:val="0"/>
                  <w:divBdr>
                    <w:top w:val="none" w:sz="0" w:space="0" w:color="auto"/>
                    <w:left w:val="none" w:sz="0" w:space="0" w:color="auto"/>
                    <w:bottom w:val="none" w:sz="0" w:space="0" w:color="auto"/>
                    <w:right w:val="none" w:sz="0" w:space="0" w:color="auto"/>
                  </w:divBdr>
                </w:div>
              </w:divsChild>
            </w:div>
          </w:divsChild>
        </w:div>
      </w:divsChild>
    </w:div>
    <w:div w:id="336419927">
      <w:bodyDiv w:val="1"/>
      <w:marLeft w:val="0"/>
      <w:marRight w:val="0"/>
      <w:marTop w:val="0"/>
      <w:marBottom w:val="0"/>
      <w:divBdr>
        <w:top w:val="none" w:sz="0" w:space="0" w:color="auto"/>
        <w:left w:val="none" w:sz="0" w:space="0" w:color="auto"/>
        <w:bottom w:val="none" w:sz="0" w:space="0" w:color="auto"/>
        <w:right w:val="none" w:sz="0" w:space="0" w:color="auto"/>
      </w:divBdr>
    </w:div>
    <w:div w:id="396051334">
      <w:bodyDiv w:val="1"/>
      <w:marLeft w:val="0"/>
      <w:marRight w:val="0"/>
      <w:marTop w:val="0"/>
      <w:marBottom w:val="0"/>
      <w:divBdr>
        <w:top w:val="none" w:sz="0" w:space="0" w:color="auto"/>
        <w:left w:val="none" w:sz="0" w:space="0" w:color="auto"/>
        <w:bottom w:val="none" w:sz="0" w:space="0" w:color="auto"/>
        <w:right w:val="none" w:sz="0" w:space="0" w:color="auto"/>
      </w:divBdr>
    </w:div>
    <w:div w:id="498497286">
      <w:bodyDiv w:val="1"/>
      <w:marLeft w:val="0"/>
      <w:marRight w:val="0"/>
      <w:marTop w:val="0"/>
      <w:marBottom w:val="0"/>
      <w:divBdr>
        <w:top w:val="none" w:sz="0" w:space="0" w:color="auto"/>
        <w:left w:val="none" w:sz="0" w:space="0" w:color="auto"/>
        <w:bottom w:val="none" w:sz="0" w:space="0" w:color="auto"/>
        <w:right w:val="none" w:sz="0" w:space="0" w:color="auto"/>
      </w:divBdr>
    </w:div>
    <w:div w:id="565653814">
      <w:bodyDiv w:val="1"/>
      <w:marLeft w:val="0"/>
      <w:marRight w:val="0"/>
      <w:marTop w:val="0"/>
      <w:marBottom w:val="0"/>
      <w:divBdr>
        <w:top w:val="none" w:sz="0" w:space="0" w:color="auto"/>
        <w:left w:val="none" w:sz="0" w:space="0" w:color="auto"/>
        <w:bottom w:val="none" w:sz="0" w:space="0" w:color="auto"/>
        <w:right w:val="none" w:sz="0" w:space="0" w:color="auto"/>
      </w:divBdr>
    </w:div>
    <w:div w:id="599685293">
      <w:bodyDiv w:val="1"/>
      <w:marLeft w:val="0"/>
      <w:marRight w:val="0"/>
      <w:marTop w:val="0"/>
      <w:marBottom w:val="0"/>
      <w:divBdr>
        <w:top w:val="none" w:sz="0" w:space="0" w:color="auto"/>
        <w:left w:val="none" w:sz="0" w:space="0" w:color="auto"/>
        <w:bottom w:val="none" w:sz="0" w:space="0" w:color="auto"/>
        <w:right w:val="none" w:sz="0" w:space="0" w:color="auto"/>
      </w:divBdr>
    </w:div>
    <w:div w:id="954676833">
      <w:bodyDiv w:val="1"/>
      <w:marLeft w:val="0"/>
      <w:marRight w:val="0"/>
      <w:marTop w:val="0"/>
      <w:marBottom w:val="0"/>
      <w:divBdr>
        <w:top w:val="none" w:sz="0" w:space="0" w:color="auto"/>
        <w:left w:val="none" w:sz="0" w:space="0" w:color="auto"/>
        <w:bottom w:val="none" w:sz="0" w:space="0" w:color="auto"/>
        <w:right w:val="none" w:sz="0" w:space="0" w:color="auto"/>
      </w:divBdr>
    </w:div>
    <w:div w:id="958797668">
      <w:bodyDiv w:val="1"/>
      <w:marLeft w:val="0"/>
      <w:marRight w:val="0"/>
      <w:marTop w:val="0"/>
      <w:marBottom w:val="0"/>
      <w:divBdr>
        <w:top w:val="none" w:sz="0" w:space="0" w:color="auto"/>
        <w:left w:val="none" w:sz="0" w:space="0" w:color="auto"/>
        <w:bottom w:val="none" w:sz="0" w:space="0" w:color="auto"/>
        <w:right w:val="none" w:sz="0" w:space="0" w:color="auto"/>
      </w:divBdr>
    </w:div>
    <w:div w:id="1003973229">
      <w:bodyDiv w:val="1"/>
      <w:marLeft w:val="0"/>
      <w:marRight w:val="0"/>
      <w:marTop w:val="0"/>
      <w:marBottom w:val="0"/>
      <w:divBdr>
        <w:top w:val="none" w:sz="0" w:space="0" w:color="auto"/>
        <w:left w:val="none" w:sz="0" w:space="0" w:color="auto"/>
        <w:bottom w:val="none" w:sz="0" w:space="0" w:color="auto"/>
        <w:right w:val="none" w:sz="0" w:space="0" w:color="auto"/>
      </w:divBdr>
    </w:div>
    <w:div w:id="1095782430">
      <w:bodyDiv w:val="1"/>
      <w:marLeft w:val="0"/>
      <w:marRight w:val="0"/>
      <w:marTop w:val="0"/>
      <w:marBottom w:val="0"/>
      <w:divBdr>
        <w:top w:val="none" w:sz="0" w:space="0" w:color="auto"/>
        <w:left w:val="none" w:sz="0" w:space="0" w:color="auto"/>
        <w:bottom w:val="none" w:sz="0" w:space="0" w:color="auto"/>
        <w:right w:val="none" w:sz="0" w:space="0" w:color="auto"/>
      </w:divBdr>
      <w:divsChild>
        <w:div w:id="396705201">
          <w:marLeft w:val="0"/>
          <w:marRight w:val="52"/>
          <w:marTop w:val="0"/>
          <w:marBottom w:val="0"/>
          <w:divBdr>
            <w:top w:val="none" w:sz="0" w:space="0" w:color="auto"/>
            <w:left w:val="none" w:sz="0" w:space="0" w:color="auto"/>
            <w:bottom w:val="none" w:sz="0" w:space="0" w:color="auto"/>
            <w:right w:val="none" w:sz="0" w:space="0" w:color="auto"/>
          </w:divBdr>
          <w:divsChild>
            <w:div w:id="1723361064">
              <w:marLeft w:val="0"/>
              <w:marRight w:val="0"/>
              <w:marTop w:val="0"/>
              <w:marBottom w:val="0"/>
              <w:divBdr>
                <w:top w:val="single" w:sz="4" w:space="8" w:color="DDDDDD"/>
                <w:left w:val="single" w:sz="4" w:space="17" w:color="DDDDDD"/>
                <w:bottom w:val="single" w:sz="2" w:space="1" w:color="DDDDDD"/>
                <w:right w:val="single" w:sz="4" w:space="17" w:color="DDDDDD"/>
              </w:divBdr>
              <w:divsChild>
                <w:div w:id="106432348">
                  <w:marLeft w:val="0"/>
                  <w:marRight w:val="0"/>
                  <w:marTop w:val="157"/>
                  <w:marBottom w:val="0"/>
                  <w:divBdr>
                    <w:top w:val="none" w:sz="0" w:space="0" w:color="auto"/>
                    <w:left w:val="none" w:sz="0" w:space="0" w:color="auto"/>
                    <w:bottom w:val="none" w:sz="0" w:space="0" w:color="auto"/>
                    <w:right w:val="none" w:sz="0" w:space="0" w:color="auto"/>
                  </w:divBdr>
                </w:div>
              </w:divsChild>
            </w:div>
          </w:divsChild>
        </w:div>
      </w:divsChild>
    </w:div>
    <w:div w:id="1192762337">
      <w:bodyDiv w:val="1"/>
      <w:marLeft w:val="66"/>
      <w:marRight w:val="66"/>
      <w:marTop w:val="66"/>
      <w:marBottom w:val="66"/>
      <w:divBdr>
        <w:top w:val="none" w:sz="0" w:space="0" w:color="auto"/>
        <w:left w:val="none" w:sz="0" w:space="0" w:color="auto"/>
        <w:bottom w:val="none" w:sz="0" w:space="0" w:color="auto"/>
        <w:right w:val="none" w:sz="0" w:space="0" w:color="auto"/>
      </w:divBdr>
      <w:divsChild>
        <w:div w:id="2112236329">
          <w:marLeft w:val="0"/>
          <w:marRight w:val="0"/>
          <w:marTop w:val="0"/>
          <w:marBottom w:val="0"/>
          <w:divBdr>
            <w:top w:val="none" w:sz="0" w:space="0" w:color="auto"/>
            <w:left w:val="none" w:sz="0" w:space="0" w:color="auto"/>
            <w:bottom w:val="none" w:sz="0" w:space="0" w:color="auto"/>
            <w:right w:val="none" w:sz="0" w:space="0" w:color="auto"/>
          </w:divBdr>
          <w:divsChild>
            <w:div w:id="8445629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21206110">
      <w:bodyDiv w:val="1"/>
      <w:marLeft w:val="0"/>
      <w:marRight w:val="0"/>
      <w:marTop w:val="0"/>
      <w:marBottom w:val="0"/>
      <w:divBdr>
        <w:top w:val="none" w:sz="0" w:space="0" w:color="auto"/>
        <w:left w:val="none" w:sz="0" w:space="0" w:color="auto"/>
        <w:bottom w:val="none" w:sz="0" w:space="0" w:color="auto"/>
        <w:right w:val="none" w:sz="0" w:space="0" w:color="auto"/>
      </w:divBdr>
    </w:div>
    <w:div w:id="1301881273">
      <w:bodyDiv w:val="1"/>
      <w:marLeft w:val="0"/>
      <w:marRight w:val="0"/>
      <w:marTop w:val="0"/>
      <w:marBottom w:val="0"/>
      <w:divBdr>
        <w:top w:val="none" w:sz="0" w:space="0" w:color="auto"/>
        <w:left w:val="none" w:sz="0" w:space="0" w:color="auto"/>
        <w:bottom w:val="none" w:sz="0" w:space="0" w:color="auto"/>
        <w:right w:val="none" w:sz="0" w:space="0" w:color="auto"/>
      </w:divBdr>
    </w:div>
    <w:div w:id="1409689989">
      <w:bodyDiv w:val="1"/>
      <w:marLeft w:val="0"/>
      <w:marRight w:val="0"/>
      <w:marTop w:val="0"/>
      <w:marBottom w:val="0"/>
      <w:divBdr>
        <w:top w:val="none" w:sz="0" w:space="0" w:color="auto"/>
        <w:left w:val="none" w:sz="0" w:space="0" w:color="auto"/>
        <w:bottom w:val="none" w:sz="0" w:space="0" w:color="auto"/>
        <w:right w:val="none" w:sz="0" w:space="0" w:color="auto"/>
      </w:divBdr>
      <w:divsChild>
        <w:div w:id="2090535615">
          <w:marLeft w:val="0"/>
          <w:marRight w:val="52"/>
          <w:marTop w:val="0"/>
          <w:marBottom w:val="0"/>
          <w:divBdr>
            <w:top w:val="none" w:sz="0" w:space="0" w:color="auto"/>
            <w:left w:val="none" w:sz="0" w:space="0" w:color="auto"/>
            <w:bottom w:val="none" w:sz="0" w:space="0" w:color="auto"/>
            <w:right w:val="none" w:sz="0" w:space="0" w:color="auto"/>
          </w:divBdr>
          <w:divsChild>
            <w:div w:id="1354721914">
              <w:marLeft w:val="0"/>
              <w:marRight w:val="0"/>
              <w:marTop w:val="0"/>
              <w:marBottom w:val="0"/>
              <w:divBdr>
                <w:top w:val="single" w:sz="4" w:space="8" w:color="DDDDDD"/>
                <w:left w:val="single" w:sz="4" w:space="17" w:color="DDDDDD"/>
                <w:bottom w:val="single" w:sz="2" w:space="1" w:color="DDDDDD"/>
                <w:right w:val="single" w:sz="4" w:space="17" w:color="DDDDDD"/>
              </w:divBdr>
              <w:divsChild>
                <w:div w:id="1881547187">
                  <w:marLeft w:val="0"/>
                  <w:marRight w:val="0"/>
                  <w:marTop w:val="157"/>
                  <w:marBottom w:val="0"/>
                  <w:divBdr>
                    <w:top w:val="none" w:sz="0" w:space="0" w:color="auto"/>
                    <w:left w:val="none" w:sz="0" w:space="0" w:color="auto"/>
                    <w:bottom w:val="none" w:sz="0" w:space="0" w:color="auto"/>
                    <w:right w:val="none" w:sz="0" w:space="0" w:color="auto"/>
                  </w:divBdr>
                </w:div>
              </w:divsChild>
            </w:div>
          </w:divsChild>
        </w:div>
      </w:divsChild>
    </w:div>
    <w:div w:id="1411344731">
      <w:bodyDiv w:val="1"/>
      <w:marLeft w:val="0"/>
      <w:marRight w:val="0"/>
      <w:marTop w:val="0"/>
      <w:marBottom w:val="0"/>
      <w:divBdr>
        <w:top w:val="none" w:sz="0" w:space="0" w:color="auto"/>
        <w:left w:val="none" w:sz="0" w:space="0" w:color="auto"/>
        <w:bottom w:val="none" w:sz="0" w:space="0" w:color="auto"/>
        <w:right w:val="none" w:sz="0" w:space="0" w:color="auto"/>
      </w:divBdr>
      <w:divsChild>
        <w:div w:id="692921812">
          <w:marLeft w:val="0"/>
          <w:marRight w:val="0"/>
          <w:marTop w:val="0"/>
          <w:marBottom w:val="0"/>
          <w:divBdr>
            <w:top w:val="none" w:sz="0" w:space="0" w:color="auto"/>
            <w:left w:val="none" w:sz="0" w:space="0" w:color="auto"/>
            <w:bottom w:val="none" w:sz="0" w:space="0" w:color="auto"/>
            <w:right w:val="none" w:sz="0" w:space="0" w:color="auto"/>
          </w:divBdr>
          <w:divsChild>
            <w:div w:id="1255018388">
              <w:marLeft w:val="0"/>
              <w:marRight w:val="0"/>
              <w:marTop w:val="0"/>
              <w:marBottom w:val="0"/>
              <w:divBdr>
                <w:top w:val="single" w:sz="18" w:space="7" w:color="046091"/>
                <w:left w:val="single" w:sz="18" w:space="7" w:color="046091"/>
                <w:bottom w:val="single" w:sz="18" w:space="13" w:color="046091"/>
                <w:right w:val="single" w:sz="18" w:space="7" w:color="046091"/>
              </w:divBdr>
              <w:divsChild>
                <w:div w:id="1086076617">
                  <w:marLeft w:val="0"/>
                  <w:marRight w:val="0"/>
                  <w:marTop w:val="0"/>
                  <w:marBottom w:val="0"/>
                  <w:divBdr>
                    <w:top w:val="none" w:sz="0" w:space="0" w:color="auto"/>
                    <w:left w:val="none" w:sz="0" w:space="0" w:color="auto"/>
                    <w:bottom w:val="none" w:sz="0" w:space="0" w:color="auto"/>
                    <w:right w:val="none" w:sz="0" w:space="0" w:color="auto"/>
                  </w:divBdr>
                  <w:divsChild>
                    <w:div w:id="84885470">
                      <w:marLeft w:val="0"/>
                      <w:marRight w:val="0"/>
                      <w:marTop w:val="0"/>
                      <w:marBottom w:val="0"/>
                      <w:divBdr>
                        <w:top w:val="none" w:sz="0" w:space="0" w:color="auto"/>
                        <w:left w:val="none" w:sz="0" w:space="0" w:color="auto"/>
                        <w:bottom w:val="none" w:sz="0" w:space="0" w:color="auto"/>
                        <w:right w:val="none" w:sz="0" w:space="0" w:color="auto"/>
                      </w:divBdr>
                      <w:divsChild>
                        <w:div w:id="74254850">
                          <w:marLeft w:val="0"/>
                          <w:marRight w:val="0"/>
                          <w:marTop w:val="0"/>
                          <w:marBottom w:val="0"/>
                          <w:divBdr>
                            <w:top w:val="none" w:sz="0" w:space="0" w:color="auto"/>
                            <w:left w:val="none" w:sz="0" w:space="0" w:color="auto"/>
                            <w:bottom w:val="none" w:sz="0" w:space="0" w:color="auto"/>
                            <w:right w:val="none" w:sz="0" w:space="0" w:color="auto"/>
                          </w:divBdr>
                          <w:divsChild>
                            <w:div w:id="1685666190">
                              <w:marLeft w:val="0"/>
                              <w:marRight w:val="0"/>
                              <w:marTop w:val="0"/>
                              <w:marBottom w:val="0"/>
                              <w:divBdr>
                                <w:top w:val="none" w:sz="0" w:space="0" w:color="auto"/>
                                <w:left w:val="none" w:sz="0" w:space="0" w:color="auto"/>
                                <w:bottom w:val="none" w:sz="0" w:space="0" w:color="auto"/>
                                <w:right w:val="none" w:sz="0" w:space="0" w:color="auto"/>
                              </w:divBdr>
                              <w:divsChild>
                                <w:div w:id="194972715">
                                  <w:marLeft w:val="0"/>
                                  <w:marRight w:val="0"/>
                                  <w:marTop w:val="0"/>
                                  <w:marBottom w:val="0"/>
                                  <w:divBdr>
                                    <w:top w:val="none" w:sz="0" w:space="0" w:color="auto"/>
                                    <w:left w:val="none" w:sz="0" w:space="0" w:color="auto"/>
                                    <w:bottom w:val="none" w:sz="0" w:space="0" w:color="auto"/>
                                    <w:right w:val="none" w:sz="0" w:space="0" w:color="auto"/>
                                  </w:divBdr>
                                  <w:divsChild>
                                    <w:div w:id="1629553488">
                                      <w:marLeft w:val="0"/>
                                      <w:marRight w:val="0"/>
                                      <w:marTop w:val="0"/>
                                      <w:marBottom w:val="0"/>
                                      <w:divBdr>
                                        <w:top w:val="none" w:sz="0" w:space="0" w:color="auto"/>
                                        <w:left w:val="none" w:sz="0" w:space="0" w:color="auto"/>
                                        <w:bottom w:val="none" w:sz="0" w:space="0" w:color="auto"/>
                                        <w:right w:val="none" w:sz="0" w:space="0" w:color="auto"/>
                                      </w:divBdr>
                                      <w:divsChild>
                                        <w:div w:id="1981615367">
                                          <w:marLeft w:val="0"/>
                                          <w:marRight w:val="0"/>
                                          <w:marTop w:val="0"/>
                                          <w:marBottom w:val="0"/>
                                          <w:divBdr>
                                            <w:top w:val="none" w:sz="0" w:space="0" w:color="auto"/>
                                            <w:left w:val="none" w:sz="0" w:space="0" w:color="auto"/>
                                            <w:bottom w:val="none" w:sz="0" w:space="0" w:color="auto"/>
                                            <w:right w:val="none" w:sz="0" w:space="0" w:color="auto"/>
                                          </w:divBdr>
                                          <w:divsChild>
                                            <w:div w:id="1397513075">
                                              <w:marLeft w:val="0"/>
                                              <w:marRight w:val="0"/>
                                              <w:marTop w:val="0"/>
                                              <w:marBottom w:val="0"/>
                                              <w:divBdr>
                                                <w:top w:val="none" w:sz="0" w:space="0" w:color="auto"/>
                                                <w:left w:val="none" w:sz="0" w:space="0" w:color="auto"/>
                                                <w:bottom w:val="none" w:sz="0" w:space="0" w:color="auto"/>
                                                <w:right w:val="none" w:sz="0" w:space="0" w:color="auto"/>
                                              </w:divBdr>
                                              <w:divsChild>
                                                <w:div w:id="1914004793">
                                                  <w:marLeft w:val="0"/>
                                                  <w:marRight w:val="0"/>
                                                  <w:marTop w:val="0"/>
                                                  <w:marBottom w:val="0"/>
                                                  <w:divBdr>
                                                    <w:top w:val="none" w:sz="0" w:space="0" w:color="auto"/>
                                                    <w:left w:val="none" w:sz="0" w:space="0" w:color="auto"/>
                                                    <w:bottom w:val="none" w:sz="0" w:space="0" w:color="auto"/>
                                                    <w:right w:val="none" w:sz="0" w:space="0" w:color="auto"/>
                                                  </w:divBdr>
                                                  <w:divsChild>
                                                    <w:div w:id="2119056605">
                                                      <w:marLeft w:val="0"/>
                                                      <w:marRight w:val="0"/>
                                                      <w:marTop w:val="100"/>
                                                      <w:marBottom w:val="26"/>
                                                      <w:divBdr>
                                                        <w:top w:val="single" w:sz="4" w:space="0" w:color="CCCCCC"/>
                                                        <w:left w:val="single" w:sz="4" w:space="0" w:color="CCCCCC"/>
                                                        <w:bottom w:val="single" w:sz="4" w:space="0" w:color="CCCCCC"/>
                                                        <w:right w:val="single" w:sz="4" w:space="0" w:color="CCCCCC"/>
                                                      </w:divBdr>
                                                      <w:divsChild>
                                                        <w:div w:id="8135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1379665">
      <w:bodyDiv w:val="1"/>
      <w:marLeft w:val="0"/>
      <w:marRight w:val="0"/>
      <w:marTop w:val="0"/>
      <w:marBottom w:val="0"/>
      <w:divBdr>
        <w:top w:val="none" w:sz="0" w:space="0" w:color="auto"/>
        <w:left w:val="none" w:sz="0" w:space="0" w:color="auto"/>
        <w:bottom w:val="none" w:sz="0" w:space="0" w:color="auto"/>
        <w:right w:val="none" w:sz="0" w:space="0" w:color="auto"/>
      </w:divBdr>
    </w:div>
    <w:div w:id="19204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footer" Target="footer8.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chart" Target="charts/chart5.xml"/><Relationship Id="rId47" Type="http://schemas.openxmlformats.org/officeDocument/2006/relationships/header" Target="header5.xml"/><Relationship Id="rId50" Type="http://schemas.openxmlformats.org/officeDocument/2006/relationships/image" Target="media/image22.jpeg"/><Relationship Id="rId55" Type="http://schemas.openxmlformats.org/officeDocument/2006/relationships/hyperlink" Target="http://www.justice.gov/atr/cases/yazaki.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ustice.gov/02organizations/bpp.htm" TargetMode="External"/><Relationship Id="rId20" Type="http://schemas.openxmlformats.org/officeDocument/2006/relationships/image" Target="media/image5.jpeg"/><Relationship Id="rId29" Type="http://schemas.openxmlformats.org/officeDocument/2006/relationships/chart" Target="charts/chart3.xml"/><Relationship Id="rId41" Type="http://schemas.openxmlformats.org/officeDocument/2006/relationships/chart" Target="charts/chart4.xml"/><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footer" Target="footer9.xml"/><Relationship Id="rId45" Type="http://schemas.openxmlformats.org/officeDocument/2006/relationships/chart" Target="charts/chart7.xml"/><Relationship Id="rId53" Type="http://schemas.openxmlformats.org/officeDocument/2006/relationships/image" Target="media/image25.png"/><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1.jpeg"/><Relationship Id="rId57" Type="http://schemas.openxmlformats.org/officeDocument/2006/relationships/image" Target="media/image27.jpeg"/><Relationship Id="rId61" Type="http://schemas.openxmlformats.org/officeDocument/2006/relationships/footer" Target="footer11.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chart" Target="charts/chart6.xml"/><Relationship Id="rId52" Type="http://schemas.openxmlformats.org/officeDocument/2006/relationships/image" Target="media/image24.jpeg"/><Relationship Id="rId60"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footer" Target="footer5.xml"/><Relationship Id="rId35" Type="http://schemas.openxmlformats.org/officeDocument/2006/relationships/image" Target="media/image15.jpeg"/><Relationship Id="rId43" Type="http://schemas.openxmlformats.org/officeDocument/2006/relationships/header" Target="header4.xml"/><Relationship Id="rId48" Type="http://schemas.openxmlformats.org/officeDocument/2006/relationships/image" Target="media/image20.jpeg"/><Relationship Id="rId56" Type="http://schemas.openxmlformats.org/officeDocument/2006/relationships/hyperlink" Target="http://www.justice.gov/atr/cases/furukawa.html" TargetMode="Externa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footer" Target="footer7.xml"/><Relationship Id="rId38" Type="http://schemas.openxmlformats.org/officeDocument/2006/relationships/image" Target="media/image18.jpeg"/><Relationship Id="rId46" Type="http://schemas.openxmlformats.org/officeDocument/2006/relationships/image" Target="media/image19.jpeg"/><Relationship Id="rId59"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cbo.gov/sites/default/files/cbofiles/attachments/43907-BudgetOutlook.pdf" TargetMode="External"/><Relationship Id="rId3" Type="http://schemas.openxmlformats.org/officeDocument/2006/relationships/hyperlink" Target="http://money.cnn.com/2013/02/12/investing/merger-acquisition/index.html" TargetMode="External"/><Relationship Id="rId7" Type="http://schemas.openxmlformats.org/officeDocument/2006/relationships/hyperlink" Target="http://pewinternet.org/Reports/2011/13--Internet-phone-calls--Skype.aspx" TargetMode="External"/><Relationship Id="rId2" Type="http://schemas.openxmlformats.org/officeDocument/2006/relationships/hyperlink" Target="http://www.cnnmoney.com" TargetMode="External"/><Relationship Id="rId1" Type="http://schemas.openxmlformats.org/officeDocument/2006/relationships/hyperlink" Target="http://www.bea.gov/newsreleases/international/trade/2012/pdf/trad1012.pdf" TargetMode="External"/><Relationship Id="rId6" Type="http://schemas.openxmlformats.org/officeDocument/2006/relationships/hyperlink" Target="http://www.pewinternet.org/~/media//Files/Reports/2012/PIP_Cell_Phone_Internet_Access.pdf" TargetMode="External"/><Relationship Id="rId5" Type="http://schemas.openxmlformats.org/officeDocument/2006/relationships/hyperlink" Target="http://www.ctia.org/consumer_info/service/index.cfm/AID/10323" TargetMode="External"/><Relationship Id="rId4" Type="http://schemas.openxmlformats.org/officeDocument/2006/relationships/hyperlink" Target="http://www.ctia.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TR-WX-VEGADA\LocalProfile$\vegada\MY%20Documents\NrPortbl\WAS\VEGADA\993816_1.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NrPortbl\WAS\VEGADA\939834_2.XLSX" TargetMode="External"/><Relationship Id="rId1" Type="http://schemas.openxmlformats.org/officeDocument/2006/relationships/image" Target="../media/image11.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2" Type="http://schemas.openxmlformats.org/officeDocument/2006/relationships/oleObject" Target="file:///C:\NrPortbl\WAS\VEGADA\1019144_1.XLSX" TargetMode="External"/><Relationship Id="rId1" Type="http://schemas.openxmlformats.org/officeDocument/2006/relationships/image" Target="../media/image11.jpeg"/></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image" Target="../media/image11.jpe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image" Target="../media/image11.jpeg"/></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image" Target="../media/image1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Rounded MT Bold"/>
                <a:ea typeface="Arial Rounded MT Bold"/>
                <a:cs typeface="Arial Rounded MT Bold"/>
              </a:defRPr>
            </a:pPr>
            <a:r>
              <a:rPr lang="en-US"/>
              <a:t>U.S. Merger Value and 
Chargeable Filings</a:t>
            </a:r>
          </a:p>
        </c:rich>
      </c:tx>
      <c:layout>
        <c:manualLayout>
          <c:xMode val="edge"/>
          <c:yMode val="edge"/>
          <c:x val="0.39488286624825997"/>
          <c:y val="1.1456801730629443E-2"/>
        </c:manualLayout>
      </c:layout>
      <c:spPr>
        <a:noFill/>
        <a:ln w="25400">
          <a:noFill/>
        </a:ln>
      </c:spPr>
    </c:title>
    <c:plotArea>
      <c:layout>
        <c:manualLayout>
          <c:layoutTarget val="inner"/>
          <c:xMode val="edge"/>
          <c:yMode val="edge"/>
          <c:x val="0.12202377712819371"/>
          <c:y val="0.10801963993453356"/>
          <c:w val="0.72143997050535902"/>
          <c:h val="0.62847790507364976"/>
        </c:manualLayout>
      </c:layout>
      <c:barChart>
        <c:barDir val="col"/>
        <c:grouping val="clustered"/>
        <c:ser>
          <c:idx val="1"/>
          <c:order val="0"/>
          <c:tx>
            <c:v>Chargeable Filings</c:v>
          </c:tx>
          <c:spPr>
            <a:solidFill>
              <a:srgbClr val="993366"/>
            </a:solidFill>
            <a:ln w="38100">
              <a:solidFill>
                <a:srgbClr val="800080"/>
              </a:solidFill>
              <a:prstDash val="solid"/>
            </a:ln>
            <a:effectLst>
              <a:outerShdw dist="35921" dir="2700000" algn="br">
                <a:srgbClr val="000000"/>
              </a:outerShdw>
            </a:effectLst>
            <a:scene3d>
              <a:camera prst="orthographicFront"/>
              <a:lightRig rig="threePt" dir="t"/>
            </a:scene3d>
            <a:sp3d>
              <a:bevelT w="114300" prst="artDeco"/>
              <a:bevelB/>
            </a:sp3d>
          </c:spPr>
          <c:cat>
            <c:numRef>
              <c:f>Sheet1!$A$17:$A$24</c:f>
              <c:numCache>
                <c:formatCode>General</c:formatCode>
                <c:ptCount val="8"/>
                <c:pt idx="0">
                  <c:v>2005</c:v>
                </c:pt>
                <c:pt idx="1">
                  <c:v>2006</c:v>
                </c:pt>
                <c:pt idx="2">
                  <c:v>2007</c:v>
                </c:pt>
                <c:pt idx="3">
                  <c:v>2008</c:v>
                </c:pt>
                <c:pt idx="4">
                  <c:v>2009</c:v>
                </c:pt>
                <c:pt idx="5">
                  <c:v>2010</c:v>
                </c:pt>
                <c:pt idx="6">
                  <c:v>2011</c:v>
                </c:pt>
                <c:pt idx="7">
                  <c:v>2012</c:v>
                </c:pt>
              </c:numCache>
            </c:numRef>
          </c:cat>
          <c:val>
            <c:numRef>
              <c:f>Sheet1!$B$17:$B$24</c:f>
              <c:numCache>
                <c:formatCode>General</c:formatCode>
                <c:ptCount val="8"/>
                <c:pt idx="0">
                  <c:v>1592</c:v>
                </c:pt>
                <c:pt idx="1">
                  <c:v>1732</c:v>
                </c:pt>
                <c:pt idx="2">
                  <c:v>2098</c:v>
                </c:pt>
                <c:pt idx="3">
                  <c:v>1683</c:v>
                </c:pt>
                <c:pt idx="4">
                  <c:v>673</c:v>
                </c:pt>
                <c:pt idx="5">
                  <c:v>1126</c:v>
                </c:pt>
                <c:pt idx="6">
                  <c:v>1419</c:v>
                </c:pt>
                <c:pt idx="7">
                  <c:v>1418</c:v>
                </c:pt>
              </c:numCache>
            </c:numRef>
          </c:val>
        </c:ser>
        <c:axId val="180584832"/>
        <c:axId val="180587904"/>
      </c:barChart>
      <c:lineChart>
        <c:grouping val="standard"/>
        <c:ser>
          <c:idx val="0"/>
          <c:order val="1"/>
          <c:tx>
            <c:v>U.S. Merger Value</c:v>
          </c:tx>
          <c:spPr>
            <a:ln w="38100">
              <a:solidFill>
                <a:srgbClr val="000080"/>
              </a:solidFill>
              <a:prstDash val="solid"/>
            </a:ln>
          </c:spPr>
          <c:marker>
            <c:symbol val="diamond"/>
            <c:size val="9"/>
            <c:spPr>
              <a:solidFill>
                <a:srgbClr val="000080"/>
              </a:solidFill>
              <a:ln>
                <a:solidFill>
                  <a:srgbClr val="000080"/>
                </a:solidFill>
                <a:prstDash val="solid"/>
              </a:ln>
              <a:effectLst>
                <a:outerShdw dist="35921" dir="2700000" algn="br">
                  <a:srgbClr val="000000"/>
                </a:outerShdw>
              </a:effectLst>
              <a:scene3d>
                <a:camera prst="orthographicFront"/>
                <a:lightRig rig="threePt" dir="t"/>
              </a:scene3d>
              <a:sp3d prstMaterial="metal"/>
            </c:spPr>
          </c:marker>
          <c:val>
            <c:numRef>
              <c:f>Sheet1!$C$17:$C$24</c:f>
              <c:numCache>
                <c:formatCode>General</c:formatCode>
                <c:ptCount val="8"/>
                <c:pt idx="0">
                  <c:v>1300</c:v>
                </c:pt>
                <c:pt idx="1">
                  <c:v>1560</c:v>
                </c:pt>
                <c:pt idx="2">
                  <c:v>1600</c:v>
                </c:pt>
                <c:pt idx="3">
                  <c:v>1155</c:v>
                </c:pt>
                <c:pt idx="4">
                  <c:v>767</c:v>
                </c:pt>
                <c:pt idx="5">
                  <c:v>717</c:v>
                </c:pt>
                <c:pt idx="6">
                  <c:v>821</c:v>
                </c:pt>
                <c:pt idx="7">
                  <c:v>871</c:v>
                </c:pt>
              </c:numCache>
            </c:numRef>
          </c:val>
        </c:ser>
        <c:marker val="1"/>
        <c:axId val="191552128"/>
        <c:axId val="193859968"/>
      </c:lineChart>
      <c:catAx>
        <c:axId val="180584832"/>
        <c:scaling>
          <c:orientation val="minMax"/>
        </c:scaling>
        <c:axPos val="b"/>
        <c:numFmt formatCode="General" sourceLinked="1"/>
        <c:majorTickMark val="cross"/>
        <c:tickLblPos val="nextTo"/>
        <c:spPr>
          <a:ln w="3175">
            <a:solidFill>
              <a:srgbClr val="000000"/>
            </a:solidFill>
            <a:prstDash val="solid"/>
          </a:ln>
        </c:spPr>
        <c:txPr>
          <a:bodyPr rot="-5340000" vert="horz"/>
          <a:lstStyle/>
          <a:p>
            <a:pPr>
              <a:defRPr sz="1000" b="1" i="0" u="none" strike="noStrike" baseline="0">
                <a:solidFill>
                  <a:srgbClr val="000000"/>
                </a:solidFill>
                <a:latin typeface="Arial Rounded MT Bold"/>
                <a:ea typeface="Arial Rounded MT Bold"/>
                <a:cs typeface="Arial Rounded MT Bold"/>
              </a:defRPr>
            </a:pPr>
            <a:endParaRPr lang="en-US"/>
          </a:p>
        </c:txPr>
        <c:crossAx val="180587904"/>
        <c:crosses val="autoZero"/>
        <c:lblAlgn val="ctr"/>
        <c:lblOffset val="100"/>
        <c:tickLblSkip val="1"/>
        <c:tickMarkSkip val="1"/>
      </c:catAx>
      <c:valAx>
        <c:axId val="180587904"/>
        <c:scaling>
          <c:orientation val="minMax"/>
          <c:max val="5000"/>
          <c:min val="0"/>
        </c:scaling>
        <c:axPos val="l"/>
        <c:title>
          <c:tx>
            <c:rich>
              <a:bodyPr/>
              <a:lstStyle/>
              <a:p>
                <a:pPr>
                  <a:defRPr sz="1200" b="1" i="0" u="none" strike="noStrike" baseline="0">
                    <a:solidFill>
                      <a:srgbClr val="000000"/>
                    </a:solidFill>
                    <a:latin typeface="Arial Rounded MT Bold"/>
                    <a:ea typeface="Arial Rounded MT Bold"/>
                    <a:cs typeface="Arial Rounded MT Bold"/>
                  </a:defRPr>
                </a:pPr>
                <a:r>
                  <a:rPr lang="en-US"/>
                  <a:t>Chargeable Filings</a:t>
                </a:r>
              </a:p>
            </c:rich>
          </c:tx>
          <c:layout>
            <c:manualLayout>
              <c:xMode val="edge"/>
              <c:yMode val="edge"/>
              <c:x val="2.4921749986662415E-3"/>
              <c:y val="0.1950417792390168"/>
            </c:manualLayout>
          </c:layout>
          <c:spPr>
            <a:noFill/>
            <a:ln w="25400">
              <a:noFill/>
            </a:ln>
          </c:spPr>
        </c:title>
        <c:numFmt formatCode="#,##0" sourceLinked="0"/>
        <c:majorTickMark val="cross"/>
        <c:tickLblPos val="nextTo"/>
        <c:spPr>
          <a:ln w="3175">
            <a:solidFill>
              <a:srgbClr val="000000"/>
            </a:solidFill>
            <a:prstDash val="solid"/>
          </a:ln>
        </c:spPr>
        <c:txPr>
          <a:bodyPr rot="0" vert="horz"/>
          <a:lstStyle/>
          <a:p>
            <a:pPr>
              <a:defRPr sz="1000" b="1" i="0" u="none" strike="noStrike" baseline="0">
                <a:solidFill>
                  <a:srgbClr val="000000"/>
                </a:solidFill>
                <a:latin typeface="Arial Rounded MT Bold"/>
                <a:ea typeface="Arial Rounded MT Bold"/>
                <a:cs typeface="Arial Rounded MT Bold"/>
              </a:defRPr>
            </a:pPr>
            <a:endParaRPr lang="en-US"/>
          </a:p>
        </c:txPr>
        <c:crossAx val="180584832"/>
        <c:crosses val="autoZero"/>
        <c:crossBetween val="between"/>
        <c:majorUnit val="1000"/>
      </c:valAx>
      <c:catAx>
        <c:axId val="191552128"/>
        <c:scaling>
          <c:orientation val="minMax"/>
        </c:scaling>
        <c:delete val="1"/>
        <c:axPos val="b"/>
        <c:tickLblPos val="none"/>
        <c:crossAx val="193859968"/>
        <c:crosses val="autoZero"/>
        <c:lblAlgn val="ctr"/>
        <c:lblOffset val="100"/>
      </c:catAx>
      <c:valAx>
        <c:axId val="193859968"/>
        <c:scaling>
          <c:orientation val="minMax"/>
          <c:max val="2000"/>
        </c:scaling>
        <c:axPos val="r"/>
        <c:title>
          <c:tx>
            <c:rich>
              <a:bodyPr/>
              <a:lstStyle/>
              <a:p>
                <a:pPr>
                  <a:defRPr sz="1200" b="1" i="0" u="none" strike="noStrike" baseline="0">
                    <a:solidFill>
                      <a:srgbClr val="000000"/>
                    </a:solidFill>
                    <a:latin typeface="Arial Rounded MT Bold"/>
                    <a:ea typeface="Arial Rounded MT Bold"/>
                    <a:cs typeface="Arial Rounded MT Bold"/>
                  </a:defRPr>
                </a:pPr>
                <a:r>
                  <a:rPr lang="en-US"/>
                  <a:t>U.S. Merger Value ($ in Billions)</a:t>
                </a:r>
              </a:p>
            </c:rich>
          </c:tx>
          <c:layout>
            <c:manualLayout>
              <c:xMode val="edge"/>
              <c:yMode val="edge"/>
              <c:x val="0.94549480071944814"/>
              <c:y val="0.13684350201063736"/>
            </c:manualLayout>
          </c:layout>
          <c:spPr>
            <a:noFill/>
            <a:ln w="25400">
              <a:noFill/>
            </a:ln>
          </c:spPr>
        </c:title>
        <c:numFmt formatCode="\$#,##0" sourceLinked="0"/>
        <c:majorTickMark val="cross"/>
        <c:tickLblPos val="nextTo"/>
        <c:spPr>
          <a:ln w="3175">
            <a:solidFill>
              <a:srgbClr val="000000"/>
            </a:solidFill>
            <a:prstDash val="solid"/>
          </a:ln>
        </c:spPr>
        <c:txPr>
          <a:bodyPr rot="0" vert="horz"/>
          <a:lstStyle/>
          <a:p>
            <a:pPr>
              <a:defRPr sz="1000" b="1" i="0" u="none" strike="noStrike" baseline="0">
                <a:solidFill>
                  <a:srgbClr val="000000"/>
                </a:solidFill>
                <a:latin typeface="Arial Rounded MT Bold"/>
                <a:ea typeface="Arial Rounded MT Bold"/>
                <a:cs typeface="Arial Rounded MT Bold"/>
              </a:defRPr>
            </a:pPr>
            <a:endParaRPr lang="en-US"/>
          </a:p>
        </c:txPr>
        <c:crossAx val="191552128"/>
        <c:crosses val="max"/>
        <c:crossBetween val="between"/>
        <c:majorUnit val="500"/>
      </c:valAx>
      <c:spPr>
        <a:gradFill rotWithShape="0">
          <a:gsLst>
            <a:gs pos="0">
              <a:srgbClr val="CCFFCC"/>
            </a:gs>
            <a:gs pos="100000">
              <a:srgbClr val="CCFFCC">
                <a:gamma/>
                <a:shade val="46275"/>
                <a:invGamma/>
              </a:srgbClr>
            </a:gs>
          </a:gsLst>
          <a:lin ang="5400000" scaled="1"/>
        </a:gradFill>
        <a:ln w="12700">
          <a:solidFill>
            <a:srgbClr val="808080"/>
          </a:solidFill>
          <a:prstDash val="solid"/>
        </a:ln>
      </c:spPr>
    </c:plotArea>
    <c:legend>
      <c:legendPos val="r"/>
      <c:layout>
        <c:manualLayout>
          <c:xMode val="edge"/>
          <c:yMode val="edge"/>
          <c:x val="0.20451977401129981"/>
          <c:y val="0.87687188019966844"/>
          <c:w val="0.51864406779661021"/>
          <c:h val="6.8219633943427838E-2"/>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Arial Rounded MT Bold"/>
              <a:ea typeface="Arial Rounded MT Bold"/>
              <a:cs typeface="Arial Rounded MT Bold"/>
            </a:defRPr>
          </a:pPr>
          <a:endParaRPr lang="en-US"/>
        </a:p>
      </c:txPr>
    </c:legend>
    <c:plotVisOnly val="1"/>
    <c:dispBlanksAs val="gap"/>
  </c:chart>
  <c:spPr>
    <a:solidFill>
      <a:srgbClr val="FFFFFF"/>
    </a:solidFill>
    <a:ln w="38100">
      <a:solidFill>
        <a:srgbClr val="800000"/>
      </a:solidFill>
      <a:prstDash val="solid"/>
    </a:ln>
    <a:effectLst>
      <a:outerShdw dist="35921" dir="2700000" algn="br">
        <a:srgbClr val="000000"/>
      </a:outerShdw>
    </a:effectLst>
  </c:spPr>
  <c:txPr>
    <a:bodyPr/>
    <a:lstStyle/>
    <a:p>
      <a:pPr>
        <a:defRPr sz="1200" b="1" i="0" u="none" strike="noStrike" baseline="0">
          <a:solidFill>
            <a:srgbClr val="000000"/>
          </a:solidFill>
          <a:latin typeface="Arial Rounded MT Bold"/>
          <a:ea typeface="Arial Rounded MT Bold"/>
          <a:cs typeface="Arial Rounded MT Bold"/>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b="1" i="0" u="none" strike="noStrike" baseline="0">
                <a:solidFill>
                  <a:srgbClr val="000000"/>
                </a:solidFill>
                <a:latin typeface="Arial"/>
                <a:ea typeface="Arial"/>
                <a:cs typeface="Arial"/>
              </a:defRPr>
            </a:pPr>
            <a:r>
              <a:rPr lang="en-US" sz="1600"/>
              <a:t>Chargeable Premerger Filings</a:t>
            </a:r>
          </a:p>
        </c:rich>
      </c:tx>
      <c:layout>
        <c:manualLayout>
          <c:xMode val="edge"/>
          <c:yMode val="edge"/>
          <c:x val="0.27608100953198672"/>
          <c:y val="4.9825277823404124E-2"/>
        </c:manualLayout>
      </c:layout>
      <c:spPr>
        <a:noFill/>
        <a:ln w="25400">
          <a:noFill/>
        </a:ln>
      </c:spPr>
    </c:title>
    <c:plotArea>
      <c:layout>
        <c:manualLayout>
          <c:layoutTarget val="inner"/>
          <c:xMode val="edge"/>
          <c:yMode val="edge"/>
          <c:x val="0.16499691976310721"/>
          <c:y val="0.16052461777782964"/>
          <c:w val="0.64355171482339113"/>
          <c:h val="0.67159655002645069"/>
        </c:manualLayout>
      </c:layout>
      <c:barChart>
        <c:barDir val="col"/>
        <c:grouping val="stacked"/>
        <c:ser>
          <c:idx val="0"/>
          <c:order val="0"/>
          <c:tx>
            <c:strRef>
              <c:f>Sheet1!$B$1</c:f>
              <c:strCache>
                <c:ptCount val="1"/>
                <c:pt idx="0">
                  <c:v>Lower Threshold</c:v>
                </c:pt>
              </c:strCache>
            </c:strRef>
          </c:tx>
          <c:spPr>
            <a:solidFill>
              <a:srgbClr val="3333CC"/>
            </a:solidFill>
            <a:ln w="25400">
              <a:solidFill>
                <a:srgbClr val="000000"/>
              </a:solidFill>
              <a:prstDash val="solid"/>
            </a:ln>
            <a:effectLst>
              <a:outerShdw dist="35921" dir="2700000" algn="br">
                <a:srgbClr val="000000"/>
              </a:outerShdw>
            </a:effectLst>
          </c:spPr>
          <c:cat>
            <c:strRef>
              <c:f>Sheet1!$A$10:$A$18</c:f>
              <c:strCache>
                <c:ptCount val="9"/>
                <c:pt idx="0">
                  <c:v>2006</c:v>
                </c:pt>
                <c:pt idx="1">
                  <c:v>2007</c:v>
                </c:pt>
                <c:pt idx="2">
                  <c:v>2008</c:v>
                </c:pt>
                <c:pt idx="3">
                  <c:v>2009</c:v>
                </c:pt>
                <c:pt idx="4">
                  <c:v>2010</c:v>
                </c:pt>
                <c:pt idx="5">
                  <c:v>2011</c:v>
                </c:pt>
                <c:pt idx="6">
                  <c:v>2012</c:v>
                </c:pt>
                <c:pt idx="7">
                  <c:v>2013 (est.)</c:v>
                </c:pt>
                <c:pt idx="8">
                  <c:v>2014 (est.)</c:v>
                </c:pt>
              </c:strCache>
            </c:strRef>
          </c:cat>
          <c:val>
            <c:numRef>
              <c:f>Sheet1!$B$10:$B$18</c:f>
              <c:numCache>
                <c:formatCode>General</c:formatCode>
                <c:ptCount val="9"/>
                <c:pt idx="0">
                  <c:v>610</c:v>
                </c:pt>
                <c:pt idx="1">
                  <c:v>650</c:v>
                </c:pt>
                <c:pt idx="2">
                  <c:v>603</c:v>
                </c:pt>
                <c:pt idx="3">
                  <c:v>244</c:v>
                </c:pt>
                <c:pt idx="4">
                  <c:v>352</c:v>
                </c:pt>
                <c:pt idx="5">
                  <c:v>444</c:v>
                </c:pt>
                <c:pt idx="6">
                  <c:v>480</c:v>
                </c:pt>
                <c:pt idx="7">
                  <c:v>627</c:v>
                </c:pt>
                <c:pt idx="8">
                  <c:v>546</c:v>
                </c:pt>
              </c:numCache>
            </c:numRef>
          </c:val>
        </c:ser>
        <c:ser>
          <c:idx val="1"/>
          <c:order val="1"/>
          <c:tx>
            <c:strRef>
              <c:f>Sheet1!$C$1</c:f>
              <c:strCache>
                <c:ptCount val="1"/>
                <c:pt idx="0">
                  <c:v>Middle Threshold</c:v>
                </c:pt>
              </c:strCache>
            </c:strRef>
          </c:tx>
          <c:spPr>
            <a:solidFill>
              <a:srgbClr val="802060"/>
            </a:solidFill>
            <a:ln w="25400">
              <a:solidFill>
                <a:srgbClr val="000000"/>
              </a:solidFill>
              <a:prstDash val="solid"/>
            </a:ln>
            <a:effectLst>
              <a:outerShdw dist="35921" dir="2700000" algn="br">
                <a:srgbClr val="000000"/>
              </a:outerShdw>
            </a:effectLst>
          </c:spPr>
          <c:cat>
            <c:strRef>
              <c:f>Sheet1!$A$10:$A$18</c:f>
              <c:strCache>
                <c:ptCount val="9"/>
                <c:pt idx="0">
                  <c:v>2006</c:v>
                </c:pt>
                <c:pt idx="1">
                  <c:v>2007</c:v>
                </c:pt>
                <c:pt idx="2">
                  <c:v>2008</c:v>
                </c:pt>
                <c:pt idx="3">
                  <c:v>2009</c:v>
                </c:pt>
                <c:pt idx="4">
                  <c:v>2010</c:v>
                </c:pt>
                <c:pt idx="5">
                  <c:v>2011</c:v>
                </c:pt>
                <c:pt idx="6">
                  <c:v>2012</c:v>
                </c:pt>
                <c:pt idx="7">
                  <c:v>2013 (est.)</c:v>
                </c:pt>
                <c:pt idx="8">
                  <c:v>2014 (est.)</c:v>
                </c:pt>
              </c:strCache>
            </c:strRef>
          </c:cat>
          <c:val>
            <c:numRef>
              <c:f>Sheet1!$C$10:$C$18</c:f>
              <c:numCache>
                <c:formatCode>General</c:formatCode>
                <c:ptCount val="9"/>
                <c:pt idx="0">
                  <c:v>790</c:v>
                </c:pt>
                <c:pt idx="1">
                  <c:v>963</c:v>
                </c:pt>
                <c:pt idx="2">
                  <c:v>790</c:v>
                </c:pt>
                <c:pt idx="3">
                  <c:v>306</c:v>
                </c:pt>
                <c:pt idx="4">
                  <c:v>559</c:v>
                </c:pt>
                <c:pt idx="5">
                  <c:v>708</c:v>
                </c:pt>
                <c:pt idx="6">
                  <c:v>691</c:v>
                </c:pt>
                <c:pt idx="7">
                  <c:v>921</c:v>
                </c:pt>
                <c:pt idx="8">
                  <c:v>802</c:v>
                </c:pt>
              </c:numCache>
            </c:numRef>
          </c:val>
        </c:ser>
        <c:ser>
          <c:idx val="2"/>
          <c:order val="2"/>
          <c:tx>
            <c:strRef>
              <c:f>Sheet1!$D$1</c:f>
              <c:strCache>
                <c:ptCount val="1"/>
                <c:pt idx="0">
                  <c:v>Upper Threshold</c:v>
                </c:pt>
              </c:strCache>
            </c:strRef>
          </c:tx>
          <c:spPr>
            <a:solidFill>
              <a:srgbClr val="008000"/>
            </a:solidFill>
            <a:ln w="25400">
              <a:solidFill>
                <a:srgbClr val="000000"/>
              </a:solidFill>
              <a:prstDash val="solid"/>
            </a:ln>
            <a:effectLst>
              <a:outerShdw dist="35921" dir="2700000" algn="br">
                <a:srgbClr val="000000"/>
              </a:outerShdw>
            </a:effectLst>
          </c:spPr>
          <c:cat>
            <c:strRef>
              <c:f>Sheet1!$A$10:$A$18</c:f>
              <c:strCache>
                <c:ptCount val="9"/>
                <c:pt idx="0">
                  <c:v>2006</c:v>
                </c:pt>
                <c:pt idx="1">
                  <c:v>2007</c:v>
                </c:pt>
                <c:pt idx="2">
                  <c:v>2008</c:v>
                </c:pt>
                <c:pt idx="3">
                  <c:v>2009</c:v>
                </c:pt>
                <c:pt idx="4">
                  <c:v>2010</c:v>
                </c:pt>
                <c:pt idx="5">
                  <c:v>2011</c:v>
                </c:pt>
                <c:pt idx="6">
                  <c:v>2012</c:v>
                </c:pt>
                <c:pt idx="7">
                  <c:v>2013 (est.)</c:v>
                </c:pt>
                <c:pt idx="8">
                  <c:v>2014 (est.)</c:v>
                </c:pt>
              </c:strCache>
            </c:strRef>
          </c:cat>
          <c:val>
            <c:numRef>
              <c:f>Sheet1!$D$10:$D$18</c:f>
              <c:numCache>
                <c:formatCode>General</c:formatCode>
                <c:ptCount val="9"/>
                <c:pt idx="0">
                  <c:v>332</c:v>
                </c:pt>
                <c:pt idx="1">
                  <c:v>485</c:v>
                </c:pt>
                <c:pt idx="2">
                  <c:v>290</c:v>
                </c:pt>
                <c:pt idx="3">
                  <c:v>123</c:v>
                </c:pt>
                <c:pt idx="4">
                  <c:v>215</c:v>
                </c:pt>
                <c:pt idx="5">
                  <c:v>267</c:v>
                </c:pt>
                <c:pt idx="6">
                  <c:v>247</c:v>
                </c:pt>
                <c:pt idx="7">
                  <c:v>327</c:v>
                </c:pt>
                <c:pt idx="8">
                  <c:v>285</c:v>
                </c:pt>
              </c:numCache>
            </c:numRef>
          </c:val>
        </c:ser>
        <c:gapWidth val="100"/>
        <c:overlap val="100"/>
        <c:axId val="194574592"/>
        <c:axId val="209355136"/>
      </c:barChart>
      <c:catAx>
        <c:axId val="194574592"/>
        <c:scaling>
          <c:orientation val="minMax"/>
        </c:scaling>
        <c:axPos val="b"/>
        <c:title>
          <c:tx>
            <c:rich>
              <a:bodyPr/>
              <a:lstStyle/>
              <a:p>
                <a:pPr>
                  <a:defRPr sz="1400" b="1" i="0" u="none" strike="noStrike" baseline="0">
                    <a:solidFill>
                      <a:srgbClr val="000000"/>
                    </a:solidFill>
                    <a:latin typeface="Arial"/>
                    <a:ea typeface="Arial"/>
                    <a:cs typeface="Arial"/>
                  </a:defRPr>
                </a:pPr>
                <a:r>
                  <a:rPr lang="en-US" sz="1400"/>
                  <a:t>Fiscal Year</a:t>
                </a:r>
              </a:p>
            </c:rich>
          </c:tx>
          <c:layout>
            <c:manualLayout>
              <c:xMode val="edge"/>
              <c:yMode val="edge"/>
              <c:x val="0.41176462835926841"/>
              <c:y val="0.93637844600170661"/>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9355136"/>
        <c:crosses val="autoZero"/>
        <c:auto val="1"/>
        <c:lblAlgn val="ctr"/>
        <c:lblOffset val="100"/>
        <c:tickLblSkip val="1"/>
        <c:tickMarkSkip val="1"/>
      </c:catAx>
      <c:valAx>
        <c:axId val="209355136"/>
        <c:scaling>
          <c:orientation val="minMax"/>
          <c:max val="2500"/>
          <c:min val="0"/>
        </c:scaling>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200" b="1" i="0" u="none" strike="noStrike" baseline="0">
                    <a:solidFill>
                      <a:srgbClr val="000000"/>
                    </a:solidFill>
                    <a:latin typeface="Arial"/>
                    <a:ea typeface="Arial"/>
                    <a:cs typeface="Arial"/>
                  </a:defRPr>
                </a:pPr>
                <a:r>
                  <a:rPr lang="en-US" sz="1200"/>
                  <a:t>Number of Filings</a:t>
                </a:r>
              </a:p>
            </c:rich>
          </c:tx>
          <c:layout>
            <c:manualLayout>
              <c:xMode val="edge"/>
              <c:yMode val="edge"/>
              <c:x val="1.1098796138179698E-2"/>
              <c:y val="0.35889064737291304"/>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4574592"/>
        <c:crosses val="autoZero"/>
        <c:crossBetween val="between"/>
        <c:majorUnit val="500"/>
        <c:minorUnit val="250"/>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r"/>
      <c:legendEntry>
        <c:idx val="0"/>
        <c:txPr>
          <a:bodyPr/>
          <a:lstStyle/>
          <a:p>
            <a:pPr>
              <a:defRPr sz="1100" b="0" i="0" u="none" strike="noStrike" baseline="0">
                <a:solidFill>
                  <a:srgbClr val="000000"/>
                </a:solidFill>
                <a:latin typeface="Arial"/>
                <a:ea typeface="Arial"/>
                <a:cs typeface="Arial"/>
              </a:defRPr>
            </a:pPr>
            <a:endParaRPr lang="en-US"/>
          </a:p>
        </c:txPr>
      </c:legendEntry>
      <c:legendEntry>
        <c:idx val="1"/>
        <c:txPr>
          <a:bodyPr/>
          <a:lstStyle/>
          <a:p>
            <a:pPr>
              <a:defRPr sz="1100" b="0" i="0" u="none" strike="noStrike" baseline="0">
                <a:solidFill>
                  <a:srgbClr val="000000"/>
                </a:solidFill>
                <a:latin typeface="Arial"/>
                <a:ea typeface="Arial"/>
                <a:cs typeface="Arial"/>
              </a:defRPr>
            </a:pPr>
            <a:endParaRPr lang="en-US"/>
          </a:p>
        </c:txPr>
      </c:legendEntry>
      <c:legendEntry>
        <c:idx val="2"/>
        <c:txPr>
          <a:bodyPr/>
          <a:lstStyle/>
          <a:p>
            <a:pPr>
              <a:defRPr sz="1100" b="0" i="0" u="none" strike="noStrike" baseline="0">
                <a:solidFill>
                  <a:srgbClr val="000000"/>
                </a:solidFill>
                <a:latin typeface="Arial"/>
                <a:ea typeface="Arial"/>
                <a:cs typeface="Arial"/>
              </a:defRPr>
            </a:pPr>
            <a:endParaRPr lang="en-US"/>
          </a:p>
        </c:txPr>
      </c:legendEntry>
      <c:layout>
        <c:manualLayout>
          <c:xMode val="edge"/>
          <c:yMode val="edge"/>
          <c:x val="0.82131635053171959"/>
          <c:y val="0.31441281654094305"/>
          <c:w val="0.15489354888343287"/>
          <c:h val="0.32491029557638124"/>
        </c:manualLayout>
      </c:layout>
      <c:spPr>
        <a:solidFill>
          <a:srgbClr val="FFFFFF"/>
        </a:solidFill>
        <a:ln w="25400">
          <a:noFill/>
        </a:ln>
      </c:spPr>
      <c:txPr>
        <a:bodyPr/>
        <a:lstStyle/>
        <a:p>
          <a:pPr>
            <a:defRPr sz="1200" b="0" i="0" u="none" strike="noStrike" baseline="0">
              <a:solidFill>
                <a:srgbClr val="000000"/>
              </a:solidFill>
              <a:latin typeface="Arial"/>
              <a:ea typeface="Arial"/>
              <a:cs typeface="Arial"/>
            </a:defRPr>
          </a:pPr>
          <a:endParaRPr lang="en-US"/>
        </a:p>
      </c:txPr>
    </c:legend>
    <c:plotVisOnly val="1"/>
    <c:dispBlanksAs val="gap"/>
  </c:chart>
  <c:spPr>
    <a:noFill/>
    <a:ln w="57150" cap="sq">
      <a:solidFill>
        <a:srgbClr val="CC9900"/>
      </a:solidFill>
      <a:prstDash val="solid"/>
      <a:bevel/>
    </a:ln>
    <a:effectLst>
      <a:outerShdw blurRad="50800" dist="38100" dir="5400000" algn="t" rotWithShape="0">
        <a:prstClr val="black">
          <a:alpha val="40000"/>
        </a:prstClr>
      </a:outerShdw>
    </a:effectLst>
  </c:spPr>
  <c:txPr>
    <a:bodyPr/>
    <a:lstStyle/>
    <a:p>
      <a:pPr>
        <a:defRPr sz="1500"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1"/>
  <c:chart>
    <c:title>
      <c:tx>
        <c:rich>
          <a:bodyPr/>
          <a:lstStyle/>
          <a:p>
            <a:pPr algn="ctr">
              <a:defRPr/>
            </a:pPr>
            <a:r>
              <a:rPr lang="en-US" sz="1800" dirty="0"/>
              <a:t>FY2014 Total Budget Request by Strategic Goal
Strategic Goal II - Strategic Objective 2.6</a:t>
            </a:r>
          </a:p>
        </c:rich>
      </c:tx>
      <c:layout>
        <c:manualLayout>
          <c:xMode val="edge"/>
          <c:yMode val="edge"/>
          <c:x val="0.17086277127010788"/>
          <c:y val="3.4140102064571201E-2"/>
        </c:manualLayout>
      </c:layout>
    </c:title>
    <c:view3D>
      <c:rotX val="30"/>
      <c:perspective val="30"/>
    </c:view3D>
    <c:plotArea>
      <c:layout>
        <c:manualLayout>
          <c:layoutTarget val="inner"/>
          <c:xMode val="edge"/>
          <c:yMode val="edge"/>
          <c:x val="6.1839412439978432E-2"/>
          <c:y val="0.15862331350913741"/>
          <c:w val="0.61666732774331301"/>
          <c:h val="0.78288494286871824"/>
        </c:manualLayout>
      </c:layout>
      <c:pie3DChart>
        <c:varyColors val="1"/>
        <c:ser>
          <c:idx val="0"/>
          <c:order val="0"/>
          <c:tx>
            <c:strRef>
              <c:f>Sheet1!$B$1</c:f>
              <c:strCache>
                <c:ptCount val="1"/>
                <c:pt idx="0">
                  <c:v>FY20134Total Budget Request by Strategic Goal
Strategic Goal II - Strategic Objective 2.6</c:v>
                </c:pt>
              </c:strCache>
            </c:strRef>
          </c:tx>
          <c:explosion val="25"/>
          <c:dPt>
            <c:idx val="0"/>
            <c:explosion val="15"/>
          </c:dPt>
          <c:dLbls>
            <c:dLbl>
              <c:idx val="0"/>
              <c:layout>
                <c:manualLayout>
                  <c:x val="-0.13683029336522951"/>
                  <c:y val="2.8412550703889278E-2"/>
                </c:manualLayout>
              </c:layout>
              <c:dLblPos val="bestFit"/>
              <c:showPercent val="1"/>
            </c:dLbl>
            <c:dLbl>
              <c:idx val="1"/>
              <c:layout>
                <c:manualLayout>
                  <c:x val="0.14993139306953879"/>
                  <c:y val="-8.6664996420901946E-2"/>
                </c:manualLayout>
              </c:layout>
              <c:dLblPos val="bestFit"/>
              <c:showPercent val="1"/>
            </c:dLbl>
            <c:txPr>
              <a:bodyPr/>
              <a:lstStyle/>
              <a:p>
                <a:pPr>
                  <a:defRPr b="1"/>
                </a:pPr>
                <a:endParaRPr lang="en-US"/>
              </a:p>
            </c:txPr>
            <c:showPercent val="1"/>
            <c:showLeaderLines val="1"/>
          </c:dLbls>
          <c:cat>
            <c:strRef>
              <c:f>Sheet1!$A$2:$A$3</c:f>
              <c:strCache>
                <c:ptCount val="2"/>
                <c:pt idx="0">
                  <c:v>Strategic Objective 2.6:  Criminal:  $64.164</c:v>
                </c:pt>
                <c:pt idx="1">
                  <c:v>Strategic Objective 2.6:  Civil:  $96.246</c:v>
                </c:pt>
              </c:strCache>
            </c:strRef>
          </c:cat>
          <c:val>
            <c:numRef>
              <c:f>Sheet1!$B$2:$B$3</c:f>
              <c:numCache>
                <c:formatCode>General</c:formatCode>
                <c:ptCount val="2"/>
                <c:pt idx="0">
                  <c:v>64164</c:v>
                </c:pt>
                <c:pt idx="1">
                  <c:v>96246</c:v>
                </c:pt>
              </c:numCache>
            </c:numRef>
          </c:val>
        </c:ser>
      </c:pie3DChart>
      <c:spPr>
        <a:noFill/>
        <a:ln w="25403">
          <a:noFill/>
        </a:ln>
      </c:spPr>
    </c:plotArea>
    <c:legend>
      <c:legendPos val="r"/>
      <c:txPr>
        <a:bodyPr/>
        <a:lstStyle/>
        <a:p>
          <a:pPr>
            <a:defRPr sz="1400" b="1"/>
          </a:pPr>
          <a:endParaRPr lang="en-US"/>
        </a:p>
      </c:txPr>
    </c:legend>
    <c:plotVisOnly val="1"/>
    <c:dispBlanksAs val="zero"/>
  </c:chart>
  <c:spPr>
    <a:ln w="57150" cmpd="thinThick">
      <a:solidFill>
        <a:srgbClr val="993300"/>
      </a:solidFill>
    </a:ln>
  </c:spPr>
  <c:txPr>
    <a:bodyPr/>
    <a:lstStyle/>
    <a:p>
      <a:pPr>
        <a:defRPr sz="1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0" i="0" u="none" strike="noStrike" baseline="0">
                <a:solidFill>
                  <a:srgbClr val="000000"/>
                </a:solidFill>
                <a:latin typeface="Arial"/>
                <a:ea typeface="Arial"/>
                <a:cs typeface="Arial"/>
              </a:defRPr>
            </a:pPr>
            <a:r>
              <a:rPr lang="en-US" sz="1025" b="1" i="0" u="none" strike="noStrike" baseline="0">
                <a:solidFill>
                  <a:srgbClr val="000000"/>
                </a:solidFill>
                <a:latin typeface="Arial"/>
                <a:cs typeface="Arial"/>
              </a:rPr>
              <a:t>Savings to U.S. Consumers (Criminal)</a:t>
            </a:r>
          </a:p>
          <a:p>
            <a:pPr>
              <a:defRPr sz="850" b="0" i="0" u="none" strike="noStrike" baseline="0">
                <a:solidFill>
                  <a:srgbClr val="000000"/>
                </a:solidFill>
                <a:latin typeface="Arial"/>
                <a:ea typeface="Arial"/>
                <a:cs typeface="Arial"/>
              </a:defRPr>
            </a:pPr>
            <a:r>
              <a:rPr lang="en-US" sz="800" b="1" i="0" u="none" strike="noStrike" baseline="0">
                <a:solidFill>
                  <a:srgbClr val="000000"/>
                </a:solidFill>
                <a:latin typeface="Arial"/>
                <a:cs typeface="Arial"/>
              </a:rPr>
              <a:t>(in millions)</a:t>
            </a:r>
          </a:p>
        </c:rich>
      </c:tx>
      <c:layout>
        <c:manualLayout>
          <c:xMode val="edge"/>
          <c:yMode val="edge"/>
          <c:x val="0.18770230619258577"/>
          <c:y val="2.1276393075517028E-2"/>
        </c:manualLayout>
      </c:layout>
      <c:spPr>
        <a:noFill/>
        <a:ln w="25400">
          <a:noFill/>
        </a:ln>
      </c:spPr>
    </c:title>
    <c:plotArea>
      <c:layout>
        <c:manualLayout>
          <c:layoutTarget val="inner"/>
          <c:xMode val="edge"/>
          <c:yMode val="edge"/>
          <c:x val="0.14886731391585761"/>
          <c:y val="0.28020298614101058"/>
          <c:w val="0.71276054957497503"/>
          <c:h val="0.47132383096573932"/>
        </c:manualLayout>
      </c:layout>
      <c:barChart>
        <c:barDir val="col"/>
        <c:grouping val="clustered"/>
        <c:ser>
          <c:idx val="0"/>
          <c:order val="0"/>
          <c:spPr>
            <a:solidFill>
              <a:srgbClr val="660066"/>
            </a:solidFill>
            <a:ln w="12700">
              <a:solidFill>
                <a:srgbClr val="000000"/>
              </a:solidFill>
              <a:prstDash val="solid"/>
            </a:ln>
            <a:scene3d>
              <a:camera prst="orthographicFront"/>
              <a:lightRig rig="threePt" dir="t"/>
            </a:scene3d>
            <a:sp3d>
              <a:bevelT w="101600" prst="riblet"/>
            </a:sp3d>
          </c:spPr>
          <c:dLbls>
            <c:dLbl>
              <c:idx val="0"/>
              <c:layout>
                <c:manualLayout>
                  <c:x val="-5.7954807766293064E-3"/>
                  <c:y val="2.2861872556387008E-2"/>
                </c:manualLayout>
              </c:layout>
              <c:dLblPos val="outEnd"/>
              <c:showVal val="1"/>
            </c:dLbl>
            <c:dLbl>
              <c:idx val="1"/>
              <c:layout>
                <c:manualLayout>
                  <c:x val="-6.4472075225602997E-3"/>
                  <c:y val="1.7787047292130861E-2"/>
                </c:manualLayout>
              </c:layout>
              <c:dLblPos val="outEnd"/>
              <c:showVal val="1"/>
            </c:dLbl>
            <c:dLbl>
              <c:idx val="2"/>
              <c:layout>
                <c:manualLayout>
                  <c:x val="-6.2106406080347648E-3"/>
                  <c:y val="-3.7995665479574597E-3"/>
                </c:manualLayout>
              </c:layout>
              <c:dLblPos val="outEnd"/>
              <c:showVal val="1"/>
            </c:dLbl>
            <c:dLbl>
              <c:idx val="3"/>
              <c:layout>
                <c:manualLayout>
                  <c:x val="-7.9185562782376397E-3"/>
                  <c:y val="-3.9980914460586792E-3"/>
                </c:manualLayout>
              </c:layout>
              <c:dLblPos val="outEnd"/>
              <c:showVal val="1"/>
            </c:dLbl>
            <c:dLbl>
              <c:idx val="4"/>
              <c:layout>
                <c:manualLayout>
                  <c:x val="-8.9084955585764039E-4"/>
                  <c:y val="1.9873013798586431E-2"/>
                </c:manualLayout>
              </c:layout>
              <c:dLblPos val="outEnd"/>
              <c:showVal val="1"/>
            </c:dLbl>
            <c:dLbl>
              <c:idx val="5"/>
              <c:layout>
                <c:manualLayout>
                  <c:x val="-7.1394495883454452E-3"/>
                  <c:y val="1.9982792607355679E-2"/>
                </c:manualLayout>
              </c:layout>
              <c:dLblPos val="outEnd"/>
              <c:showVal val="1"/>
            </c:dLbl>
            <c:dLbl>
              <c:idx val="6"/>
              <c:layout>
                <c:manualLayout>
                  <c:x val="-8.1732454452965354E-5"/>
                  <c:y val="7.7106544254582521E-4"/>
                </c:manualLayout>
              </c:layout>
              <c:dLblPos val="outEnd"/>
              <c:showVal val="1"/>
            </c:dLbl>
            <c:dLbl>
              <c:idx val="7"/>
              <c:layout>
                <c:manualLayout>
                  <c:x val="-7.4239021900801569E-3"/>
                  <c:y val="-7.1536134797250813E-3"/>
                </c:manualLayout>
              </c:layout>
              <c:dLblPos val="outEnd"/>
              <c:showVal val="1"/>
            </c:dLbl>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Val val="1"/>
          </c:dLbls>
          <c:cat>
            <c:strRef>
              <c:f>Sheet1!$A$8:$A$15</c:f>
              <c:strCache>
                <c:ptCount val="8"/>
                <c:pt idx="0">
                  <c:v>FY05</c:v>
                </c:pt>
                <c:pt idx="1">
                  <c:v>FY06</c:v>
                </c:pt>
                <c:pt idx="2">
                  <c:v>FY07</c:v>
                </c:pt>
                <c:pt idx="3">
                  <c:v>FY08</c:v>
                </c:pt>
                <c:pt idx="4">
                  <c:v>FY09</c:v>
                </c:pt>
                <c:pt idx="5">
                  <c:v>FY10</c:v>
                </c:pt>
                <c:pt idx="6">
                  <c:v>FY11</c:v>
                </c:pt>
                <c:pt idx="7">
                  <c:v>FY12</c:v>
                </c:pt>
              </c:strCache>
            </c:strRef>
          </c:cat>
          <c:val>
            <c:numRef>
              <c:f>Sheet1!$B$8:$B$15</c:f>
              <c:numCache>
                <c:formatCode>General</c:formatCode>
                <c:ptCount val="8"/>
                <c:pt idx="0">
                  <c:v>330</c:v>
                </c:pt>
                <c:pt idx="1">
                  <c:v>55</c:v>
                </c:pt>
                <c:pt idx="2">
                  <c:v>561</c:v>
                </c:pt>
                <c:pt idx="3">
                  <c:v>21</c:v>
                </c:pt>
                <c:pt idx="4">
                  <c:v>605</c:v>
                </c:pt>
                <c:pt idx="5">
                  <c:v>50</c:v>
                </c:pt>
                <c:pt idx="6">
                  <c:v>249</c:v>
                </c:pt>
                <c:pt idx="7">
                  <c:v>447</c:v>
                </c:pt>
              </c:numCache>
            </c:numRef>
          </c:val>
        </c:ser>
        <c:axId val="22944000"/>
        <c:axId val="22945792"/>
      </c:barChart>
      <c:catAx>
        <c:axId val="2294400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945792"/>
        <c:crosses val="autoZero"/>
        <c:auto val="1"/>
        <c:lblAlgn val="ctr"/>
        <c:lblOffset val="100"/>
        <c:tickLblSkip val="1"/>
        <c:tickMarkSkip val="1"/>
      </c:catAx>
      <c:valAx>
        <c:axId val="22945792"/>
        <c:scaling>
          <c:orientation val="minMax"/>
          <c:max val="70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944000"/>
        <c:crosses val="autoZero"/>
        <c:crossBetween val="between"/>
        <c:majorUnit val="100"/>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chart>
  <c:spPr>
    <a:solidFill>
      <a:srgbClr val="FFFFFF"/>
    </a:solidFill>
    <a:ln w="12700">
      <a:solidFill>
        <a:srgbClr val="993300"/>
      </a:solidFill>
      <a:prstDash val="solid"/>
    </a:ln>
    <a:effectLst>
      <a:outerShdw dist="35921" dir="2700000" algn="br">
        <a:srgbClr val="000000"/>
      </a:outerShdw>
    </a:effectLst>
  </c:spPr>
  <c:txPr>
    <a:bodyPr/>
    <a:lstStyle/>
    <a:p>
      <a:pPr>
        <a:defRPr sz="850" b="0"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1" i="0" u="none" strike="noStrike" baseline="0">
                <a:solidFill>
                  <a:srgbClr val="000000"/>
                </a:solidFill>
                <a:latin typeface="Arial"/>
                <a:ea typeface="Arial"/>
                <a:cs typeface="Arial"/>
              </a:defRPr>
            </a:pPr>
            <a:r>
              <a:rPr lang="en-US"/>
              <a:t>Success Rate for Criminal Cases</a:t>
            </a:r>
          </a:p>
        </c:rich>
      </c:tx>
      <c:layout>
        <c:manualLayout>
          <c:xMode val="edge"/>
          <c:yMode val="edge"/>
          <c:x val="0.20064736422053828"/>
          <c:y val="2.4248252154321415E-2"/>
        </c:manualLayout>
      </c:layout>
      <c:spPr>
        <a:noFill/>
        <a:ln w="25401">
          <a:noFill/>
        </a:ln>
      </c:spPr>
    </c:title>
    <c:plotArea>
      <c:layout>
        <c:manualLayout>
          <c:layoutTarget val="inner"/>
          <c:xMode val="edge"/>
          <c:yMode val="edge"/>
          <c:x val="0.1197411003236256"/>
          <c:y val="0.22018348623853212"/>
          <c:w val="0.85113268608414261"/>
          <c:h val="0.5321100917431193"/>
        </c:manualLayout>
      </c:layout>
      <c:barChart>
        <c:barDir val="col"/>
        <c:grouping val="clustered"/>
        <c:ser>
          <c:idx val="1"/>
          <c:order val="0"/>
          <c:tx>
            <c:strRef>
              <c:f>Sheet1!$C$1</c:f>
              <c:strCache>
                <c:ptCount val="1"/>
                <c:pt idx="0">
                  <c:v>Target</c:v>
                </c:pt>
              </c:strCache>
            </c:strRef>
          </c:tx>
          <c:spPr>
            <a:solidFill>
              <a:schemeClr val="accent2">
                <a:lumMod val="60000"/>
                <a:lumOff val="40000"/>
              </a:schemeClr>
            </a:solidFill>
            <a:ln w="12700">
              <a:solidFill>
                <a:srgbClr val="000000"/>
              </a:solidFill>
              <a:prstDash val="solid"/>
            </a:ln>
            <a:scene3d>
              <a:camera prst="orthographicFront"/>
              <a:lightRig rig="threePt" dir="t"/>
            </a:scene3d>
            <a:sp3d>
              <a:bevelT w="139700" h="139700" prst="divot"/>
              <a:bevelB w="139700" h="139700" prst="divot"/>
            </a:sp3d>
          </c:spPr>
          <c:cat>
            <c:strRef>
              <c:f>Sheet1!$A$9:$A$16</c:f>
              <c:strCache>
                <c:ptCount val="8"/>
                <c:pt idx="0">
                  <c:v>FY05</c:v>
                </c:pt>
                <c:pt idx="1">
                  <c:v>FY06</c:v>
                </c:pt>
                <c:pt idx="2">
                  <c:v>FY07</c:v>
                </c:pt>
                <c:pt idx="3">
                  <c:v>FY08</c:v>
                </c:pt>
                <c:pt idx="4">
                  <c:v>FY09</c:v>
                </c:pt>
                <c:pt idx="5">
                  <c:v>FY10</c:v>
                </c:pt>
                <c:pt idx="6">
                  <c:v>FY11</c:v>
                </c:pt>
                <c:pt idx="7">
                  <c:v>FY12</c:v>
                </c:pt>
              </c:strCache>
            </c:strRef>
          </c:cat>
          <c:val>
            <c:numRef>
              <c:f>Sheet1!$C$9:$C$16</c:f>
              <c:numCache>
                <c:formatCode>0%</c:formatCode>
                <c:ptCount val="8"/>
                <c:pt idx="0">
                  <c:v>0.95000000000000062</c:v>
                </c:pt>
                <c:pt idx="1">
                  <c:v>0.9</c:v>
                </c:pt>
                <c:pt idx="2">
                  <c:v>0.9</c:v>
                </c:pt>
                <c:pt idx="3">
                  <c:v>0.9</c:v>
                </c:pt>
                <c:pt idx="4">
                  <c:v>0.9</c:v>
                </c:pt>
                <c:pt idx="5">
                  <c:v>0.9</c:v>
                </c:pt>
                <c:pt idx="6">
                  <c:v>0.9</c:v>
                </c:pt>
                <c:pt idx="7">
                  <c:v>0.9</c:v>
                </c:pt>
              </c:numCache>
            </c:numRef>
          </c:val>
        </c:ser>
        <c:ser>
          <c:idx val="0"/>
          <c:order val="1"/>
          <c:tx>
            <c:strRef>
              <c:f>Sheet1!$B$1</c:f>
              <c:strCache>
                <c:ptCount val="1"/>
                <c:pt idx="0">
                  <c:v>Actual</c:v>
                </c:pt>
              </c:strCache>
            </c:strRef>
          </c:tx>
          <c:spPr>
            <a:solidFill>
              <a:srgbClr val="000080"/>
            </a:solidFill>
            <a:ln w="12700">
              <a:solidFill>
                <a:srgbClr val="000000"/>
              </a:solidFill>
              <a:prstDash val="solid"/>
            </a:ln>
            <a:scene3d>
              <a:camera prst="orthographicFront"/>
              <a:lightRig rig="threePt" dir="t"/>
            </a:scene3d>
            <a:sp3d>
              <a:bevelT prst="convex"/>
              <a:bevelB prst="convex"/>
            </a:sp3d>
          </c:spPr>
          <c:dLbls>
            <c:dLbl>
              <c:idx val="0"/>
              <c:layout>
                <c:manualLayout>
                  <c:x val="7.745867791878731E-3"/>
                  <c:y val="-3.8669729874788094E-3"/>
                </c:manualLayout>
              </c:layout>
              <c:dLblPos val="outEnd"/>
              <c:showVal val="1"/>
            </c:dLbl>
            <c:dLbl>
              <c:idx val="1"/>
              <c:layout>
                <c:manualLayout>
                  <c:x val="4.0891433244735487E-3"/>
                  <c:y val="1.1406741239639357E-2"/>
                </c:manualLayout>
              </c:layout>
              <c:dLblPos val="outEnd"/>
              <c:showVal val="1"/>
            </c:dLbl>
            <c:dLbl>
              <c:idx val="2"/>
              <c:layout>
                <c:manualLayout>
                  <c:x val="-4.0165502871618713E-3"/>
                  <c:y val="1.5143904449727404E-2"/>
                </c:manualLayout>
              </c:layout>
              <c:dLblPos val="outEnd"/>
              <c:showVal val="1"/>
            </c:dLbl>
            <c:dLbl>
              <c:idx val="3"/>
              <c:layout>
                <c:manualLayout>
                  <c:x val="8.1782866489470713E-3"/>
                  <c:y val="-1.4016140750485986E-2"/>
                </c:manualLayout>
              </c:layout>
              <c:dLblPos val="outEnd"/>
              <c:showVal val="1"/>
            </c:dLbl>
            <c:dLbl>
              <c:idx val="4"/>
              <c:layout>
                <c:manualLayout>
                  <c:x val="4.3295016675399456E-3"/>
                  <c:y val="1.2822693947032181E-2"/>
                </c:manualLayout>
              </c:layout>
              <c:dLblPos val="outEnd"/>
              <c:showVal val="1"/>
            </c:dLbl>
            <c:dLbl>
              <c:idx val="5"/>
              <c:layout>
                <c:manualLayout>
                  <c:x val="-4.0891433244735487E-3"/>
                  <c:y val="1.1083402604599621E-2"/>
                </c:manualLayout>
              </c:layout>
              <c:dLblPos val="outEnd"/>
              <c:showVal val="1"/>
            </c:dLbl>
            <c:dLbl>
              <c:idx val="6"/>
              <c:layout>
                <c:manualLayout>
                  <c:x val="1.1511977816541757E-2"/>
                  <c:y val="1.2942120767014495E-2"/>
                </c:manualLayout>
              </c:layout>
              <c:dLblPos val="outEnd"/>
              <c:showVal val="1"/>
            </c:dLbl>
            <c:dLbl>
              <c:idx val="7"/>
              <c:layout>
                <c:manualLayout>
                  <c:x val="0"/>
                  <c:y val="-1.5755449521428277E-2"/>
                </c:manualLayout>
              </c:layout>
              <c:dLblPos val="outEnd"/>
              <c:showVal val="1"/>
            </c:dLbl>
            <c:spPr>
              <a:noFill/>
              <a:ln w="25401">
                <a:noFill/>
              </a:ln>
            </c:spPr>
            <c:txPr>
              <a:bodyPr/>
              <a:lstStyle/>
              <a:p>
                <a:pPr>
                  <a:defRPr sz="600" b="0" i="0" u="none" strike="noStrike" baseline="0">
                    <a:solidFill>
                      <a:srgbClr val="000000"/>
                    </a:solidFill>
                    <a:latin typeface="Arial"/>
                    <a:ea typeface="Arial"/>
                    <a:cs typeface="Arial"/>
                  </a:defRPr>
                </a:pPr>
                <a:endParaRPr lang="en-US"/>
              </a:p>
            </c:txPr>
            <c:dLblPos val="outEnd"/>
            <c:showVal val="1"/>
          </c:dLbls>
          <c:cat>
            <c:strRef>
              <c:f>Sheet1!$A$9:$A$16</c:f>
              <c:strCache>
                <c:ptCount val="8"/>
                <c:pt idx="0">
                  <c:v>FY05</c:v>
                </c:pt>
                <c:pt idx="1">
                  <c:v>FY06</c:v>
                </c:pt>
                <c:pt idx="2">
                  <c:v>FY07</c:v>
                </c:pt>
                <c:pt idx="3">
                  <c:v>FY08</c:v>
                </c:pt>
                <c:pt idx="4">
                  <c:v>FY09</c:v>
                </c:pt>
                <c:pt idx="5">
                  <c:v>FY10</c:v>
                </c:pt>
                <c:pt idx="6">
                  <c:v>FY11</c:v>
                </c:pt>
                <c:pt idx="7">
                  <c:v>FY12</c:v>
                </c:pt>
              </c:strCache>
            </c:strRef>
          </c:cat>
          <c:val>
            <c:numRef>
              <c:f>Sheet1!$B$9:$B$16</c:f>
              <c:numCache>
                <c:formatCode>0%</c:formatCode>
                <c:ptCount val="8"/>
                <c:pt idx="0">
                  <c:v>0.96000000000000063</c:v>
                </c:pt>
                <c:pt idx="1">
                  <c:v>1</c:v>
                </c:pt>
                <c:pt idx="2">
                  <c:v>0.98</c:v>
                </c:pt>
                <c:pt idx="3">
                  <c:v>0.85000000000000064</c:v>
                </c:pt>
                <c:pt idx="4">
                  <c:v>0.97000000000000064</c:v>
                </c:pt>
                <c:pt idx="5">
                  <c:v>0.98</c:v>
                </c:pt>
                <c:pt idx="6">
                  <c:v>0.97000000000000064</c:v>
                </c:pt>
                <c:pt idx="7">
                  <c:v>0.93</c:v>
                </c:pt>
              </c:numCache>
            </c:numRef>
          </c:val>
        </c:ser>
        <c:gapWidth val="70"/>
        <c:axId val="22974848"/>
        <c:axId val="22976384"/>
      </c:barChart>
      <c:catAx>
        <c:axId val="22974848"/>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22976384"/>
        <c:crosses val="autoZero"/>
        <c:auto val="1"/>
        <c:lblAlgn val="ctr"/>
        <c:lblOffset val="100"/>
        <c:tickLblSkip val="1"/>
        <c:tickMarkSkip val="1"/>
      </c:catAx>
      <c:valAx>
        <c:axId val="22976384"/>
        <c:scaling>
          <c:orientation val="minMax"/>
          <c:max val="1"/>
          <c:min val="0"/>
        </c:scaling>
        <c:axPos val="l"/>
        <c:majorGridlines>
          <c:spPr>
            <a:ln w="3175">
              <a:solidFill>
                <a:srgbClr val="000000"/>
              </a:solidFill>
              <a:prstDash val="solid"/>
            </a:ln>
          </c:spPr>
        </c:majorGridlines>
        <c:numFmt formatCode="0%" sourceLinked="1"/>
        <c:tickLblPos val="nextTo"/>
        <c:spPr>
          <a:ln w="9525">
            <a:noFill/>
          </a:ln>
        </c:spPr>
        <c:txPr>
          <a:bodyPr rot="0" vert="horz"/>
          <a:lstStyle/>
          <a:p>
            <a:pPr>
              <a:defRPr sz="575" b="0" i="0" u="none" strike="noStrike" baseline="0">
                <a:solidFill>
                  <a:srgbClr val="000000"/>
                </a:solidFill>
                <a:latin typeface="Arial"/>
                <a:ea typeface="Arial"/>
                <a:cs typeface="Arial"/>
              </a:defRPr>
            </a:pPr>
            <a:endParaRPr lang="en-US"/>
          </a:p>
        </c:txPr>
        <c:crossAx val="22974848"/>
        <c:crosses val="autoZero"/>
        <c:crossBetween val="between"/>
        <c:majorUnit val="0.25"/>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r"/>
      <c:layout>
        <c:manualLayout>
          <c:xMode val="edge"/>
          <c:yMode val="edge"/>
          <c:x val="0.37459283387622438"/>
          <c:y val="0.88317757009345799"/>
          <c:w val="0.3127035830618925"/>
          <c:h val="9.3457943925235376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blipFill dpi="0" rotWithShape="0">
      <a:blip xmlns:r="http://schemas.openxmlformats.org/officeDocument/2006/relationships" r:embed="rId1"/>
      <a:srcRect/>
      <a:tile tx="0" ty="0" sx="100000" sy="100000" flip="none" algn="tl"/>
    </a:blipFill>
    <a:ln w="12700">
      <a:solidFill>
        <a:srgbClr val="9933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b="1"/>
              <a:t>Success Rate For Civil Antitrust Cases</a:t>
            </a:r>
          </a:p>
        </c:rich>
      </c:tx>
    </c:title>
    <c:plotArea>
      <c:layout>
        <c:manualLayout>
          <c:layoutTarget val="inner"/>
          <c:xMode val="edge"/>
          <c:yMode val="edge"/>
          <c:x val="0.10477266582824162"/>
          <c:y val="0.1429721130247418"/>
          <c:w val="0.56792705740601612"/>
          <c:h val="0.67954114934624776"/>
        </c:manualLayout>
      </c:layout>
      <c:barChart>
        <c:barDir val="col"/>
        <c:grouping val="clustered"/>
        <c:ser>
          <c:idx val="0"/>
          <c:order val="0"/>
          <c:tx>
            <c:strRef>
              <c:f>Sheet1!$B$1</c:f>
              <c:strCache>
                <c:ptCount val="1"/>
                <c:pt idx="0">
                  <c:v>Civil Non-Merger Matters Pursued</c:v>
                </c:pt>
              </c:strCache>
            </c:strRef>
          </c:tx>
          <c:spPr>
            <a:solidFill>
              <a:srgbClr val="333399"/>
            </a:solidFill>
            <a:ln w="12700">
              <a:solidFill>
                <a:srgbClr val="000000"/>
              </a:solidFill>
              <a:prstDash val="solid"/>
            </a:ln>
            <a:scene3d>
              <a:camera prst="orthographicFront"/>
              <a:lightRig rig="threePt" dir="t"/>
            </a:scene3d>
            <a:sp3d>
              <a:bevelT w="114300" prst="artDeco"/>
              <a:bevelB w="114300" prst="artDeco"/>
            </a:sp3d>
          </c:spPr>
          <c:cat>
            <c:strRef>
              <c:f>Sheet1!$A$9:$A$16</c:f>
              <c:strCache>
                <c:ptCount val="8"/>
                <c:pt idx="0">
                  <c:v>FY05</c:v>
                </c:pt>
                <c:pt idx="1">
                  <c:v>FY06</c:v>
                </c:pt>
                <c:pt idx="2">
                  <c:v>FY07</c:v>
                </c:pt>
                <c:pt idx="3">
                  <c:v>FY08</c:v>
                </c:pt>
                <c:pt idx="4">
                  <c:v>FY09</c:v>
                </c:pt>
                <c:pt idx="5">
                  <c:v>FY10</c:v>
                </c:pt>
                <c:pt idx="6">
                  <c:v>FY11</c:v>
                </c:pt>
                <c:pt idx="7">
                  <c:v>FY12</c:v>
                </c:pt>
              </c:strCache>
            </c:strRef>
          </c:cat>
          <c:val>
            <c:numRef>
              <c:f>Sheet1!$B$9:$B$16</c:f>
              <c:numCache>
                <c:formatCode>0%</c:formatCode>
                <c:ptCount val="8"/>
                <c:pt idx="0">
                  <c:v>1</c:v>
                </c:pt>
                <c:pt idx="1">
                  <c:v>1</c:v>
                </c:pt>
                <c:pt idx="2">
                  <c:v>1</c:v>
                </c:pt>
                <c:pt idx="3">
                  <c:v>1</c:v>
                </c:pt>
                <c:pt idx="4">
                  <c:v>1</c:v>
                </c:pt>
                <c:pt idx="5">
                  <c:v>1</c:v>
                </c:pt>
                <c:pt idx="6">
                  <c:v>1</c:v>
                </c:pt>
                <c:pt idx="7">
                  <c:v>1</c:v>
                </c:pt>
              </c:numCache>
            </c:numRef>
          </c:val>
        </c:ser>
        <c:ser>
          <c:idx val="1"/>
          <c:order val="1"/>
          <c:tx>
            <c:strRef>
              <c:f>Sheet1!$C$1</c:f>
              <c:strCache>
                <c:ptCount val="1"/>
                <c:pt idx="0">
                  <c:v>Merger Transactions Challenged</c:v>
                </c:pt>
              </c:strCache>
            </c:strRef>
          </c:tx>
          <c:spPr>
            <a:solidFill>
              <a:schemeClr val="accent2">
                <a:lumMod val="60000"/>
                <a:lumOff val="40000"/>
              </a:schemeClr>
            </a:solidFill>
            <a:ln w="12700">
              <a:solidFill>
                <a:srgbClr val="000000"/>
              </a:solidFill>
              <a:prstDash val="solid"/>
            </a:ln>
            <a:scene3d>
              <a:camera prst="orthographicFront"/>
              <a:lightRig rig="threePt" dir="t"/>
            </a:scene3d>
            <a:sp3d>
              <a:bevelT w="114300" prst="artDeco"/>
              <a:bevelB w="114300" prst="artDeco"/>
            </a:sp3d>
          </c:spPr>
          <c:cat>
            <c:strRef>
              <c:f>Sheet1!$A$9:$A$16</c:f>
              <c:strCache>
                <c:ptCount val="8"/>
                <c:pt idx="0">
                  <c:v>FY05</c:v>
                </c:pt>
                <c:pt idx="1">
                  <c:v>FY06</c:v>
                </c:pt>
                <c:pt idx="2">
                  <c:v>FY07</c:v>
                </c:pt>
                <c:pt idx="3">
                  <c:v>FY08</c:v>
                </c:pt>
                <c:pt idx="4">
                  <c:v>FY09</c:v>
                </c:pt>
                <c:pt idx="5">
                  <c:v>FY10</c:v>
                </c:pt>
                <c:pt idx="6">
                  <c:v>FY11</c:v>
                </c:pt>
                <c:pt idx="7">
                  <c:v>FY12</c:v>
                </c:pt>
              </c:strCache>
            </c:strRef>
          </c:cat>
          <c:val>
            <c:numRef>
              <c:f>Sheet1!$C$9:$C$16</c:f>
              <c:numCache>
                <c:formatCode>0%</c:formatCode>
                <c:ptCount val="8"/>
                <c:pt idx="0">
                  <c:v>1</c:v>
                </c:pt>
                <c:pt idx="1">
                  <c:v>1</c:v>
                </c:pt>
                <c:pt idx="2">
                  <c:v>1</c:v>
                </c:pt>
                <c:pt idx="3">
                  <c:v>1</c:v>
                </c:pt>
                <c:pt idx="4">
                  <c:v>1</c:v>
                </c:pt>
                <c:pt idx="5">
                  <c:v>1</c:v>
                </c:pt>
                <c:pt idx="6">
                  <c:v>0.95000000000000062</c:v>
                </c:pt>
                <c:pt idx="7">
                  <c:v>1</c:v>
                </c:pt>
              </c:numCache>
            </c:numRef>
          </c:val>
        </c:ser>
        <c:axId val="23345408"/>
        <c:axId val="23355392"/>
      </c:barChart>
      <c:catAx>
        <c:axId val="23345408"/>
        <c:scaling>
          <c:orientation val="minMax"/>
        </c:scaling>
        <c:axPos val="b"/>
        <c:numFmt formatCode="General" sourceLinked="1"/>
        <c:maj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23355392"/>
        <c:crosses val="autoZero"/>
        <c:auto val="1"/>
        <c:lblAlgn val="ctr"/>
        <c:lblOffset val="100"/>
        <c:tickMarkSkip val="1"/>
      </c:catAx>
      <c:valAx>
        <c:axId val="23355392"/>
        <c:scaling>
          <c:orientation val="minMax"/>
          <c:max val="1"/>
          <c:min val="0"/>
        </c:scaling>
        <c:axPos val="l"/>
        <c:majorGridlines>
          <c:spPr>
            <a:ln w="3175">
              <a:solidFill>
                <a:srgbClr val="000000"/>
              </a:solidFill>
              <a:prstDash val="solid"/>
            </a:ln>
          </c:spPr>
        </c:majorGridlines>
        <c:numFmt formatCode="0%" sourceLinked="1"/>
        <c:maj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23345408"/>
        <c:crosses val="autoZero"/>
        <c:crossBetween val="between"/>
        <c:majorUnit val="0.25"/>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r"/>
      <c:layout>
        <c:manualLayout>
          <c:xMode val="edge"/>
          <c:yMode val="edge"/>
          <c:x val="0.71830985915492962"/>
          <c:y val="0.41509433962264641"/>
          <c:w val="0.26760563380281688"/>
          <c:h val="0.36981132075472062"/>
        </c:manualLayout>
      </c:layout>
    </c:legend>
    <c:plotVisOnly val="1"/>
    <c:dispBlanksAs val="gap"/>
  </c:chart>
  <c:spPr>
    <a:blipFill dpi="0" rotWithShape="0">
      <a:blip xmlns:r="http://schemas.openxmlformats.org/officeDocument/2006/relationships" r:embed="rId1"/>
      <a:srcRect/>
      <a:stretch>
        <a:fillRect/>
      </a:stretch>
    </a:blipFill>
    <a:ln w="12700">
      <a:solidFill>
        <a:srgbClr val="C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i="0" u="none" strike="noStrike" baseline="0">
                <a:solidFill>
                  <a:srgbClr val="000000"/>
                </a:solidFill>
                <a:latin typeface="Arial"/>
                <a:ea typeface="Arial"/>
                <a:cs typeface="Arial"/>
              </a:defRPr>
            </a:pPr>
            <a:r>
              <a:rPr lang="en-US" sz="800" b="1" i="0" u="none" strike="noStrike" baseline="0">
                <a:solidFill>
                  <a:srgbClr val="000000"/>
                </a:solidFill>
                <a:latin typeface="Arial"/>
                <a:cs typeface="Arial"/>
              </a:rPr>
              <a:t>Savings to U.S. Consumers (Civil)</a:t>
            </a:r>
          </a:p>
          <a:p>
            <a:pPr>
              <a:defRPr sz="800" b="0" i="0" u="none" strike="noStrike" baseline="0">
                <a:solidFill>
                  <a:srgbClr val="000000"/>
                </a:solidFill>
                <a:latin typeface="Arial"/>
                <a:ea typeface="Arial"/>
                <a:cs typeface="Arial"/>
              </a:defRPr>
            </a:pPr>
            <a:r>
              <a:rPr lang="en-US" sz="800" b="1" i="0" u="none" strike="noStrike" baseline="0">
                <a:solidFill>
                  <a:srgbClr val="000000"/>
                </a:solidFill>
                <a:latin typeface="Arial"/>
                <a:cs typeface="Arial"/>
              </a:rPr>
              <a:t>(in billions of dollars)</a:t>
            </a:r>
          </a:p>
        </c:rich>
      </c:tx>
      <c:layout>
        <c:manualLayout>
          <c:xMode val="edge"/>
          <c:yMode val="edge"/>
          <c:x val="0.27473591146309878"/>
          <c:y val="5.3075425544233439E-2"/>
        </c:manualLayout>
      </c:layout>
      <c:spPr>
        <a:noFill/>
        <a:ln w="25400">
          <a:noFill/>
        </a:ln>
      </c:spPr>
    </c:title>
    <c:plotArea>
      <c:layout>
        <c:manualLayout>
          <c:layoutTarget val="inner"/>
          <c:xMode val="edge"/>
          <c:yMode val="edge"/>
          <c:x val="0.13239436619718506"/>
          <c:y val="0.22939068100358417"/>
          <c:w val="0.75142715559083872"/>
          <c:h val="0.49850431090585862"/>
        </c:manualLayout>
      </c:layout>
      <c:barChart>
        <c:barDir val="col"/>
        <c:grouping val="clustered"/>
        <c:ser>
          <c:idx val="0"/>
          <c:order val="0"/>
          <c:spPr>
            <a:solidFill>
              <a:srgbClr val="660066"/>
            </a:solidFill>
            <a:ln w="12700">
              <a:solidFill>
                <a:srgbClr val="000000"/>
              </a:solidFill>
              <a:prstDash val="solid"/>
            </a:ln>
            <a:scene3d>
              <a:camera prst="orthographicFront"/>
              <a:lightRig rig="threePt" dir="t"/>
            </a:scene3d>
            <a:sp3d>
              <a:bevelT prst="angle"/>
              <a:bevelB prst="angle"/>
            </a:sp3d>
          </c:spPr>
          <c:dLbls>
            <c:dLbl>
              <c:idx val="0"/>
              <c:layout>
                <c:manualLayout>
                  <c:x val="3.6337209302325477E-3"/>
                  <c:y val="-3.2169117647058806E-2"/>
                </c:manualLayout>
              </c:layout>
              <c:showVal val="1"/>
            </c:dLbl>
            <c:dLbl>
              <c:idx val="1"/>
              <c:layout>
                <c:manualLayout>
                  <c:x val="0"/>
                  <c:y val="1.3786764705882387E-2"/>
                </c:manualLayout>
              </c:layout>
              <c:showVal val="1"/>
            </c:dLbl>
            <c:dLbl>
              <c:idx val="2"/>
              <c:layout>
                <c:manualLayout>
                  <c:x val="0"/>
                  <c:y val="-3.2169117647058952E-2"/>
                </c:manualLayout>
              </c:layout>
              <c:showVal val="1"/>
            </c:dLbl>
            <c:dLbl>
              <c:idx val="3"/>
              <c:layout>
                <c:manualLayout>
                  <c:x val="0"/>
                  <c:y val="-1.3786764705882304E-2"/>
                </c:manualLayout>
              </c:layout>
              <c:showVal val="1"/>
            </c:dLbl>
            <c:dLbl>
              <c:idx val="4"/>
              <c:layout>
                <c:manualLayout>
                  <c:x val="3.6337209302325655E-3"/>
                  <c:y val="-2.7573529411764788E-2"/>
                </c:manualLayout>
              </c:layout>
              <c:showVal val="1"/>
            </c:dLbl>
            <c:dLbl>
              <c:idx val="5"/>
              <c:layout>
                <c:manualLayout>
                  <c:x val="3.6337209302325655E-3"/>
                  <c:y val="-2.297794117647069E-2"/>
                </c:manualLayout>
              </c:layout>
              <c:showVal val="1"/>
            </c:dLbl>
            <c:dLbl>
              <c:idx val="6"/>
              <c:layout>
                <c:manualLayout>
                  <c:x val="-3.6337209302325655E-3"/>
                  <c:y val="-9.1911764705882529E-3"/>
                </c:manualLayout>
              </c:layout>
              <c:showVal val="1"/>
            </c:dLbl>
            <c:numFmt formatCode="\$#,##0.0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Val val="1"/>
          </c:dLbls>
          <c:cat>
            <c:strRef>
              <c:f>Sheet1!$A$8:$A$15</c:f>
              <c:strCache>
                <c:ptCount val="8"/>
                <c:pt idx="0">
                  <c:v>FY05</c:v>
                </c:pt>
                <c:pt idx="1">
                  <c:v>FY06</c:v>
                </c:pt>
                <c:pt idx="2">
                  <c:v>FY07</c:v>
                </c:pt>
                <c:pt idx="3">
                  <c:v>FY08</c:v>
                </c:pt>
                <c:pt idx="4">
                  <c:v>FY09</c:v>
                </c:pt>
                <c:pt idx="5">
                  <c:v>FY10</c:v>
                </c:pt>
                <c:pt idx="6">
                  <c:v>FY11</c:v>
                </c:pt>
                <c:pt idx="7">
                  <c:v>FY12</c:v>
                </c:pt>
              </c:strCache>
            </c:strRef>
          </c:cat>
          <c:val>
            <c:numRef>
              <c:f>Sheet1!$B$8:$B$15</c:f>
              <c:numCache>
                <c:formatCode>General</c:formatCode>
                <c:ptCount val="8"/>
                <c:pt idx="0">
                  <c:v>0.16400000000000001</c:v>
                </c:pt>
                <c:pt idx="1">
                  <c:v>1.9520000000000022</c:v>
                </c:pt>
                <c:pt idx="2">
                  <c:v>0.16600000000000001</c:v>
                </c:pt>
                <c:pt idx="3" formatCode="0.000">
                  <c:v>0.51</c:v>
                </c:pt>
                <c:pt idx="4">
                  <c:v>1.222</c:v>
                </c:pt>
                <c:pt idx="5">
                  <c:v>0.18670000000000034</c:v>
                </c:pt>
                <c:pt idx="6">
                  <c:v>1.4309999999999972</c:v>
                </c:pt>
                <c:pt idx="7">
                  <c:v>8.9650000000000194</c:v>
                </c:pt>
              </c:numCache>
            </c:numRef>
          </c:val>
        </c:ser>
        <c:axId val="23375872"/>
        <c:axId val="23377408"/>
      </c:barChart>
      <c:catAx>
        <c:axId val="2337587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377408"/>
        <c:crosses val="autoZero"/>
        <c:auto val="1"/>
        <c:lblAlgn val="ctr"/>
        <c:lblOffset val="100"/>
        <c:tickLblSkip val="1"/>
        <c:tickMarkSkip val="1"/>
      </c:catAx>
      <c:valAx>
        <c:axId val="23377408"/>
        <c:scaling>
          <c:orientation val="minMax"/>
          <c:max val="9"/>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375872"/>
        <c:crosses val="autoZero"/>
        <c:crossBetween val="between"/>
        <c:majorUnit val="1"/>
        <c:minorUnit val="0.5"/>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chart>
  <c:spPr>
    <a:solidFill>
      <a:srgbClr val="FFFFFF"/>
    </a:solidFill>
    <a:ln w="12700">
      <a:solidFill>
        <a:srgbClr val="C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62DCA-316C-4852-9F4A-906676FA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14419</Words>
  <Characters>86933</Characters>
  <Application>Microsoft Office Word</Application>
  <DocSecurity>0</DocSecurity>
  <Lines>2414</Lines>
  <Paragraphs>858</Paragraphs>
  <ScaleCrop>false</ScaleCrop>
  <HeadingPairs>
    <vt:vector size="2" baseType="variant">
      <vt:variant>
        <vt:lpstr>Title</vt:lpstr>
      </vt:variant>
      <vt:variant>
        <vt:i4>1</vt:i4>
      </vt:variant>
    </vt:vector>
  </HeadingPairs>
  <TitlesOfParts>
    <vt:vector size="1" baseType="lpstr">
      <vt:lpstr> </vt:lpstr>
    </vt:vector>
  </TitlesOfParts>
  <Company>U.S. Department of Justice</Company>
  <LinksUpToDate>false</LinksUpToDate>
  <CharactersWithSpaces>100494</CharactersWithSpaces>
  <SharedDoc>false</SharedDoc>
  <HLinks>
    <vt:vector size="162" baseType="variant">
      <vt:variant>
        <vt:i4>5242967</vt:i4>
      </vt:variant>
      <vt:variant>
        <vt:i4>132</vt:i4>
      </vt:variant>
      <vt:variant>
        <vt:i4>0</vt:i4>
      </vt:variant>
      <vt:variant>
        <vt:i4>5</vt:i4>
      </vt:variant>
      <vt:variant>
        <vt:lpwstr>http://www.recovery.gov/</vt:lpwstr>
      </vt:variant>
      <vt:variant>
        <vt:lpwstr/>
      </vt:variant>
      <vt:variant>
        <vt:i4>5374038</vt:i4>
      </vt:variant>
      <vt:variant>
        <vt:i4>129</vt:i4>
      </vt:variant>
      <vt:variant>
        <vt:i4>0</vt:i4>
      </vt:variant>
      <vt:variant>
        <vt:i4>5</vt:i4>
      </vt:variant>
      <vt:variant>
        <vt:lpwstr>http://www.usdoj.gov/atr</vt:lpwstr>
      </vt:variant>
      <vt:variant>
        <vt:lpwstr/>
      </vt:variant>
      <vt:variant>
        <vt:i4>1179704</vt:i4>
      </vt:variant>
      <vt:variant>
        <vt:i4>104</vt:i4>
      </vt:variant>
      <vt:variant>
        <vt:i4>0</vt:i4>
      </vt:variant>
      <vt:variant>
        <vt:i4>5</vt:i4>
      </vt:variant>
      <vt:variant>
        <vt:lpwstr/>
      </vt:variant>
      <vt:variant>
        <vt:lpwstr>_Toc272316971</vt:lpwstr>
      </vt:variant>
      <vt:variant>
        <vt:i4>1179704</vt:i4>
      </vt:variant>
      <vt:variant>
        <vt:i4>98</vt:i4>
      </vt:variant>
      <vt:variant>
        <vt:i4>0</vt:i4>
      </vt:variant>
      <vt:variant>
        <vt:i4>5</vt:i4>
      </vt:variant>
      <vt:variant>
        <vt:lpwstr/>
      </vt:variant>
      <vt:variant>
        <vt:lpwstr>_Toc272316970</vt:lpwstr>
      </vt:variant>
      <vt:variant>
        <vt:i4>1245240</vt:i4>
      </vt:variant>
      <vt:variant>
        <vt:i4>92</vt:i4>
      </vt:variant>
      <vt:variant>
        <vt:i4>0</vt:i4>
      </vt:variant>
      <vt:variant>
        <vt:i4>5</vt:i4>
      </vt:variant>
      <vt:variant>
        <vt:lpwstr/>
      </vt:variant>
      <vt:variant>
        <vt:lpwstr>_Toc272316969</vt:lpwstr>
      </vt:variant>
      <vt:variant>
        <vt:i4>1245240</vt:i4>
      </vt:variant>
      <vt:variant>
        <vt:i4>86</vt:i4>
      </vt:variant>
      <vt:variant>
        <vt:i4>0</vt:i4>
      </vt:variant>
      <vt:variant>
        <vt:i4>5</vt:i4>
      </vt:variant>
      <vt:variant>
        <vt:lpwstr/>
      </vt:variant>
      <vt:variant>
        <vt:lpwstr>_Toc272316968</vt:lpwstr>
      </vt:variant>
      <vt:variant>
        <vt:i4>1245240</vt:i4>
      </vt:variant>
      <vt:variant>
        <vt:i4>80</vt:i4>
      </vt:variant>
      <vt:variant>
        <vt:i4>0</vt:i4>
      </vt:variant>
      <vt:variant>
        <vt:i4>5</vt:i4>
      </vt:variant>
      <vt:variant>
        <vt:lpwstr/>
      </vt:variant>
      <vt:variant>
        <vt:lpwstr>_Toc272316967</vt:lpwstr>
      </vt:variant>
      <vt:variant>
        <vt:i4>1245240</vt:i4>
      </vt:variant>
      <vt:variant>
        <vt:i4>74</vt:i4>
      </vt:variant>
      <vt:variant>
        <vt:i4>0</vt:i4>
      </vt:variant>
      <vt:variant>
        <vt:i4>5</vt:i4>
      </vt:variant>
      <vt:variant>
        <vt:lpwstr/>
      </vt:variant>
      <vt:variant>
        <vt:lpwstr>_Toc272316966</vt:lpwstr>
      </vt:variant>
      <vt:variant>
        <vt:i4>1245240</vt:i4>
      </vt:variant>
      <vt:variant>
        <vt:i4>68</vt:i4>
      </vt:variant>
      <vt:variant>
        <vt:i4>0</vt:i4>
      </vt:variant>
      <vt:variant>
        <vt:i4>5</vt:i4>
      </vt:variant>
      <vt:variant>
        <vt:lpwstr/>
      </vt:variant>
      <vt:variant>
        <vt:lpwstr>_Toc272316965</vt:lpwstr>
      </vt:variant>
      <vt:variant>
        <vt:i4>1245240</vt:i4>
      </vt:variant>
      <vt:variant>
        <vt:i4>62</vt:i4>
      </vt:variant>
      <vt:variant>
        <vt:i4>0</vt:i4>
      </vt:variant>
      <vt:variant>
        <vt:i4>5</vt:i4>
      </vt:variant>
      <vt:variant>
        <vt:lpwstr/>
      </vt:variant>
      <vt:variant>
        <vt:lpwstr>_Toc272316964</vt:lpwstr>
      </vt:variant>
      <vt:variant>
        <vt:i4>1245240</vt:i4>
      </vt:variant>
      <vt:variant>
        <vt:i4>56</vt:i4>
      </vt:variant>
      <vt:variant>
        <vt:i4>0</vt:i4>
      </vt:variant>
      <vt:variant>
        <vt:i4>5</vt:i4>
      </vt:variant>
      <vt:variant>
        <vt:lpwstr/>
      </vt:variant>
      <vt:variant>
        <vt:lpwstr>_Toc272316963</vt:lpwstr>
      </vt:variant>
      <vt:variant>
        <vt:i4>1245240</vt:i4>
      </vt:variant>
      <vt:variant>
        <vt:i4>50</vt:i4>
      </vt:variant>
      <vt:variant>
        <vt:i4>0</vt:i4>
      </vt:variant>
      <vt:variant>
        <vt:i4>5</vt:i4>
      </vt:variant>
      <vt:variant>
        <vt:lpwstr/>
      </vt:variant>
      <vt:variant>
        <vt:lpwstr>_Toc272316962</vt:lpwstr>
      </vt:variant>
      <vt:variant>
        <vt:i4>1245240</vt:i4>
      </vt:variant>
      <vt:variant>
        <vt:i4>44</vt:i4>
      </vt:variant>
      <vt:variant>
        <vt:i4>0</vt:i4>
      </vt:variant>
      <vt:variant>
        <vt:i4>5</vt:i4>
      </vt:variant>
      <vt:variant>
        <vt:lpwstr/>
      </vt:variant>
      <vt:variant>
        <vt:lpwstr>_Toc272316961</vt:lpwstr>
      </vt:variant>
      <vt:variant>
        <vt:i4>1245240</vt:i4>
      </vt:variant>
      <vt:variant>
        <vt:i4>38</vt:i4>
      </vt:variant>
      <vt:variant>
        <vt:i4>0</vt:i4>
      </vt:variant>
      <vt:variant>
        <vt:i4>5</vt:i4>
      </vt:variant>
      <vt:variant>
        <vt:lpwstr/>
      </vt:variant>
      <vt:variant>
        <vt:lpwstr>_Toc272316960</vt:lpwstr>
      </vt:variant>
      <vt:variant>
        <vt:i4>1048632</vt:i4>
      </vt:variant>
      <vt:variant>
        <vt:i4>32</vt:i4>
      </vt:variant>
      <vt:variant>
        <vt:i4>0</vt:i4>
      </vt:variant>
      <vt:variant>
        <vt:i4>5</vt:i4>
      </vt:variant>
      <vt:variant>
        <vt:lpwstr/>
      </vt:variant>
      <vt:variant>
        <vt:lpwstr>_Toc272316959</vt:lpwstr>
      </vt:variant>
      <vt:variant>
        <vt:i4>1048632</vt:i4>
      </vt:variant>
      <vt:variant>
        <vt:i4>26</vt:i4>
      </vt:variant>
      <vt:variant>
        <vt:i4>0</vt:i4>
      </vt:variant>
      <vt:variant>
        <vt:i4>5</vt:i4>
      </vt:variant>
      <vt:variant>
        <vt:lpwstr/>
      </vt:variant>
      <vt:variant>
        <vt:lpwstr>_Toc272316958</vt:lpwstr>
      </vt:variant>
      <vt:variant>
        <vt:i4>1048632</vt:i4>
      </vt:variant>
      <vt:variant>
        <vt:i4>20</vt:i4>
      </vt:variant>
      <vt:variant>
        <vt:i4>0</vt:i4>
      </vt:variant>
      <vt:variant>
        <vt:i4>5</vt:i4>
      </vt:variant>
      <vt:variant>
        <vt:lpwstr/>
      </vt:variant>
      <vt:variant>
        <vt:lpwstr>_Toc272316957</vt:lpwstr>
      </vt:variant>
      <vt:variant>
        <vt:i4>1048632</vt:i4>
      </vt:variant>
      <vt:variant>
        <vt:i4>14</vt:i4>
      </vt:variant>
      <vt:variant>
        <vt:i4>0</vt:i4>
      </vt:variant>
      <vt:variant>
        <vt:i4>5</vt:i4>
      </vt:variant>
      <vt:variant>
        <vt:lpwstr/>
      </vt:variant>
      <vt:variant>
        <vt:lpwstr>_Toc272316956</vt:lpwstr>
      </vt:variant>
      <vt:variant>
        <vt:i4>1048632</vt:i4>
      </vt:variant>
      <vt:variant>
        <vt:i4>8</vt:i4>
      </vt:variant>
      <vt:variant>
        <vt:i4>0</vt:i4>
      </vt:variant>
      <vt:variant>
        <vt:i4>5</vt:i4>
      </vt:variant>
      <vt:variant>
        <vt:lpwstr/>
      </vt:variant>
      <vt:variant>
        <vt:lpwstr>_Toc272316955</vt:lpwstr>
      </vt:variant>
      <vt:variant>
        <vt:i4>1048632</vt:i4>
      </vt:variant>
      <vt:variant>
        <vt:i4>2</vt:i4>
      </vt:variant>
      <vt:variant>
        <vt:i4>0</vt:i4>
      </vt:variant>
      <vt:variant>
        <vt:i4>5</vt:i4>
      </vt:variant>
      <vt:variant>
        <vt:lpwstr/>
      </vt:variant>
      <vt:variant>
        <vt:lpwstr>_Toc272316954</vt:lpwstr>
      </vt:variant>
      <vt:variant>
        <vt:i4>3080289</vt:i4>
      </vt:variant>
      <vt:variant>
        <vt:i4>18</vt:i4>
      </vt:variant>
      <vt:variant>
        <vt:i4>0</vt:i4>
      </vt:variant>
      <vt:variant>
        <vt:i4>5</vt:i4>
      </vt:variant>
      <vt:variant>
        <vt:lpwstr>http://www.telappliant.com/voip-news/18493019/survey-80-million-voip-users-in-2007</vt:lpwstr>
      </vt:variant>
      <vt:variant>
        <vt:lpwstr/>
      </vt:variant>
      <vt:variant>
        <vt:i4>3407970</vt:i4>
      </vt:variant>
      <vt:variant>
        <vt:i4>15</vt:i4>
      </vt:variant>
      <vt:variant>
        <vt:i4>0</vt:i4>
      </vt:variant>
      <vt:variant>
        <vt:i4>5</vt:i4>
      </vt:variant>
      <vt:variant>
        <vt:lpwstr>http://www.telappliant.com/</vt:lpwstr>
      </vt:variant>
      <vt:variant>
        <vt:lpwstr/>
      </vt:variant>
      <vt:variant>
        <vt:i4>3735596</vt:i4>
      </vt:variant>
      <vt:variant>
        <vt:i4>12</vt:i4>
      </vt:variant>
      <vt:variant>
        <vt:i4>0</vt:i4>
      </vt:variant>
      <vt:variant>
        <vt:i4>5</vt:i4>
      </vt:variant>
      <vt:variant>
        <vt:lpwstr>http://pewinternet.org/Reports/2010/Mobile Access 2010.aspx</vt:lpwstr>
      </vt:variant>
      <vt:variant>
        <vt:lpwstr/>
      </vt:variant>
      <vt:variant>
        <vt:i4>4522003</vt:i4>
      </vt:variant>
      <vt:variant>
        <vt:i4>9</vt:i4>
      </vt:variant>
      <vt:variant>
        <vt:i4>0</vt:i4>
      </vt:variant>
      <vt:variant>
        <vt:i4>5</vt:i4>
      </vt:variant>
      <vt:variant>
        <vt:lpwstr>http://www.ctia.org/advocacy/research/index.cfm/AID/10323</vt:lpwstr>
      </vt:variant>
      <vt:variant>
        <vt:lpwstr/>
      </vt:variant>
      <vt:variant>
        <vt:i4>5374029</vt:i4>
      </vt:variant>
      <vt:variant>
        <vt:i4>6</vt:i4>
      </vt:variant>
      <vt:variant>
        <vt:i4>0</vt:i4>
      </vt:variant>
      <vt:variant>
        <vt:i4>5</vt:i4>
      </vt:variant>
      <vt:variant>
        <vt:lpwstr>http://www.ctia.org/</vt:lpwstr>
      </vt:variant>
      <vt:variant>
        <vt:lpwstr/>
      </vt:variant>
      <vt:variant>
        <vt:i4>7208961</vt:i4>
      </vt:variant>
      <vt:variant>
        <vt:i4>3</vt:i4>
      </vt:variant>
      <vt:variant>
        <vt:i4>0</vt:i4>
      </vt:variant>
      <vt:variant>
        <vt:i4>5</vt:i4>
      </vt:variant>
      <vt:variant>
        <vt:lpwstr>http://www.businessweek.com/print/investor/content/dec2009/pi20091228_458047.htm</vt:lpwstr>
      </vt:variant>
      <vt:variant>
        <vt:lpwstr/>
      </vt:variant>
      <vt:variant>
        <vt:i4>6094929</vt:i4>
      </vt:variant>
      <vt:variant>
        <vt:i4>0</vt:i4>
      </vt:variant>
      <vt:variant>
        <vt:i4>0</vt:i4>
      </vt:variant>
      <vt:variant>
        <vt:i4>5</vt:i4>
      </vt:variant>
      <vt:variant>
        <vt:lpwstr>http://www.bea.gov/newsreleases/international/trade/2009/pdf/trad1009.pdf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Antitrust Division</dc:creator>
  <cp:keywords/>
  <cp:lastModifiedBy>Antitrust Division</cp:lastModifiedBy>
  <cp:revision>2</cp:revision>
  <cp:lastPrinted>2012-09-05T18:30:00Z</cp:lastPrinted>
  <dcterms:created xsi:type="dcterms:W3CDTF">2013-03-25T17:09:00Z</dcterms:created>
  <dcterms:modified xsi:type="dcterms:W3CDTF">2013-03-25T17:09:00Z</dcterms:modified>
</cp:coreProperties>
</file>