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footer9.xml" ContentType="application/vnd.openxmlformats-officedocument.wordprocessingml.footer+xml"/>
  <Override PartName="/word/theme/themeOverride3.xml" ContentType="application/vnd.openxmlformats-officedocument.themeOverride+xml"/>
  <Override PartName="/word/footer7.xml" ContentType="application/vnd.openxmlformats-officedocument.wordprocessingml.footer+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header8.xml" ContentType="application/vnd.openxmlformats-officedocument.wordprocessingml.header+xml"/>
  <Override PartName="/word/footer17.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charts/chart15.xml" ContentType="application/vnd.openxmlformats-officedocument.drawingml.chart+xml"/>
  <Override PartName="/word/charts/chart24.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header3.xml" ContentType="application/vnd.openxmlformats-officedocument.wordprocessingml.header+xml"/>
  <Override PartName="/word/footer10.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Default Extension="emf" ContentType="image/x-emf"/>
  <Override PartName="/word/footer6.xml" ContentType="application/vnd.openxmlformats-officedocument.wordprocessingml.footer+xml"/>
  <Override PartName="/word/theme/themeOverride12.xml" ContentType="application/vnd.openxmlformats-officedocument.themeOverride+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header7.xml" ContentType="application/vnd.openxmlformats-officedocument.wordprocessingml.header+xml"/>
  <Override PartName="/word/charts/chart18.xml" ContentType="application/vnd.openxmlformats-officedocument.drawingml.chart+xml"/>
  <Override PartName="/word/footer14.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charts/chart25.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thinThickMediumGap" w:sz="24" w:space="0" w:color="auto"/>
        </w:tblBorders>
        <w:tblLook w:val="01E0"/>
      </w:tblPr>
      <w:tblGrid>
        <w:gridCol w:w="9576"/>
      </w:tblGrid>
      <w:tr w:rsidR="000C781F" w:rsidRPr="00144965" w:rsidTr="000C781F">
        <w:tc>
          <w:tcPr>
            <w:tcW w:w="9576" w:type="dxa"/>
          </w:tcPr>
          <w:p w:rsidR="000C781F" w:rsidRPr="00144965" w:rsidRDefault="000C781F" w:rsidP="0098208F">
            <w:pPr>
              <w:rPr>
                <w:b/>
                <w:bCs/>
                <w:color w:val="000000"/>
                <w:sz w:val="23"/>
                <w:szCs w:val="23"/>
                <w:lang w:eastAsia="zh-CN"/>
              </w:rPr>
            </w:pPr>
            <w:r w:rsidRPr="00144965">
              <w:rPr>
                <w:b/>
                <w:bCs/>
                <w:color w:val="000000"/>
                <w:sz w:val="23"/>
                <w:szCs w:val="23"/>
                <w:lang w:eastAsia="zh-CN"/>
              </w:rPr>
              <w:t>U.S. Department of Justice</w:t>
            </w:r>
          </w:p>
        </w:tc>
      </w:tr>
      <w:tr w:rsidR="000C781F" w:rsidRPr="00144965" w:rsidTr="000C781F">
        <w:tc>
          <w:tcPr>
            <w:tcW w:w="9576" w:type="dxa"/>
          </w:tcPr>
          <w:p w:rsidR="000C781F" w:rsidRPr="00144965" w:rsidRDefault="000C781F" w:rsidP="0098208F">
            <w:pPr>
              <w:rPr>
                <w:color w:val="000000"/>
                <w:sz w:val="23"/>
                <w:szCs w:val="23"/>
                <w:lang w:eastAsia="zh-CN"/>
              </w:rPr>
            </w:pPr>
            <w:r w:rsidRPr="00144965">
              <w:rPr>
                <w:color w:val="000000"/>
                <w:sz w:val="23"/>
                <w:szCs w:val="23"/>
                <w:lang w:eastAsia="zh-CN"/>
              </w:rPr>
              <w:t>Federal Bureau of Investigation</w:t>
            </w:r>
          </w:p>
        </w:tc>
      </w:tr>
    </w:tbl>
    <w:p w:rsidR="000C781F" w:rsidRPr="00144965" w:rsidRDefault="000C781F" w:rsidP="000C781F">
      <w:pPr>
        <w:jc w:val="center"/>
        <w:rPr>
          <w:color w:val="000000"/>
          <w:lang w:eastAsia="zh-CN"/>
        </w:rPr>
      </w:pPr>
    </w:p>
    <w:p w:rsidR="000C781F" w:rsidRPr="00144965" w:rsidRDefault="000C781F" w:rsidP="000C781F">
      <w:pPr>
        <w:jc w:val="center"/>
        <w:rPr>
          <w:color w:val="000000"/>
          <w:lang w:eastAsia="zh-CN"/>
        </w:rPr>
      </w:pPr>
    </w:p>
    <w:p w:rsidR="000C781F" w:rsidRPr="00144965" w:rsidRDefault="000C781F" w:rsidP="000C781F">
      <w:pPr>
        <w:jc w:val="center"/>
        <w:rPr>
          <w:color w:val="000000"/>
          <w:lang w:eastAsia="zh-CN"/>
        </w:rPr>
      </w:pPr>
    </w:p>
    <w:p w:rsidR="000C781F" w:rsidRPr="00144965" w:rsidRDefault="000C781F" w:rsidP="000C781F">
      <w:pPr>
        <w:rPr>
          <w:b/>
          <w:bCs/>
          <w:color w:val="000000"/>
          <w:sz w:val="60"/>
          <w:szCs w:val="60"/>
          <w:lang w:eastAsia="zh-CN"/>
        </w:rPr>
      </w:pPr>
      <w:r>
        <w:rPr>
          <w:b/>
          <w:bCs/>
          <w:color w:val="000000"/>
          <w:sz w:val="60"/>
          <w:szCs w:val="60"/>
          <w:lang w:eastAsia="zh-CN"/>
        </w:rPr>
        <w:t>FY 2013</w:t>
      </w:r>
    </w:p>
    <w:p w:rsidR="000C781F" w:rsidRDefault="000C781F" w:rsidP="000C781F">
      <w:pPr>
        <w:rPr>
          <w:b/>
          <w:bCs/>
          <w:color w:val="000000"/>
          <w:sz w:val="60"/>
          <w:szCs w:val="60"/>
          <w:lang w:eastAsia="zh-CN"/>
        </w:rPr>
      </w:pPr>
      <w:r>
        <w:rPr>
          <w:b/>
          <w:bCs/>
          <w:color w:val="000000"/>
          <w:sz w:val="60"/>
          <w:szCs w:val="60"/>
          <w:lang w:eastAsia="zh-CN"/>
        </w:rPr>
        <w:t>Authorization and Budget</w:t>
      </w:r>
    </w:p>
    <w:p w:rsidR="000C781F" w:rsidRPr="00144965" w:rsidRDefault="000C781F" w:rsidP="000C781F">
      <w:pPr>
        <w:rPr>
          <w:b/>
          <w:bCs/>
          <w:color w:val="000000"/>
          <w:sz w:val="60"/>
          <w:szCs w:val="60"/>
          <w:lang w:eastAsia="zh-CN"/>
        </w:rPr>
      </w:pPr>
      <w:r>
        <w:rPr>
          <w:b/>
          <w:bCs/>
          <w:color w:val="000000"/>
          <w:sz w:val="60"/>
          <w:szCs w:val="60"/>
          <w:lang w:eastAsia="zh-CN"/>
        </w:rPr>
        <w:t>Request to Congress</w:t>
      </w: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r w:rsidRPr="00144965">
        <w:rPr>
          <w:noProof/>
        </w:rPr>
        <w:drawing>
          <wp:anchor distT="0" distB="0" distL="114300" distR="114300" simplePos="0" relativeHeight="251706368" behindDoc="1" locked="0" layoutInCell="1" allowOverlap="1">
            <wp:simplePos x="0" y="0"/>
            <wp:positionH relativeFrom="column">
              <wp:align>center</wp:align>
            </wp:positionH>
            <wp:positionV relativeFrom="paragraph">
              <wp:posOffset>69850</wp:posOffset>
            </wp:positionV>
            <wp:extent cx="3226435" cy="3320415"/>
            <wp:effectExtent l="19050" t="0" r="0" b="0"/>
            <wp:wrapTight wrapText="bothSides">
              <wp:wrapPolygon edited="0">
                <wp:start x="-128" y="0"/>
                <wp:lineTo x="-128" y="21439"/>
                <wp:lineTo x="21553" y="21439"/>
                <wp:lineTo x="21553" y="0"/>
                <wp:lineTo x="-128"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226435" cy="3320415"/>
                    </a:xfrm>
                    <a:prstGeom prst="rect">
                      <a:avLst/>
                    </a:prstGeom>
                    <a:noFill/>
                    <a:ln w="9525">
                      <a:noFill/>
                      <a:miter lim="800000"/>
                      <a:headEnd/>
                      <a:tailEnd/>
                    </a:ln>
                  </pic:spPr>
                </pic:pic>
              </a:graphicData>
            </a:graphic>
          </wp:anchor>
        </w:drawing>
      </w: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sz w:val="60"/>
          <w:szCs w:val="60"/>
          <w:lang w:eastAsia="zh-CN"/>
        </w:rPr>
      </w:pPr>
    </w:p>
    <w:p w:rsidR="000C781F" w:rsidRPr="00144965" w:rsidRDefault="000C781F" w:rsidP="000C781F">
      <w:pPr>
        <w:rPr>
          <w:b/>
          <w:bCs/>
          <w:lang w:eastAsia="zh-CN"/>
        </w:rPr>
      </w:pPr>
    </w:p>
    <w:p w:rsidR="000C781F" w:rsidRPr="004472FE" w:rsidRDefault="000C781F" w:rsidP="000C781F">
      <w:pPr>
        <w:jc w:val="center"/>
        <w:rPr>
          <w:b/>
          <w:bCs/>
          <w:sz w:val="28"/>
          <w:szCs w:val="28"/>
          <w:lang w:eastAsia="zh-CN"/>
        </w:rPr>
      </w:pPr>
      <w:r>
        <w:rPr>
          <w:b/>
          <w:bCs/>
          <w:sz w:val="28"/>
          <w:szCs w:val="28"/>
          <w:lang w:eastAsia="zh-CN"/>
        </w:rPr>
        <w:t>February 2012</w:t>
      </w:r>
    </w:p>
    <w:p w:rsidR="000C781F" w:rsidRDefault="000C781F" w:rsidP="007D6019">
      <w:pPr>
        <w:keepNext/>
        <w:tabs>
          <w:tab w:val="right" w:leader="dot" w:pos="8784"/>
        </w:tabs>
        <w:jc w:val="center"/>
        <w:outlineLvl w:val="0"/>
        <w:rPr>
          <w:b/>
          <w:szCs w:val="20"/>
        </w:rPr>
        <w:sectPr w:rsidR="000C781F" w:rsidSect="00AF7620">
          <w:footerReference w:type="default" r:id="rId9"/>
          <w:pgSz w:w="12240" w:h="15840" w:code="1"/>
          <w:pgMar w:top="1440" w:right="1440" w:bottom="1440" w:left="1440" w:header="432" w:footer="432" w:gutter="0"/>
          <w:cols w:space="720"/>
        </w:sectPr>
      </w:pPr>
    </w:p>
    <w:p w:rsidR="00B725F4" w:rsidRPr="008B178F" w:rsidRDefault="00B725F4" w:rsidP="007D6019">
      <w:pPr>
        <w:keepNext/>
        <w:tabs>
          <w:tab w:val="right" w:leader="dot" w:pos="8784"/>
        </w:tabs>
        <w:jc w:val="center"/>
        <w:outlineLvl w:val="0"/>
        <w:rPr>
          <w:b/>
          <w:szCs w:val="20"/>
        </w:rPr>
      </w:pPr>
      <w:r w:rsidRPr="008B178F">
        <w:rPr>
          <w:b/>
          <w:szCs w:val="20"/>
        </w:rPr>
        <w:lastRenderedPageBreak/>
        <w:t>Table of Contents</w:t>
      </w:r>
    </w:p>
    <w:p w:rsidR="00B725F4" w:rsidRPr="008B178F" w:rsidRDefault="00B725F4" w:rsidP="00B725F4">
      <w:pPr>
        <w:tabs>
          <w:tab w:val="right" w:pos="9090"/>
        </w:tabs>
        <w:ind w:left="-720"/>
        <w:outlineLvl w:val="0"/>
        <w:rPr>
          <w:bCs/>
          <w:szCs w:val="20"/>
        </w:rPr>
      </w:pPr>
      <w:r w:rsidRPr="008B178F">
        <w:rPr>
          <w:bCs/>
          <w:szCs w:val="20"/>
        </w:rPr>
        <w:t xml:space="preserve">                                                                                                                                </w:t>
      </w:r>
      <w:r>
        <w:rPr>
          <w:bCs/>
          <w:szCs w:val="20"/>
        </w:rPr>
        <w:tab/>
      </w:r>
      <w:r w:rsidRPr="008B178F">
        <w:rPr>
          <w:bCs/>
          <w:szCs w:val="20"/>
        </w:rPr>
        <w:t xml:space="preserve"> Page No.</w:t>
      </w:r>
    </w:p>
    <w:p w:rsidR="00B725F4" w:rsidRPr="008B178F" w:rsidRDefault="00B725F4" w:rsidP="00B725F4">
      <w:pPr>
        <w:tabs>
          <w:tab w:val="left" w:pos="2930"/>
        </w:tabs>
        <w:outlineLvl w:val="0"/>
        <w:rPr>
          <w:bCs/>
          <w:szCs w:val="20"/>
        </w:rPr>
      </w:pPr>
      <w:r>
        <w:rPr>
          <w:bCs/>
          <w:szCs w:val="20"/>
        </w:rPr>
        <w:tab/>
      </w:r>
    </w:p>
    <w:p w:rsidR="00B725F4" w:rsidRPr="007D40B4" w:rsidRDefault="00B725F4" w:rsidP="00B725F4">
      <w:pPr>
        <w:tabs>
          <w:tab w:val="right" w:leader="dot" w:pos="8910"/>
        </w:tabs>
        <w:rPr>
          <w:rFonts w:cs="Arial"/>
          <w:bCs/>
        </w:rPr>
      </w:pPr>
      <w:r w:rsidRPr="007D40B4">
        <w:rPr>
          <w:rFonts w:cs="Arial"/>
          <w:b/>
        </w:rPr>
        <w:t xml:space="preserve">I. </w:t>
      </w:r>
      <w:hyperlink w:anchor="Overview" w:history="1">
        <w:r w:rsidRPr="007D40B4">
          <w:rPr>
            <w:rStyle w:val="Hyperlink"/>
            <w:rFonts w:cs="Arial"/>
            <w:b/>
            <w:color w:val="auto"/>
            <w:u w:val="none"/>
          </w:rPr>
          <w:t>Overview</w:t>
        </w:r>
      </w:hyperlink>
      <w:r w:rsidRPr="007D40B4">
        <w:rPr>
          <w:rFonts w:cs="Arial"/>
          <w:b/>
        </w:rPr>
        <w:tab/>
      </w:r>
      <w:r w:rsidR="00FC4E89" w:rsidRPr="007D40B4">
        <w:rPr>
          <w:rFonts w:cs="Arial"/>
          <w:b/>
        </w:rPr>
        <w:t>1-1</w:t>
      </w:r>
    </w:p>
    <w:p w:rsidR="00B725F4" w:rsidRPr="007D40B4" w:rsidRDefault="00B725F4" w:rsidP="00B725F4">
      <w:pPr>
        <w:tabs>
          <w:tab w:val="right" w:leader="dot" w:pos="8784"/>
        </w:tabs>
        <w:ind w:firstLine="720"/>
        <w:outlineLvl w:val="0"/>
        <w:rPr>
          <w:rFonts w:eastAsia="Arial Unicode MS"/>
          <w:b/>
          <w:bCs/>
          <w:szCs w:val="20"/>
        </w:rPr>
      </w:pPr>
    </w:p>
    <w:p w:rsidR="00B725F4" w:rsidRPr="007D40B4" w:rsidRDefault="00B725F4" w:rsidP="00B725F4">
      <w:pPr>
        <w:tabs>
          <w:tab w:val="right" w:leader="dot" w:pos="8910"/>
        </w:tabs>
        <w:rPr>
          <w:rFonts w:cs="Arial"/>
          <w:bCs/>
        </w:rPr>
      </w:pPr>
      <w:r w:rsidRPr="007D40B4">
        <w:rPr>
          <w:rFonts w:cs="Arial"/>
          <w:b/>
        </w:rPr>
        <w:t xml:space="preserve">II. </w:t>
      </w:r>
      <w:hyperlink w:anchor="Summary_Program_Changes" w:history="1">
        <w:r w:rsidRPr="007D40B4">
          <w:rPr>
            <w:rStyle w:val="Hyperlink"/>
            <w:rFonts w:cs="Arial"/>
            <w:b/>
            <w:color w:val="auto"/>
            <w:u w:val="none"/>
          </w:rPr>
          <w:t>Summary of Program Changes</w:t>
        </w:r>
      </w:hyperlink>
      <w:r w:rsidRPr="007D40B4">
        <w:rPr>
          <w:rFonts w:cs="Arial"/>
          <w:b/>
        </w:rPr>
        <w:tab/>
        <w:t>2-1</w:t>
      </w:r>
    </w:p>
    <w:p w:rsidR="00B725F4" w:rsidRPr="007D40B4" w:rsidRDefault="00B725F4" w:rsidP="00B725F4">
      <w:pPr>
        <w:tabs>
          <w:tab w:val="right" w:leader="dot" w:pos="8784"/>
        </w:tabs>
        <w:outlineLvl w:val="0"/>
        <w:rPr>
          <w:rFonts w:eastAsia="Arial Unicode MS"/>
          <w:b/>
          <w:bCs/>
          <w:szCs w:val="20"/>
        </w:rPr>
      </w:pPr>
    </w:p>
    <w:p w:rsidR="00B725F4" w:rsidRPr="007D40B4" w:rsidRDefault="00B725F4" w:rsidP="00B725F4">
      <w:pPr>
        <w:tabs>
          <w:tab w:val="right" w:leader="dot" w:pos="8910"/>
        </w:tabs>
        <w:rPr>
          <w:rFonts w:cs="Arial"/>
          <w:bCs/>
        </w:rPr>
      </w:pPr>
      <w:r w:rsidRPr="007D40B4">
        <w:rPr>
          <w:rFonts w:cs="Arial"/>
          <w:b/>
        </w:rPr>
        <w:t xml:space="preserve">III. </w:t>
      </w:r>
      <w:hyperlink w:anchor="SE_Approps_Language" w:history="1">
        <w:r w:rsidRPr="007D40B4">
          <w:rPr>
            <w:rStyle w:val="Hyperlink"/>
            <w:rFonts w:cs="Arial"/>
            <w:b/>
            <w:color w:val="auto"/>
            <w:u w:val="none"/>
          </w:rPr>
          <w:t>Appropriations Language and Analysis of Appropriations Language</w:t>
        </w:r>
      </w:hyperlink>
      <w:r w:rsidRPr="007D40B4">
        <w:rPr>
          <w:rFonts w:cs="Arial"/>
          <w:b/>
        </w:rPr>
        <w:tab/>
        <w:t>3-1</w:t>
      </w:r>
    </w:p>
    <w:p w:rsidR="00B725F4" w:rsidRPr="007D40B4" w:rsidRDefault="00B725F4" w:rsidP="00B725F4">
      <w:pPr>
        <w:tabs>
          <w:tab w:val="right" w:leader="dot" w:pos="8784"/>
        </w:tabs>
        <w:rPr>
          <w:rFonts w:cs="Arial"/>
          <w:b/>
        </w:rPr>
      </w:pPr>
    </w:p>
    <w:p w:rsidR="00B725F4" w:rsidRPr="007D40B4" w:rsidRDefault="00B725F4" w:rsidP="00B725F4">
      <w:pPr>
        <w:tabs>
          <w:tab w:val="right" w:leader="dot" w:pos="8910"/>
        </w:tabs>
        <w:rPr>
          <w:rFonts w:cs="Arial"/>
          <w:b/>
        </w:rPr>
      </w:pPr>
      <w:r w:rsidRPr="007D40B4">
        <w:rPr>
          <w:rFonts w:cs="Arial"/>
          <w:b/>
        </w:rPr>
        <w:t xml:space="preserve">IV. </w:t>
      </w:r>
      <w:hyperlink w:anchor="DU_Justifications" w:history="1">
        <w:r w:rsidRPr="007D40B4">
          <w:rPr>
            <w:rStyle w:val="Hyperlink"/>
            <w:rFonts w:cs="Arial"/>
            <w:b/>
            <w:color w:val="auto"/>
            <w:u w:val="none"/>
          </w:rPr>
          <w:t>Decision Unit Justification</w:t>
        </w:r>
      </w:hyperlink>
      <w:r w:rsidRPr="007D40B4">
        <w:rPr>
          <w:rFonts w:cs="Arial"/>
          <w:b/>
        </w:rPr>
        <w:tab/>
        <w:t>4-1</w:t>
      </w:r>
    </w:p>
    <w:p w:rsidR="00B725F4" w:rsidRPr="007D40B4" w:rsidRDefault="00B725F4" w:rsidP="00B725F4">
      <w:pPr>
        <w:tabs>
          <w:tab w:val="right" w:leader="dot" w:pos="8784"/>
        </w:tabs>
        <w:rPr>
          <w:bCs/>
        </w:rPr>
      </w:pPr>
      <w:r w:rsidRPr="007D40B4">
        <w:rPr>
          <w:bCs/>
        </w:rPr>
        <w:t xml:space="preserve">     </w:t>
      </w:r>
    </w:p>
    <w:p w:rsidR="00B725F4" w:rsidRPr="007D40B4" w:rsidRDefault="00B725F4" w:rsidP="00B725F4">
      <w:pPr>
        <w:tabs>
          <w:tab w:val="right" w:leader="dot" w:pos="8910"/>
        </w:tabs>
        <w:rPr>
          <w:bCs/>
        </w:rPr>
      </w:pPr>
      <w:r w:rsidRPr="007D40B4">
        <w:rPr>
          <w:bCs/>
        </w:rPr>
        <w:t xml:space="preserve">A. </w:t>
      </w:r>
      <w:hyperlink w:anchor="Intel_DU" w:history="1">
        <w:r w:rsidRPr="007D40B4">
          <w:rPr>
            <w:rStyle w:val="Hyperlink"/>
            <w:bCs/>
            <w:color w:val="auto"/>
            <w:u w:val="none"/>
          </w:rPr>
          <w:t>Intelligence Decision Unit</w:t>
        </w:r>
      </w:hyperlink>
      <w:r w:rsidRPr="007D40B4">
        <w:rPr>
          <w:bCs/>
        </w:rPr>
        <w:tab/>
        <w:t>4-1</w:t>
      </w:r>
    </w:p>
    <w:p w:rsidR="00B725F4" w:rsidRPr="007D40B4" w:rsidRDefault="00B725F4" w:rsidP="00B725F4">
      <w:pPr>
        <w:tabs>
          <w:tab w:val="right" w:leader="dot" w:pos="8784"/>
        </w:tabs>
        <w:rPr>
          <w:bCs/>
        </w:rPr>
      </w:pPr>
      <w:r w:rsidRPr="007D40B4">
        <w:rPr>
          <w:bCs/>
        </w:rPr>
        <w:t xml:space="preserve">           1.  Program Description</w:t>
      </w:r>
    </w:p>
    <w:p w:rsidR="00B725F4" w:rsidRPr="007D40B4" w:rsidRDefault="00B725F4" w:rsidP="00B725F4">
      <w:pPr>
        <w:tabs>
          <w:tab w:val="right" w:leader="dot" w:pos="8784"/>
        </w:tabs>
        <w:rPr>
          <w:bCs/>
        </w:rPr>
      </w:pPr>
      <w:r w:rsidRPr="007D40B4">
        <w:rPr>
          <w:bCs/>
        </w:rPr>
        <w:t xml:space="preserve">           2.  Performance Tables</w:t>
      </w:r>
    </w:p>
    <w:p w:rsidR="00B725F4" w:rsidRPr="007D40B4" w:rsidRDefault="00B725F4" w:rsidP="00B725F4">
      <w:pPr>
        <w:tabs>
          <w:tab w:val="right" w:leader="dot" w:pos="8784"/>
        </w:tabs>
      </w:pPr>
      <w:r w:rsidRPr="007D40B4">
        <w:rPr>
          <w:bCs/>
        </w:rPr>
        <w:t xml:space="preserve">           3.  </w:t>
      </w:r>
      <w:r w:rsidRPr="007D40B4">
        <w:t>Performance, Resources, and Strategies</w:t>
      </w:r>
    </w:p>
    <w:p w:rsidR="00B725F4" w:rsidRPr="007D40B4" w:rsidRDefault="00B725F4" w:rsidP="00B725F4">
      <w:pPr>
        <w:tabs>
          <w:tab w:val="right" w:leader="dot" w:pos="8784"/>
        </w:tabs>
        <w:rPr>
          <w:bCs/>
        </w:rPr>
      </w:pPr>
    </w:p>
    <w:p w:rsidR="00B725F4" w:rsidRPr="007D40B4" w:rsidRDefault="00B725F4" w:rsidP="00B725F4">
      <w:pPr>
        <w:tabs>
          <w:tab w:val="right" w:leader="dot" w:pos="8910"/>
        </w:tabs>
        <w:rPr>
          <w:bCs/>
        </w:rPr>
      </w:pPr>
      <w:r w:rsidRPr="007D40B4">
        <w:rPr>
          <w:bCs/>
        </w:rPr>
        <w:t xml:space="preserve">B. </w:t>
      </w:r>
      <w:hyperlink w:anchor="CTCI_DU" w:history="1">
        <w:r w:rsidRPr="007D40B4">
          <w:rPr>
            <w:rStyle w:val="Hyperlink"/>
            <w:bCs/>
            <w:color w:val="auto"/>
            <w:u w:val="none"/>
          </w:rPr>
          <w:t>Counterterrorism/Counterintelligence Decision Unit</w:t>
        </w:r>
      </w:hyperlink>
      <w:r w:rsidRPr="007D40B4">
        <w:tab/>
      </w:r>
      <w:r w:rsidRPr="007D40B4">
        <w:rPr>
          <w:bCs/>
        </w:rPr>
        <w:t>4-</w:t>
      </w:r>
      <w:r w:rsidR="004E63AB" w:rsidRPr="007D40B4">
        <w:rPr>
          <w:bCs/>
        </w:rPr>
        <w:t>11</w:t>
      </w:r>
      <w:r w:rsidRPr="007D40B4">
        <w:rPr>
          <w:bCs/>
        </w:rPr>
        <w:tab/>
      </w:r>
    </w:p>
    <w:p w:rsidR="00B725F4" w:rsidRPr="007D40B4" w:rsidRDefault="00B725F4" w:rsidP="00B725F4">
      <w:pPr>
        <w:tabs>
          <w:tab w:val="right" w:leader="dot" w:pos="8784"/>
        </w:tabs>
        <w:rPr>
          <w:bCs/>
        </w:rPr>
      </w:pPr>
      <w:r w:rsidRPr="007D40B4">
        <w:rPr>
          <w:bCs/>
        </w:rPr>
        <w:t xml:space="preserve">           1.  Program Description</w:t>
      </w:r>
    </w:p>
    <w:p w:rsidR="00B725F4" w:rsidRPr="007D40B4" w:rsidRDefault="00B725F4" w:rsidP="00B725F4">
      <w:pPr>
        <w:tabs>
          <w:tab w:val="right" w:leader="dot" w:pos="8784"/>
        </w:tabs>
        <w:rPr>
          <w:bCs/>
        </w:rPr>
      </w:pPr>
      <w:r w:rsidRPr="007D40B4">
        <w:rPr>
          <w:bCs/>
        </w:rPr>
        <w:t xml:space="preserve">           2.  Performance Tables</w:t>
      </w:r>
    </w:p>
    <w:p w:rsidR="00B725F4" w:rsidRPr="007D40B4" w:rsidRDefault="00B725F4" w:rsidP="00B725F4">
      <w:pPr>
        <w:tabs>
          <w:tab w:val="right" w:leader="dot" w:pos="8784"/>
        </w:tabs>
      </w:pPr>
      <w:r w:rsidRPr="007D40B4">
        <w:rPr>
          <w:bCs/>
        </w:rPr>
        <w:t xml:space="preserve">           3.  </w:t>
      </w:r>
      <w:r w:rsidRPr="007D40B4">
        <w:t>Performance, Resources, and Strategies</w:t>
      </w:r>
    </w:p>
    <w:p w:rsidR="00B725F4" w:rsidRPr="007D40B4" w:rsidRDefault="00B725F4" w:rsidP="00B725F4">
      <w:pPr>
        <w:tabs>
          <w:tab w:val="right" w:leader="dot" w:pos="8784"/>
        </w:tabs>
        <w:rPr>
          <w:bCs/>
        </w:rPr>
      </w:pPr>
    </w:p>
    <w:p w:rsidR="00B725F4" w:rsidRPr="007D40B4" w:rsidRDefault="00B725F4" w:rsidP="00B725F4">
      <w:pPr>
        <w:tabs>
          <w:tab w:val="right" w:leader="dot" w:pos="8910"/>
        </w:tabs>
        <w:rPr>
          <w:bCs/>
        </w:rPr>
      </w:pPr>
      <w:r w:rsidRPr="007D40B4">
        <w:rPr>
          <w:bCs/>
        </w:rPr>
        <w:t xml:space="preserve">C. </w:t>
      </w:r>
      <w:hyperlink w:anchor="CEFC_DU" w:history="1">
        <w:r w:rsidRPr="007D40B4">
          <w:rPr>
            <w:rStyle w:val="Hyperlink"/>
            <w:bCs/>
            <w:color w:val="auto"/>
            <w:u w:val="none"/>
          </w:rPr>
          <w:t>Criminal Enterprises Federal Crimes Decision Unit</w:t>
        </w:r>
      </w:hyperlink>
      <w:r w:rsidRPr="007D40B4">
        <w:rPr>
          <w:bCs/>
        </w:rPr>
        <w:tab/>
      </w:r>
      <w:r w:rsidRPr="007D40B4">
        <w:t>4-</w:t>
      </w:r>
      <w:r w:rsidR="00556483">
        <w:t>25</w:t>
      </w:r>
      <w:r w:rsidRPr="007D40B4">
        <w:rPr>
          <w:bCs/>
        </w:rPr>
        <w:t xml:space="preserve"> </w:t>
      </w:r>
    </w:p>
    <w:p w:rsidR="00B725F4" w:rsidRPr="007D40B4" w:rsidRDefault="00B725F4" w:rsidP="00B725F4">
      <w:pPr>
        <w:tabs>
          <w:tab w:val="right" w:leader="dot" w:pos="8784"/>
        </w:tabs>
        <w:rPr>
          <w:bCs/>
        </w:rPr>
      </w:pPr>
      <w:r w:rsidRPr="007D40B4">
        <w:rPr>
          <w:bCs/>
        </w:rPr>
        <w:t xml:space="preserve">           1.  Program Description</w:t>
      </w:r>
    </w:p>
    <w:p w:rsidR="00B725F4" w:rsidRPr="007D40B4" w:rsidRDefault="00B725F4" w:rsidP="00B725F4">
      <w:pPr>
        <w:tabs>
          <w:tab w:val="right" w:leader="dot" w:pos="8784"/>
        </w:tabs>
        <w:rPr>
          <w:bCs/>
        </w:rPr>
      </w:pPr>
      <w:r w:rsidRPr="007D40B4">
        <w:rPr>
          <w:bCs/>
        </w:rPr>
        <w:t xml:space="preserve">           2.  Performance Tables</w:t>
      </w:r>
    </w:p>
    <w:p w:rsidR="00B725F4" w:rsidRPr="007D40B4" w:rsidRDefault="00B725F4" w:rsidP="00B725F4">
      <w:pPr>
        <w:tabs>
          <w:tab w:val="right" w:leader="dot" w:pos="8910"/>
        </w:tabs>
      </w:pPr>
      <w:r w:rsidRPr="007D40B4">
        <w:rPr>
          <w:bCs/>
        </w:rPr>
        <w:t xml:space="preserve">           3.  </w:t>
      </w:r>
      <w:r w:rsidRPr="007D40B4">
        <w:t>Performance, Resources, and Strategies</w:t>
      </w:r>
    </w:p>
    <w:p w:rsidR="00B725F4" w:rsidRPr="007D40B4" w:rsidRDefault="00B725F4" w:rsidP="00B725F4">
      <w:pPr>
        <w:tabs>
          <w:tab w:val="right" w:leader="dot" w:pos="8784"/>
        </w:tabs>
      </w:pPr>
    </w:p>
    <w:p w:rsidR="00B725F4" w:rsidRPr="007D40B4" w:rsidRDefault="00B725F4" w:rsidP="00B725F4">
      <w:pPr>
        <w:tabs>
          <w:tab w:val="right" w:leader="dot" w:pos="8910"/>
        </w:tabs>
      </w:pPr>
      <w:r w:rsidRPr="007D40B4">
        <w:t xml:space="preserve">D.  </w:t>
      </w:r>
      <w:hyperlink w:anchor="CJS_DU" w:history="1">
        <w:r w:rsidRPr="007D40B4">
          <w:rPr>
            <w:rStyle w:val="Hyperlink"/>
            <w:color w:val="auto"/>
            <w:u w:val="none"/>
          </w:rPr>
          <w:t>Criminal Justice Services Decision Unit</w:t>
        </w:r>
      </w:hyperlink>
      <w:r w:rsidRPr="007D40B4">
        <w:tab/>
        <w:t>4-</w:t>
      </w:r>
      <w:r w:rsidR="00556483">
        <w:t>47</w:t>
      </w:r>
    </w:p>
    <w:p w:rsidR="00B725F4" w:rsidRPr="007D40B4" w:rsidRDefault="00B725F4" w:rsidP="00B725F4">
      <w:pPr>
        <w:tabs>
          <w:tab w:val="right" w:leader="dot" w:pos="8784"/>
        </w:tabs>
      </w:pPr>
      <w:r w:rsidRPr="007D40B4">
        <w:t xml:space="preserve">           1.  Program Description</w:t>
      </w:r>
    </w:p>
    <w:p w:rsidR="00B725F4" w:rsidRPr="007D40B4" w:rsidRDefault="00B725F4" w:rsidP="00B725F4">
      <w:pPr>
        <w:tabs>
          <w:tab w:val="right" w:leader="dot" w:pos="8784"/>
        </w:tabs>
      </w:pPr>
      <w:r w:rsidRPr="007D40B4">
        <w:t xml:space="preserve">           2.  Performance Tables</w:t>
      </w:r>
    </w:p>
    <w:p w:rsidR="00B725F4" w:rsidRPr="007D40B4" w:rsidRDefault="00B725F4" w:rsidP="00B725F4">
      <w:pPr>
        <w:tabs>
          <w:tab w:val="right" w:leader="dot" w:pos="8784"/>
        </w:tabs>
      </w:pPr>
      <w:r w:rsidRPr="007D40B4">
        <w:t xml:space="preserve">           3.  Performance, Resources, and Strategies</w:t>
      </w:r>
    </w:p>
    <w:p w:rsidR="00B725F4" w:rsidRPr="007D40B4" w:rsidRDefault="00B725F4" w:rsidP="00B725F4">
      <w:pPr>
        <w:tabs>
          <w:tab w:val="right" w:leader="dot" w:pos="8784"/>
        </w:tabs>
      </w:pPr>
    </w:p>
    <w:p w:rsidR="00B725F4" w:rsidRPr="007D40B4" w:rsidRDefault="00B725F4" w:rsidP="00B725F4">
      <w:pPr>
        <w:tabs>
          <w:tab w:val="right" w:leader="dot" w:pos="8910"/>
        </w:tabs>
        <w:rPr>
          <w:rFonts w:cs="Arial"/>
          <w:bCs/>
        </w:rPr>
      </w:pPr>
      <w:r w:rsidRPr="007D40B4">
        <w:rPr>
          <w:rFonts w:cs="Arial"/>
          <w:b/>
        </w:rPr>
        <w:t xml:space="preserve">V. </w:t>
      </w:r>
      <w:hyperlink w:anchor="Increases" w:history="1">
        <w:r w:rsidR="00C7235A">
          <w:rPr>
            <w:rStyle w:val="Hyperlink"/>
            <w:rFonts w:cs="Arial"/>
            <w:b/>
            <w:color w:val="auto"/>
            <w:u w:val="none"/>
          </w:rPr>
          <w:t>Program Increase</w:t>
        </w:r>
        <w:r w:rsidRPr="007D40B4">
          <w:rPr>
            <w:rStyle w:val="Hyperlink"/>
            <w:rFonts w:cs="Arial"/>
            <w:b/>
            <w:color w:val="auto"/>
            <w:u w:val="none"/>
          </w:rPr>
          <w:t xml:space="preserve"> by Item</w:t>
        </w:r>
      </w:hyperlink>
      <w:r w:rsidRPr="007D40B4">
        <w:rPr>
          <w:rFonts w:cs="Arial"/>
          <w:b/>
        </w:rPr>
        <w:tab/>
        <w:t>5-1</w:t>
      </w:r>
    </w:p>
    <w:p w:rsidR="00B725F4" w:rsidRPr="007D40B4" w:rsidRDefault="00B725F4" w:rsidP="00B725F4">
      <w:pPr>
        <w:tabs>
          <w:tab w:val="right" w:leader="dot" w:pos="8784"/>
        </w:tabs>
        <w:rPr>
          <w:rFonts w:cs="Arial"/>
          <w:bCs/>
        </w:rPr>
      </w:pPr>
    </w:p>
    <w:p w:rsidR="00B725F4" w:rsidRPr="00C7235A" w:rsidRDefault="00C5224D" w:rsidP="00B725F4">
      <w:pPr>
        <w:tabs>
          <w:tab w:val="left" w:pos="630"/>
          <w:tab w:val="right" w:pos="720"/>
          <w:tab w:val="right" w:leader="dot" w:pos="8910"/>
        </w:tabs>
        <w:ind w:firstLine="720"/>
        <w:rPr>
          <w:bCs/>
        </w:rPr>
      </w:pPr>
      <w:hyperlink w:anchor="Financial_Fraud" w:history="1">
        <w:r w:rsidR="00B725F4" w:rsidRPr="00C7235A">
          <w:rPr>
            <w:rStyle w:val="Hyperlink"/>
            <w:bCs/>
            <w:color w:val="auto"/>
            <w:u w:val="none"/>
          </w:rPr>
          <w:t xml:space="preserve">Financial </w:t>
        </w:r>
        <w:r w:rsidR="00CF153A" w:rsidRPr="00C7235A">
          <w:rPr>
            <w:rStyle w:val="Hyperlink"/>
            <w:bCs/>
            <w:color w:val="auto"/>
            <w:u w:val="none"/>
          </w:rPr>
          <w:t xml:space="preserve">and Mortgage </w:t>
        </w:r>
        <w:r w:rsidR="00B725F4" w:rsidRPr="00C7235A">
          <w:rPr>
            <w:rStyle w:val="Hyperlink"/>
            <w:bCs/>
            <w:color w:val="auto"/>
            <w:u w:val="none"/>
          </w:rPr>
          <w:t>Fraud</w:t>
        </w:r>
      </w:hyperlink>
      <w:r w:rsidR="00B725F4" w:rsidRPr="00C7235A">
        <w:rPr>
          <w:bCs/>
        </w:rPr>
        <w:tab/>
        <w:t>5-1</w:t>
      </w:r>
    </w:p>
    <w:p w:rsidR="00B725F4" w:rsidRPr="00C7235A" w:rsidRDefault="00B725F4" w:rsidP="00B725F4">
      <w:pPr>
        <w:tabs>
          <w:tab w:val="right" w:leader="dot" w:pos="8910"/>
        </w:tabs>
        <w:rPr>
          <w:b/>
          <w:bCs/>
        </w:rPr>
      </w:pPr>
    </w:p>
    <w:p w:rsidR="00B725F4" w:rsidRPr="00C7235A" w:rsidRDefault="00B725F4" w:rsidP="00B725F4">
      <w:pPr>
        <w:tabs>
          <w:tab w:val="right" w:leader="dot" w:pos="8910"/>
        </w:tabs>
        <w:rPr>
          <w:b/>
          <w:bCs/>
        </w:rPr>
      </w:pPr>
      <w:r w:rsidRPr="00C7235A">
        <w:rPr>
          <w:b/>
          <w:bCs/>
        </w:rPr>
        <w:t xml:space="preserve">VI. </w:t>
      </w:r>
      <w:hyperlink w:anchor="Offsets" w:history="1">
        <w:r w:rsidRPr="00C7235A">
          <w:rPr>
            <w:rStyle w:val="Hyperlink"/>
            <w:b/>
            <w:bCs/>
            <w:color w:val="auto"/>
            <w:u w:val="none"/>
          </w:rPr>
          <w:t>Program Offsets by Item</w:t>
        </w:r>
      </w:hyperlink>
      <w:r w:rsidRPr="00C7235A">
        <w:rPr>
          <w:b/>
          <w:bCs/>
        </w:rPr>
        <w:tab/>
        <w:t>6-1</w:t>
      </w:r>
    </w:p>
    <w:p w:rsidR="00B725F4" w:rsidRPr="00C7235A" w:rsidRDefault="00B725F4" w:rsidP="00B725F4">
      <w:pPr>
        <w:tabs>
          <w:tab w:val="right" w:leader="dot" w:pos="8784"/>
        </w:tabs>
        <w:rPr>
          <w:bCs/>
        </w:rPr>
      </w:pPr>
    </w:p>
    <w:p w:rsidR="00B725F4" w:rsidRPr="00C7235A" w:rsidRDefault="00C5224D" w:rsidP="00B725F4">
      <w:pPr>
        <w:tabs>
          <w:tab w:val="left" w:pos="720"/>
          <w:tab w:val="right" w:leader="dot" w:pos="8910"/>
        </w:tabs>
        <w:ind w:left="720"/>
        <w:rPr>
          <w:bCs/>
        </w:rPr>
      </w:pPr>
      <w:hyperlink w:anchor="Admin_Efficiencies" w:history="1">
        <w:r w:rsidR="00B725F4" w:rsidRPr="00C7235A">
          <w:rPr>
            <w:rStyle w:val="Hyperlink"/>
            <w:bCs/>
            <w:color w:val="auto"/>
            <w:u w:val="none"/>
          </w:rPr>
          <w:t>Administrative Efficiencies</w:t>
        </w:r>
      </w:hyperlink>
      <w:r w:rsidR="00B725F4" w:rsidRPr="00C7235A">
        <w:rPr>
          <w:bCs/>
        </w:rPr>
        <w:tab/>
        <w:t>6-1</w:t>
      </w:r>
    </w:p>
    <w:p w:rsidR="00A8673E" w:rsidRPr="00C7235A" w:rsidRDefault="00C5224D" w:rsidP="00A8673E">
      <w:pPr>
        <w:tabs>
          <w:tab w:val="left" w:pos="720"/>
          <w:tab w:val="right" w:leader="dot" w:pos="8910"/>
        </w:tabs>
        <w:ind w:left="720"/>
        <w:rPr>
          <w:bCs/>
        </w:rPr>
      </w:pPr>
      <w:hyperlink w:anchor="Contractor_Reduction" w:history="1">
        <w:r w:rsidR="00A8673E" w:rsidRPr="00C7235A">
          <w:rPr>
            <w:rStyle w:val="Hyperlink"/>
            <w:bCs/>
            <w:color w:val="auto"/>
            <w:u w:val="none"/>
          </w:rPr>
          <w:t>Contractor Reduction</w:t>
        </w:r>
      </w:hyperlink>
      <w:r w:rsidR="00A8673E" w:rsidRPr="00C7235A">
        <w:rPr>
          <w:bCs/>
        </w:rPr>
        <w:tab/>
        <w:t>6-3</w:t>
      </w:r>
    </w:p>
    <w:p w:rsidR="00B725F4" w:rsidRPr="00C7235A" w:rsidRDefault="00C5224D" w:rsidP="00B725F4">
      <w:pPr>
        <w:tabs>
          <w:tab w:val="left" w:pos="720"/>
          <w:tab w:val="right" w:leader="dot" w:pos="8910"/>
        </w:tabs>
        <w:ind w:left="720"/>
        <w:rPr>
          <w:bCs/>
        </w:rPr>
      </w:pPr>
      <w:hyperlink w:anchor="CIRG" w:history="1">
        <w:r w:rsidR="00B725F4" w:rsidRPr="00C7235A">
          <w:rPr>
            <w:rStyle w:val="Hyperlink"/>
            <w:bCs/>
            <w:color w:val="auto"/>
            <w:u w:val="none"/>
          </w:rPr>
          <w:t>Critical Incident Response</w:t>
        </w:r>
      </w:hyperlink>
      <w:r w:rsidR="00B725F4" w:rsidRPr="00C7235A">
        <w:rPr>
          <w:bCs/>
        </w:rPr>
        <w:tab/>
        <w:t>6-</w:t>
      </w:r>
      <w:r w:rsidR="00A8673E" w:rsidRPr="00C7235A">
        <w:rPr>
          <w:bCs/>
        </w:rPr>
        <w:t>5</w:t>
      </w:r>
    </w:p>
    <w:p w:rsidR="00B725F4" w:rsidRPr="00C7235A" w:rsidRDefault="00C5224D" w:rsidP="00B725F4">
      <w:pPr>
        <w:tabs>
          <w:tab w:val="left" w:pos="720"/>
          <w:tab w:val="right" w:leader="dot" w:pos="8910"/>
        </w:tabs>
        <w:ind w:left="720"/>
        <w:rPr>
          <w:bCs/>
        </w:rPr>
      </w:pPr>
      <w:hyperlink w:anchor="Facilities_Reduction" w:history="1">
        <w:r w:rsidR="00470837" w:rsidRPr="00C7235A">
          <w:rPr>
            <w:rStyle w:val="Hyperlink"/>
            <w:bCs/>
            <w:color w:val="auto"/>
            <w:u w:val="none"/>
          </w:rPr>
          <w:t>Facilities Reductions</w:t>
        </w:r>
      </w:hyperlink>
      <w:r w:rsidR="00470837" w:rsidRPr="00C7235A">
        <w:rPr>
          <w:bCs/>
        </w:rPr>
        <w:tab/>
        <w:t>6-</w:t>
      </w:r>
      <w:r w:rsidR="00A8673E" w:rsidRPr="00C7235A">
        <w:rPr>
          <w:bCs/>
        </w:rPr>
        <w:t>7</w:t>
      </w:r>
    </w:p>
    <w:p w:rsidR="00B725F4" w:rsidRPr="00C7235A" w:rsidRDefault="00C5224D" w:rsidP="00B725F4">
      <w:pPr>
        <w:tabs>
          <w:tab w:val="left" w:pos="720"/>
          <w:tab w:val="right" w:leader="dot" w:pos="8910"/>
        </w:tabs>
        <w:ind w:left="720"/>
        <w:rPr>
          <w:bCs/>
        </w:rPr>
      </w:pPr>
      <w:hyperlink w:anchor="IT_Savings" w:history="1">
        <w:r w:rsidR="00B725F4" w:rsidRPr="00C7235A">
          <w:rPr>
            <w:rStyle w:val="Hyperlink"/>
            <w:bCs/>
            <w:color w:val="auto"/>
            <w:u w:val="none"/>
          </w:rPr>
          <w:t>Information</w:t>
        </w:r>
        <w:r w:rsidR="00470837" w:rsidRPr="00C7235A">
          <w:rPr>
            <w:rStyle w:val="Hyperlink"/>
            <w:bCs/>
            <w:color w:val="auto"/>
            <w:u w:val="none"/>
          </w:rPr>
          <w:t xml:space="preserve"> Technology (IT) Savings</w:t>
        </w:r>
      </w:hyperlink>
      <w:r w:rsidR="00470837" w:rsidRPr="00C7235A">
        <w:rPr>
          <w:bCs/>
        </w:rPr>
        <w:tab/>
        <w:t>6-</w:t>
      </w:r>
      <w:r w:rsidR="00A8673E" w:rsidRPr="00C7235A">
        <w:rPr>
          <w:bCs/>
        </w:rPr>
        <w:t>9</w:t>
      </w:r>
    </w:p>
    <w:p w:rsidR="00B725F4" w:rsidRPr="00C7235A" w:rsidRDefault="00C5224D" w:rsidP="00B725F4">
      <w:pPr>
        <w:tabs>
          <w:tab w:val="left" w:pos="720"/>
          <w:tab w:val="right" w:leader="dot" w:pos="8910"/>
        </w:tabs>
        <w:ind w:left="720"/>
        <w:rPr>
          <w:bCs/>
        </w:rPr>
      </w:pPr>
      <w:hyperlink w:anchor="NGIC" w:history="1">
        <w:r w:rsidR="00B725F4" w:rsidRPr="00C7235A">
          <w:rPr>
            <w:rStyle w:val="Hyperlink"/>
            <w:bCs/>
            <w:color w:val="auto"/>
            <w:u w:val="none"/>
          </w:rPr>
          <w:t>N</w:t>
        </w:r>
        <w:r w:rsidR="00D71C28" w:rsidRPr="00C7235A">
          <w:rPr>
            <w:rStyle w:val="Hyperlink"/>
            <w:bCs/>
            <w:color w:val="auto"/>
            <w:u w:val="none"/>
          </w:rPr>
          <w:t>ational Gang Intelligence Center</w:t>
        </w:r>
      </w:hyperlink>
      <w:r w:rsidR="00470837" w:rsidRPr="00C7235A">
        <w:rPr>
          <w:bCs/>
        </w:rPr>
        <w:tab/>
        <w:t>6-</w:t>
      </w:r>
      <w:r w:rsidR="0096509E" w:rsidRPr="00C7235A">
        <w:rPr>
          <w:bCs/>
        </w:rPr>
        <w:t>1</w:t>
      </w:r>
      <w:r w:rsidR="00A8673E" w:rsidRPr="00C7235A">
        <w:rPr>
          <w:bCs/>
        </w:rPr>
        <w:t>1</w:t>
      </w:r>
    </w:p>
    <w:p w:rsidR="00B725F4" w:rsidRPr="00C7235A" w:rsidRDefault="00C5224D" w:rsidP="00CF153A">
      <w:pPr>
        <w:tabs>
          <w:tab w:val="left" w:pos="720"/>
          <w:tab w:val="right" w:leader="dot" w:pos="8910"/>
        </w:tabs>
        <w:ind w:left="720"/>
        <w:rPr>
          <w:bCs/>
        </w:rPr>
      </w:pPr>
      <w:hyperlink w:anchor="Relocation_Program" w:history="1">
        <w:r w:rsidR="00B725F4" w:rsidRPr="00C7235A">
          <w:rPr>
            <w:rStyle w:val="Hyperlink"/>
            <w:bCs/>
            <w:color w:val="auto"/>
            <w:u w:val="none"/>
          </w:rPr>
          <w:t>Re</w:t>
        </w:r>
        <w:r w:rsidR="00D71C28" w:rsidRPr="00C7235A">
          <w:rPr>
            <w:rStyle w:val="Hyperlink"/>
            <w:bCs/>
            <w:color w:val="auto"/>
            <w:u w:val="none"/>
          </w:rPr>
          <w:t>location Program</w:t>
        </w:r>
      </w:hyperlink>
      <w:r w:rsidR="005A2338" w:rsidRPr="00C7235A">
        <w:rPr>
          <w:bCs/>
        </w:rPr>
        <w:tab/>
      </w:r>
      <w:r w:rsidR="00470837" w:rsidRPr="00C7235A">
        <w:rPr>
          <w:bCs/>
        </w:rPr>
        <w:t>6-</w:t>
      </w:r>
      <w:r w:rsidR="0096509E" w:rsidRPr="00C7235A">
        <w:rPr>
          <w:bCs/>
        </w:rPr>
        <w:t>1</w:t>
      </w:r>
      <w:r w:rsidR="00A8673E" w:rsidRPr="00C7235A">
        <w:rPr>
          <w:bCs/>
        </w:rPr>
        <w:t>3</w:t>
      </w:r>
    </w:p>
    <w:p w:rsidR="00B725F4" w:rsidRPr="00C7235A" w:rsidRDefault="00B725F4" w:rsidP="00C7235A">
      <w:pPr>
        <w:tabs>
          <w:tab w:val="right" w:leader="dot" w:pos="8784"/>
        </w:tabs>
        <w:jc w:val="center"/>
      </w:pPr>
    </w:p>
    <w:p w:rsidR="00AE3308" w:rsidRPr="007D40B4" w:rsidRDefault="00AE3308" w:rsidP="00AE3308">
      <w:pPr>
        <w:tabs>
          <w:tab w:val="left" w:leader="dot" w:pos="7920"/>
          <w:tab w:val="right" w:pos="8640"/>
        </w:tabs>
        <w:rPr>
          <w:bCs/>
        </w:rPr>
      </w:pPr>
    </w:p>
    <w:p w:rsidR="00224A36" w:rsidRPr="007D40B4" w:rsidRDefault="00AA3992" w:rsidP="007D6019">
      <w:pPr>
        <w:tabs>
          <w:tab w:val="right" w:leader="dot" w:pos="8910"/>
        </w:tabs>
        <w:rPr>
          <w:bCs/>
        </w:rPr>
      </w:pPr>
      <w:r w:rsidRPr="007D40B4">
        <w:rPr>
          <w:bCs/>
        </w:rPr>
        <w:lastRenderedPageBreak/>
        <w:t xml:space="preserve">    </w:t>
      </w:r>
      <w:r w:rsidR="00FD1C96" w:rsidRPr="007D40B4">
        <w:rPr>
          <w:b/>
          <w:bCs/>
        </w:rPr>
        <w:t>V</w:t>
      </w:r>
      <w:r w:rsidR="006C689E" w:rsidRPr="007D40B4">
        <w:rPr>
          <w:b/>
          <w:bCs/>
        </w:rPr>
        <w:t>II</w:t>
      </w:r>
      <w:r w:rsidR="00224A36" w:rsidRPr="007D40B4">
        <w:rPr>
          <w:b/>
          <w:bCs/>
        </w:rPr>
        <w:t>. Exhibits</w:t>
      </w:r>
      <w:r w:rsidR="00AF6CB2" w:rsidRPr="007D40B4">
        <w:rPr>
          <w:b/>
          <w:bCs/>
        </w:rPr>
        <w:tab/>
        <w:t>7-1</w:t>
      </w:r>
    </w:p>
    <w:p w:rsidR="00224A36" w:rsidRPr="007D40B4" w:rsidRDefault="00224A36">
      <w:pPr>
        <w:tabs>
          <w:tab w:val="left" w:leader="dot" w:pos="7920"/>
          <w:tab w:val="right" w:pos="8640"/>
        </w:tabs>
        <w:outlineLvl w:val="0"/>
        <w:rPr>
          <w:b/>
          <w:bCs/>
        </w:rPr>
      </w:pPr>
    </w:p>
    <w:p w:rsidR="00224A36" w:rsidRPr="007D40B4" w:rsidRDefault="001E72A1" w:rsidP="00340520">
      <w:pPr>
        <w:numPr>
          <w:ilvl w:val="0"/>
          <w:numId w:val="3"/>
        </w:numPr>
        <w:tabs>
          <w:tab w:val="left" w:pos="720"/>
          <w:tab w:val="left" w:leader="dot" w:pos="7920"/>
          <w:tab w:val="right" w:pos="8640"/>
        </w:tabs>
        <w:ind w:left="360" w:firstLine="0"/>
        <w:outlineLvl w:val="0"/>
        <w:rPr>
          <w:bCs/>
        </w:rPr>
      </w:pPr>
      <w:r w:rsidRPr="007D40B4">
        <w:t>Organizational Chart</w:t>
      </w:r>
    </w:p>
    <w:p w:rsidR="00224A36" w:rsidRPr="007D40B4" w:rsidRDefault="003E615F" w:rsidP="00340520">
      <w:pPr>
        <w:pStyle w:val="xl19"/>
        <w:tabs>
          <w:tab w:val="left" w:pos="720"/>
          <w:tab w:val="left" w:leader="dot" w:pos="7920"/>
          <w:tab w:val="right" w:pos="8640"/>
        </w:tabs>
        <w:spacing w:before="0" w:after="0"/>
        <w:ind w:left="360"/>
        <w:rPr>
          <w:rFonts w:eastAsia="Times New Roman"/>
          <w:bCs/>
        </w:rPr>
      </w:pPr>
      <w:r w:rsidRPr="007D40B4">
        <w:rPr>
          <w:rFonts w:eastAsia="Times New Roman"/>
          <w:bCs/>
        </w:rPr>
        <w:t>B.</w:t>
      </w:r>
      <w:r w:rsidR="003D0E7B" w:rsidRPr="007D40B4">
        <w:rPr>
          <w:rFonts w:eastAsia="Times New Roman"/>
          <w:bCs/>
        </w:rPr>
        <w:t xml:space="preserve"> </w:t>
      </w:r>
      <w:r w:rsidR="00340520">
        <w:rPr>
          <w:rFonts w:eastAsia="Times New Roman"/>
          <w:bCs/>
        </w:rPr>
        <w:tab/>
      </w:r>
      <w:r w:rsidR="00F429DA" w:rsidRPr="007D40B4">
        <w:rPr>
          <w:rFonts w:eastAsia="Times New Roman"/>
          <w:bCs/>
        </w:rPr>
        <w:t xml:space="preserve">Summary of Requirements </w:t>
      </w:r>
    </w:p>
    <w:p w:rsidR="00224A36" w:rsidRPr="007D40B4" w:rsidRDefault="003E615F" w:rsidP="00340520">
      <w:pPr>
        <w:tabs>
          <w:tab w:val="left" w:pos="720"/>
          <w:tab w:val="left" w:leader="dot" w:pos="7920"/>
          <w:tab w:val="right" w:pos="8640"/>
        </w:tabs>
        <w:ind w:left="360"/>
        <w:rPr>
          <w:bCs/>
        </w:rPr>
      </w:pPr>
      <w:r w:rsidRPr="007D40B4">
        <w:rPr>
          <w:bCs/>
        </w:rPr>
        <w:t>C</w:t>
      </w:r>
      <w:r w:rsidR="00224A36" w:rsidRPr="007D40B4">
        <w:rPr>
          <w:bCs/>
        </w:rPr>
        <w:t xml:space="preserve">. </w:t>
      </w:r>
      <w:r w:rsidRPr="007D40B4">
        <w:rPr>
          <w:bCs/>
        </w:rPr>
        <w:t xml:space="preserve"> </w:t>
      </w:r>
      <w:r w:rsidR="00340520">
        <w:rPr>
          <w:bCs/>
        </w:rPr>
        <w:tab/>
      </w:r>
      <w:r w:rsidR="00224A36" w:rsidRPr="007D40B4">
        <w:rPr>
          <w:bCs/>
        </w:rPr>
        <w:t>Pro</w:t>
      </w:r>
      <w:r w:rsidR="00F429DA" w:rsidRPr="007D40B4">
        <w:rPr>
          <w:bCs/>
        </w:rPr>
        <w:t>gram Increases</w:t>
      </w:r>
      <w:r w:rsidR="00EC5C47" w:rsidRPr="007D40B4">
        <w:rPr>
          <w:bCs/>
        </w:rPr>
        <w:t>/Offsets</w:t>
      </w:r>
      <w:r w:rsidR="00F429DA" w:rsidRPr="007D40B4">
        <w:rPr>
          <w:bCs/>
        </w:rPr>
        <w:t xml:space="preserve"> by Decision Unit</w:t>
      </w:r>
    </w:p>
    <w:p w:rsidR="00224A36" w:rsidRPr="007D40B4" w:rsidRDefault="00224A36" w:rsidP="00340520">
      <w:pPr>
        <w:numPr>
          <w:ilvl w:val="0"/>
          <w:numId w:val="4"/>
        </w:numPr>
        <w:tabs>
          <w:tab w:val="left" w:pos="720"/>
          <w:tab w:val="left" w:leader="dot" w:pos="7920"/>
          <w:tab w:val="right" w:pos="8640"/>
        </w:tabs>
        <w:ind w:left="360" w:firstLine="0"/>
        <w:rPr>
          <w:bCs/>
        </w:rPr>
      </w:pPr>
      <w:r w:rsidRPr="007D40B4">
        <w:rPr>
          <w:bCs/>
        </w:rPr>
        <w:t xml:space="preserve">Resources </w:t>
      </w:r>
      <w:r w:rsidR="00F429DA" w:rsidRPr="007D40B4">
        <w:rPr>
          <w:bCs/>
        </w:rPr>
        <w:t>by DOJ Strategic Goal</w:t>
      </w:r>
      <w:r w:rsidR="00EC5C47" w:rsidRPr="007D40B4">
        <w:rPr>
          <w:bCs/>
        </w:rPr>
        <w:t xml:space="preserve"> and Strategic </w:t>
      </w:r>
      <w:r w:rsidR="00F429DA" w:rsidRPr="007D40B4">
        <w:rPr>
          <w:bCs/>
        </w:rPr>
        <w:t>Objectiv</w:t>
      </w:r>
      <w:r w:rsidR="00B70E30" w:rsidRPr="007D40B4">
        <w:rPr>
          <w:bCs/>
        </w:rPr>
        <w:t>e</w:t>
      </w:r>
      <w:r w:rsidR="004B775C" w:rsidRPr="007D40B4">
        <w:rPr>
          <w:bCs/>
        </w:rPr>
        <w:t xml:space="preserve"> </w:t>
      </w:r>
    </w:p>
    <w:p w:rsidR="00224A36" w:rsidRPr="007D40B4" w:rsidRDefault="00224A36" w:rsidP="00340520">
      <w:pPr>
        <w:numPr>
          <w:ilvl w:val="0"/>
          <w:numId w:val="4"/>
        </w:numPr>
        <w:tabs>
          <w:tab w:val="left" w:pos="720"/>
          <w:tab w:val="left" w:leader="dot" w:pos="7920"/>
          <w:tab w:val="right" w:pos="8640"/>
        </w:tabs>
        <w:ind w:left="360" w:firstLine="0"/>
        <w:rPr>
          <w:bCs/>
        </w:rPr>
      </w:pPr>
      <w:r w:rsidRPr="007D40B4">
        <w:rPr>
          <w:bCs/>
        </w:rPr>
        <w:t>Justification for Base Adjustments</w:t>
      </w:r>
    </w:p>
    <w:p w:rsidR="00FD1C96" w:rsidRPr="007D40B4" w:rsidRDefault="002015E7" w:rsidP="00340520">
      <w:pPr>
        <w:numPr>
          <w:ilvl w:val="0"/>
          <w:numId w:val="4"/>
        </w:numPr>
        <w:tabs>
          <w:tab w:val="left" w:pos="720"/>
          <w:tab w:val="left" w:leader="dot" w:pos="7920"/>
          <w:tab w:val="right" w:pos="8640"/>
        </w:tabs>
        <w:ind w:left="360" w:firstLine="0"/>
        <w:rPr>
          <w:bCs/>
        </w:rPr>
      </w:pPr>
      <w:r w:rsidRPr="007D40B4">
        <w:rPr>
          <w:bCs/>
        </w:rPr>
        <w:t>Crosswalk of 20</w:t>
      </w:r>
      <w:r w:rsidR="007F0791" w:rsidRPr="007D40B4">
        <w:rPr>
          <w:bCs/>
        </w:rPr>
        <w:t>11</w:t>
      </w:r>
      <w:r w:rsidR="00224A36" w:rsidRPr="007D40B4">
        <w:rPr>
          <w:bCs/>
        </w:rPr>
        <w:t xml:space="preserve"> Availability</w:t>
      </w:r>
    </w:p>
    <w:p w:rsidR="00224A36" w:rsidRPr="007D40B4" w:rsidRDefault="002015E7" w:rsidP="00340520">
      <w:pPr>
        <w:numPr>
          <w:ilvl w:val="0"/>
          <w:numId w:val="4"/>
        </w:numPr>
        <w:tabs>
          <w:tab w:val="left" w:pos="720"/>
          <w:tab w:val="left" w:leader="dot" w:pos="7920"/>
          <w:tab w:val="right" w:pos="8640"/>
        </w:tabs>
        <w:ind w:left="360" w:firstLine="0"/>
        <w:rPr>
          <w:bCs/>
          <w:i/>
        </w:rPr>
      </w:pPr>
      <w:r w:rsidRPr="007D40B4">
        <w:rPr>
          <w:bCs/>
        </w:rPr>
        <w:t>Crosswalk of 20</w:t>
      </w:r>
      <w:r w:rsidR="00A87425" w:rsidRPr="007D40B4">
        <w:rPr>
          <w:bCs/>
        </w:rPr>
        <w:t>1</w:t>
      </w:r>
      <w:r w:rsidR="007F0791" w:rsidRPr="007D40B4">
        <w:rPr>
          <w:bCs/>
        </w:rPr>
        <w:t>2</w:t>
      </w:r>
      <w:r w:rsidR="00FD1C96" w:rsidRPr="007D40B4">
        <w:rPr>
          <w:bCs/>
        </w:rPr>
        <w:t xml:space="preserve"> Avail</w:t>
      </w:r>
      <w:r w:rsidR="00433BB2" w:rsidRPr="007D40B4">
        <w:rPr>
          <w:bCs/>
        </w:rPr>
        <w:t>ability</w:t>
      </w:r>
      <w:r w:rsidR="004B775C" w:rsidRPr="007D40B4">
        <w:rPr>
          <w:bCs/>
        </w:rPr>
        <w:t xml:space="preserve"> </w:t>
      </w:r>
    </w:p>
    <w:p w:rsidR="00224A36" w:rsidRPr="007D40B4" w:rsidRDefault="00224A36" w:rsidP="00340520">
      <w:pPr>
        <w:numPr>
          <w:ilvl w:val="0"/>
          <w:numId w:val="4"/>
        </w:numPr>
        <w:tabs>
          <w:tab w:val="left" w:pos="720"/>
          <w:tab w:val="left" w:leader="dot" w:pos="7920"/>
          <w:tab w:val="right" w:pos="8640"/>
        </w:tabs>
        <w:ind w:left="360" w:firstLine="0"/>
        <w:rPr>
          <w:bCs/>
        </w:rPr>
      </w:pPr>
      <w:r w:rsidRPr="007D40B4">
        <w:rPr>
          <w:bCs/>
        </w:rPr>
        <w:t>Su</w:t>
      </w:r>
      <w:r w:rsidR="00F429DA" w:rsidRPr="007D40B4">
        <w:rPr>
          <w:bCs/>
        </w:rPr>
        <w:t xml:space="preserve">mmary of Reimbursable </w:t>
      </w:r>
      <w:r w:rsidR="00583A3D">
        <w:rPr>
          <w:bCs/>
        </w:rPr>
        <w:t xml:space="preserve">and Transfer </w:t>
      </w:r>
      <w:r w:rsidR="00F429DA" w:rsidRPr="007D40B4">
        <w:rPr>
          <w:bCs/>
        </w:rPr>
        <w:t>Resources</w:t>
      </w:r>
    </w:p>
    <w:p w:rsidR="00224A36" w:rsidRPr="007D40B4" w:rsidRDefault="00224A36" w:rsidP="00340520">
      <w:pPr>
        <w:numPr>
          <w:ilvl w:val="0"/>
          <w:numId w:val="4"/>
        </w:numPr>
        <w:tabs>
          <w:tab w:val="left" w:pos="720"/>
          <w:tab w:val="left" w:leader="dot" w:pos="7920"/>
          <w:tab w:val="right" w:pos="8640"/>
        </w:tabs>
        <w:ind w:left="360" w:firstLine="0"/>
        <w:rPr>
          <w:bCs/>
        </w:rPr>
      </w:pPr>
      <w:r w:rsidRPr="007D40B4">
        <w:rPr>
          <w:bCs/>
        </w:rPr>
        <w:t xml:space="preserve">Detail of </w:t>
      </w:r>
      <w:r w:rsidR="00F429DA" w:rsidRPr="007D40B4">
        <w:rPr>
          <w:bCs/>
        </w:rPr>
        <w:t>Permanent Positions by Category</w:t>
      </w:r>
    </w:p>
    <w:p w:rsidR="00224A36" w:rsidRPr="007D40B4" w:rsidRDefault="007B406F" w:rsidP="00340520">
      <w:pPr>
        <w:numPr>
          <w:ilvl w:val="0"/>
          <w:numId w:val="4"/>
        </w:numPr>
        <w:tabs>
          <w:tab w:val="left" w:pos="720"/>
          <w:tab w:val="left" w:leader="dot" w:pos="7920"/>
          <w:tab w:val="right" w:pos="8640"/>
        </w:tabs>
        <w:ind w:left="360" w:firstLine="0"/>
        <w:rPr>
          <w:bCs/>
        </w:rPr>
      </w:pPr>
      <w:r w:rsidRPr="007D40B4">
        <w:rPr>
          <w:bCs/>
        </w:rPr>
        <w:t xml:space="preserve">Financial Analysis of Program </w:t>
      </w:r>
      <w:r w:rsidR="00EC5C47" w:rsidRPr="007D40B4">
        <w:rPr>
          <w:bCs/>
        </w:rPr>
        <w:t>Changes</w:t>
      </w:r>
    </w:p>
    <w:p w:rsidR="00224A36" w:rsidRPr="007D40B4" w:rsidRDefault="00B50CCC" w:rsidP="00340520">
      <w:pPr>
        <w:numPr>
          <w:ilvl w:val="0"/>
          <w:numId w:val="4"/>
        </w:numPr>
        <w:tabs>
          <w:tab w:val="left" w:pos="720"/>
          <w:tab w:val="left" w:leader="dot" w:pos="7920"/>
          <w:tab w:val="right" w:pos="8640"/>
        </w:tabs>
        <w:ind w:left="360" w:firstLine="0"/>
        <w:rPr>
          <w:bCs/>
        </w:rPr>
      </w:pPr>
      <w:r w:rsidRPr="007D40B4">
        <w:rPr>
          <w:bCs/>
        </w:rPr>
        <w:t>Summary of Requirements by Grade</w:t>
      </w:r>
    </w:p>
    <w:p w:rsidR="00224A36" w:rsidRPr="007D40B4" w:rsidRDefault="00B50CCC" w:rsidP="00340520">
      <w:pPr>
        <w:numPr>
          <w:ilvl w:val="0"/>
          <w:numId w:val="4"/>
        </w:numPr>
        <w:tabs>
          <w:tab w:val="left" w:pos="720"/>
          <w:tab w:val="left" w:leader="dot" w:pos="7920"/>
          <w:tab w:val="right" w:pos="8640"/>
        </w:tabs>
        <w:ind w:left="360" w:firstLine="0"/>
        <w:rPr>
          <w:bCs/>
        </w:rPr>
      </w:pPr>
      <w:r w:rsidRPr="007D40B4">
        <w:rPr>
          <w:bCs/>
        </w:rPr>
        <w:t>Summary of Requirements by Object Class</w:t>
      </w:r>
    </w:p>
    <w:p w:rsidR="004B775C" w:rsidRPr="007D40B4" w:rsidRDefault="00B50CCC" w:rsidP="00340520">
      <w:pPr>
        <w:numPr>
          <w:ilvl w:val="0"/>
          <w:numId w:val="4"/>
        </w:numPr>
        <w:tabs>
          <w:tab w:val="left" w:pos="720"/>
          <w:tab w:val="left" w:leader="dot" w:pos="7920"/>
          <w:tab w:val="right" w:pos="8640"/>
        </w:tabs>
        <w:ind w:left="360" w:firstLine="0"/>
        <w:rPr>
          <w:bCs/>
        </w:rPr>
      </w:pPr>
      <w:r w:rsidRPr="007D40B4">
        <w:rPr>
          <w:bCs/>
        </w:rPr>
        <w:t>Status of Congressionally Requested Studies, Reports, and Evaluations</w:t>
      </w:r>
      <w:r w:rsidR="005D4CA2" w:rsidRPr="007D40B4">
        <w:rPr>
          <w:bCs/>
        </w:rPr>
        <w:t xml:space="preserve"> – Not Applicable</w:t>
      </w:r>
      <w:r w:rsidR="00BA740D" w:rsidRPr="007D40B4">
        <w:rPr>
          <w:bCs/>
        </w:rPr>
        <w:t xml:space="preserve"> </w:t>
      </w:r>
    </w:p>
    <w:p w:rsidR="002C5589" w:rsidRPr="007D40B4" w:rsidRDefault="002C5589" w:rsidP="002C5589">
      <w:pPr>
        <w:tabs>
          <w:tab w:val="left" w:leader="dot" w:pos="7920"/>
          <w:tab w:val="right" w:pos="8640"/>
        </w:tabs>
        <w:ind w:left="360"/>
        <w:rPr>
          <w:bCs/>
        </w:rPr>
      </w:pPr>
    </w:p>
    <w:p w:rsidR="001525BF" w:rsidRPr="007D40B4" w:rsidRDefault="001525BF" w:rsidP="0048781D">
      <w:pPr>
        <w:tabs>
          <w:tab w:val="right" w:leader="dot" w:pos="8910"/>
        </w:tabs>
        <w:rPr>
          <w:b/>
          <w:bCs/>
        </w:rPr>
      </w:pPr>
      <w:r w:rsidRPr="007D40B4">
        <w:rPr>
          <w:b/>
          <w:bCs/>
        </w:rPr>
        <w:t xml:space="preserve">VIII. </w:t>
      </w:r>
      <w:hyperlink w:anchor="CNST_Approps_Lanugage" w:history="1">
        <w:r w:rsidRPr="007D40B4">
          <w:rPr>
            <w:rStyle w:val="Hyperlink"/>
            <w:b/>
            <w:bCs/>
            <w:color w:val="auto"/>
            <w:u w:val="none"/>
          </w:rPr>
          <w:t>Construction</w:t>
        </w:r>
      </w:hyperlink>
      <w:r w:rsidR="00AF6CB2" w:rsidRPr="007D40B4">
        <w:rPr>
          <w:b/>
          <w:bCs/>
        </w:rPr>
        <w:tab/>
        <w:t>8-1</w:t>
      </w:r>
    </w:p>
    <w:p w:rsidR="001525BF" w:rsidRPr="007D40B4" w:rsidRDefault="001525BF" w:rsidP="001525BF">
      <w:pPr>
        <w:tabs>
          <w:tab w:val="left" w:leader="dot" w:pos="7920"/>
          <w:tab w:val="right" w:pos="8640"/>
        </w:tabs>
        <w:rPr>
          <w:b/>
          <w:bCs/>
        </w:rPr>
      </w:pPr>
    </w:p>
    <w:p w:rsidR="001525BF" w:rsidRPr="007D40B4" w:rsidRDefault="001525BF" w:rsidP="001525BF">
      <w:pPr>
        <w:tabs>
          <w:tab w:val="left" w:leader="dot" w:pos="7920"/>
          <w:tab w:val="right" w:pos="8640"/>
        </w:tabs>
        <w:ind w:left="360"/>
        <w:rPr>
          <w:b/>
          <w:bCs/>
        </w:rPr>
      </w:pPr>
      <w:r w:rsidRPr="007D40B4">
        <w:rPr>
          <w:b/>
          <w:bCs/>
        </w:rPr>
        <w:t>Exhibits</w:t>
      </w:r>
    </w:p>
    <w:p w:rsidR="001525BF" w:rsidRPr="007D40B4" w:rsidRDefault="001525BF" w:rsidP="00340520">
      <w:pPr>
        <w:pStyle w:val="xl19"/>
        <w:tabs>
          <w:tab w:val="left" w:pos="720"/>
          <w:tab w:val="left" w:leader="dot" w:pos="7920"/>
          <w:tab w:val="right" w:pos="8640"/>
        </w:tabs>
        <w:spacing w:before="0" w:after="0"/>
        <w:ind w:left="360"/>
        <w:rPr>
          <w:rFonts w:eastAsia="Times New Roman"/>
          <w:bCs/>
        </w:rPr>
      </w:pPr>
      <w:r w:rsidRPr="007D40B4">
        <w:rPr>
          <w:rFonts w:eastAsia="Times New Roman"/>
          <w:bCs/>
        </w:rPr>
        <w:t xml:space="preserve">A.  </w:t>
      </w:r>
      <w:r w:rsidR="00340520">
        <w:rPr>
          <w:rFonts w:eastAsia="Times New Roman"/>
          <w:bCs/>
        </w:rPr>
        <w:tab/>
      </w:r>
      <w:hyperlink w:anchor="CNST_Approps_Lanugage" w:history="1">
        <w:r w:rsidRPr="007D40B4">
          <w:rPr>
            <w:rStyle w:val="Hyperlink"/>
            <w:rFonts w:eastAsia="Times New Roman"/>
            <w:bCs/>
            <w:color w:val="auto"/>
            <w:u w:val="none"/>
          </w:rPr>
          <w:t>Appropriations Language and Analysis of Appropriations Language</w:t>
        </w:r>
      </w:hyperlink>
    </w:p>
    <w:p w:rsidR="001525BF" w:rsidRPr="007D40B4" w:rsidRDefault="001525BF" w:rsidP="00340520">
      <w:pPr>
        <w:pStyle w:val="xl19"/>
        <w:tabs>
          <w:tab w:val="left" w:pos="720"/>
          <w:tab w:val="left" w:leader="dot" w:pos="7920"/>
          <w:tab w:val="right" w:pos="8640"/>
        </w:tabs>
        <w:spacing w:before="0" w:after="0"/>
        <w:ind w:left="360"/>
        <w:rPr>
          <w:rFonts w:eastAsia="Times New Roman"/>
          <w:bCs/>
        </w:rPr>
      </w:pPr>
      <w:r w:rsidRPr="007D40B4">
        <w:rPr>
          <w:rFonts w:eastAsia="Times New Roman"/>
          <w:bCs/>
        </w:rPr>
        <w:t xml:space="preserve">B.  </w:t>
      </w:r>
      <w:r w:rsidR="00340520">
        <w:rPr>
          <w:rFonts w:eastAsia="Times New Roman"/>
          <w:bCs/>
        </w:rPr>
        <w:tab/>
      </w:r>
      <w:r w:rsidRPr="007D40B4">
        <w:rPr>
          <w:rFonts w:eastAsia="Times New Roman"/>
          <w:bCs/>
        </w:rPr>
        <w:t xml:space="preserve">Summary of Requirements </w:t>
      </w:r>
    </w:p>
    <w:p w:rsidR="001525BF" w:rsidRPr="007D40B4" w:rsidRDefault="001525BF" w:rsidP="00340520">
      <w:pPr>
        <w:pStyle w:val="ListParagraph"/>
        <w:numPr>
          <w:ilvl w:val="0"/>
          <w:numId w:val="6"/>
        </w:numPr>
        <w:tabs>
          <w:tab w:val="left" w:pos="720"/>
          <w:tab w:val="left" w:leader="dot" w:pos="7920"/>
          <w:tab w:val="right" w:pos="8640"/>
        </w:tabs>
        <w:ind w:left="360" w:firstLine="0"/>
        <w:rPr>
          <w:bCs/>
        </w:rPr>
      </w:pPr>
      <w:r w:rsidRPr="007D40B4">
        <w:rPr>
          <w:bCs/>
        </w:rPr>
        <w:t xml:space="preserve">Resources by DOJ Strategic Goal and Strategic Objective </w:t>
      </w:r>
    </w:p>
    <w:p w:rsidR="001525BF" w:rsidRPr="007D40B4" w:rsidRDefault="001525BF" w:rsidP="00340520">
      <w:pPr>
        <w:numPr>
          <w:ilvl w:val="0"/>
          <w:numId w:val="6"/>
        </w:numPr>
        <w:tabs>
          <w:tab w:val="left" w:pos="720"/>
          <w:tab w:val="left" w:leader="dot" w:pos="7920"/>
          <w:tab w:val="right" w:pos="8640"/>
        </w:tabs>
        <w:ind w:left="360" w:firstLine="0"/>
        <w:rPr>
          <w:bCs/>
        </w:rPr>
      </w:pPr>
      <w:r w:rsidRPr="007D40B4">
        <w:rPr>
          <w:bCs/>
        </w:rPr>
        <w:t>Justification for Base Adjustments</w:t>
      </w:r>
      <w:r w:rsidR="007C4265" w:rsidRPr="007D40B4">
        <w:rPr>
          <w:bCs/>
        </w:rPr>
        <w:t xml:space="preserve"> – Not Applicable</w:t>
      </w:r>
    </w:p>
    <w:p w:rsidR="001525BF" w:rsidRPr="007D40B4" w:rsidRDefault="001525BF" w:rsidP="00340520">
      <w:pPr>
        <w:numPr>
          <w:ilvl w:val="0"/>
          <w:numId w:val="6"/>
        </w:numPr>
        <w:tabs>
          <w:tab w:val="left" w:pos="720"/>
          <w:tab w:val="left" w:leader="dot" w:pos="7920"/>
          <w:tab w:val="right" w:pos="8640"/>
        </w:tabs>
        <w:ind w:left="360" w:firstLine="0"/>
        <w:rPr>
          <w:bCs/>
        </w:rPr>
      </w:pPr>
      <w:r w:rsidRPr="007D40B4">
        <w:rPr>
          <w:bCs/>
        </w:rPr>
        <w:t>Crosswalk of 2011 Availability</w:t>
      </w:r>
    </w:p>
    <w:p w:rsidR="001525BF" w:rsidRPr="007D40B4" w:rsidRDefault="001525BF" w:rsidP="00340520">
      <w:pPr>
        <w:numPr>
          <w:ilvl w:val="0"/>
          <w:numId w:val="6"/>
        </w:numPr>
        <w:tabs>
          <w:tab w:val="left" w:pos="720"/>
          <w:tab w:val="left" w:leader="dot" w:pos="7920"/>
          <w:tab w:val="right" w:pos="8640"/>
        </w:tabs>
        <w:ind w:left="360" w:firstLine="0"/>
        <w:rPr>
          <w:bCs/>
          <w:i/>
        </w:rPr>
      </w:pPr>
      <w:r w:rsidRPr="007D40B4">
        <w:rPr>
          <w:bCs/>
        </w:rPr>
        <w:t xml:space="preserve">Crosswalk of 2012 Availability </w:t>
      </w:r>
    </w:p>
    <w:p w:rsidR="009D1CB8" w:rsidRPr="007D40B4" w:rsidRDefault="001525BF" w:rsidP="00340520">
      <w:pPr>
        <w:pStyle w:val="ListParagraph"/>
        <w:numPr>
          <w:ilvl w:val="0"/>
          <w:numId w:val="7"/>
        </w:numPr>
        <w:tabs>
          <w:tab w:val="left" w:pos="720"/>
          <w:tab w:val="left" w:leader="dot" w:pos="7920"/>
          <w:tab w:val="right" w:pos="8640"/>
        </w:tabs>
        <w:ind w:left="360" w:firstLine="0"/>
        <w:rPr>
          <w:bCs/>
        </w:rPr>
        <w:sectPr w:rsidR="009D1CB8" w:rsidRPr="007D40B4" w:rsidSect="00AF7620">
          <w:pgSz w:w="12240" w:h="15840" w:code="1"/>
          <w:pgMar w:top="1440" w:right="1440" w:bottom="1440" w:left="1440" w:header="432" w:footer="432" w:gutter="0"/>
          <w:cols w:space="720"/>
        </w:sectPr>
      </w:pPr>
      <w:r w:rsidRPr="007D40B4">
        <w:rPr>
          <w:bCs/>
        </w:rPr>
        <w:t>Summary of Requirements by Object Class</w:t>
      </w:r>
    </w:p>
    <w:p w:rsidR="00FC5590" w:rsidRPr="00736456" w:rsidRDefault="00FC5590" w:rsidP="007471A8">
      <w:pPr>
        <w:contextualSpacing/>
        <w:rPr>
          <w:b/>
          <w:bCs/>
        </w:rPr>
      </w:pPr>
      <w:bookmarkStart w:id="0" w:name="Overview"/>
      <w:bookmarkEnd w:id="0"/>
      <w:r w:rsidRPr="00736456">
        <w:rPr>
          <w:b/>
          <w:bCs/>
        </w:rPr>
        <w:lastRenderedPageBreak/>
        <w:t>I.  OVERVIEW FOR THE FEDERAL BUREAU OF INVESTIGATION</w:t>
      </w:r>
    </w:p>
    <w:p w:rsidR="00FC5590" w:rsidRPr="00736456" w:rsidRDefault="00FC5590" w:rsidP="007471A8">
      <w:pPr>
        <w:contextualSpacing/>
      </w:pPr>
    </w:p>
    <w:p w:rsidR="00FC5590" w:rsidRPr="00736456" w:rsidRDefault="00FC5590" w:rsidP="007471A8">
      <w:pPr>
        <w:contextualSpacing/>
        <w:rPr>
          <w:b/>
          <w:bCs/>
        </w:rPr>
      </w:pPr>
      <w:r w:rsidRPr="00736456">
        <w:rPr>
          <w:b/>
          <w:bCs/>
        </w:rPr>
        <w:t>A.  Introduction</w:t>
      </w:r>
    </w:p>
    <w:p w:rsidR="00FC5590" w:rsidRPr="00736456" w:rsidRDefault="00FC5590" w:rsidP="007471A8">
      <w:pPr>
        <w:contextualSpacing/>
      </w:pPr>
    </w:p>
    <w:p w:rsidR="00FC5590" w:rsidRDefault="00FC5590" w:rsidP="007471A8">
      <w:pPr>
        <w:contextualSpacing/>
      </w:pPr>
      <w:r w:rsidRPr="00736456">
        <w:rPr>
          <w:b/>
          <w:bCs/>
          <w:i/>
          <w:iCs/>
        </w:rPr>
        <w:t>Budget Summary:</w:t>
      </w:r>
      <w:r w:rsidRPr="00736456">
        <w:t xml:space="preserve">  The Federal Bureau of Investigation</w:t>
      </w:r>
      <w:r>
        <w:t>’s (FBI’s) Fiscal Year (FY) 2013</w:t>
      </w:r>
      <w:r w:rsidRPr="00736456">
        <w:t xml:space="preserve"> budge</w:t>
      </w:r>
      <w:r>
        <w:t>t request proposes a total of $8</w:t>
      </w:r>
      <w:r w:rsidRPr="00736456">
        <w:t>,</w:t>
      </w:r>
      <w:r>
        <w:t>232,003</w:t>
      </w:r>
      <w:r w:rsidRPr="00736456">
        <w:t xml:space="preserve">,000 in direct budget authority, including </w:t>
      </w:r>
      <w:r>
        <w:t>34,083</w:t>
      </w:r>
      <w:r w:rsidRPr="00736456">
        <w:t xml:space="preserve"> permanent positions (</w:t>
      </w:r>
      <w:r>
        <w:t>13,018</w:t>
      </w:r>
      <w:r w:rsidRPr="00736456">
        <w:t xml:space="preserve"> Special Agents (SAs), </w:t>
      </w:r>
      <w:r>
        <w:t>3,025</w:t>
      </w:r>
      <w:r w:rsidRPr="00736456">
        <w:t xml:space="preserve"> Intelligence Analysts (IAs), and 1</w:t>
      </w:r>
      <w:r>
        <w:t>8,040 professional staff (PS)) and 33,461</w:t>
      </w:r>
      <w:r w:rsidRPr="00736456">
        <w:t xml:space="preserve"> full time equivalents (</w:t>
      </w:r>
      <w:smartTag w:uri="urn:schemas-microsoft-com:office:smarttags" w:element="stockticker">
        <w:r w:rsidRPr="00736456">
          <w:t>FTE</w:t>
        </w:r>
      </w:smartTag>
      <w:r w:rsidRPr="00736456">
        <w:t>).  The request includes a total of $</w:t>
      </w:r>
      <w:r>
        <w:t>8,151</w:t>
      </w:r>
      <w:r w:rsidRPr="00736456">
        <w:t>,</w:t>
      </w:r>
      <w:r>
        <w:t>021,</w:t>
      </w:r>
      <w:r w:rsidRPr="00736456">
        <w:t>000 for Salaries and Expenses (S&amp;E) and $</w:t>
      </w:r>
      <w:r>
        <w:t>80</w:t>
      </w:r>
      <w:r w:rsidRPr="00736456">
        <w:t>,</w:t>
      </w:r>
      <w:r>
        <w:t>982</w:t>
      </w:r>
      <w:r w:rsidRPr="00736456">
        <w:t>,000 for Construction to address</w:t>
      </w:r>
      <w:r>
        <w:t xml:space="preserve"> the FBI’s highest priorities.  </w:t>
      </w:r>
    </w:p>
    <w:p w:rsidR="00FC5590" w:rsidRPr="00736456" w:rsidRDefault="00FC5590" w:rsidP="007471A8">
      <w:pPr>
        <w:contextualSpacing/>
      </w:pPr>
    </w:p>
    <w:p w:rsidR="00FC5590" w:rsidRPr="00736456" w:rsidRDefault="00FC5590" w:rsidP="007471A8">
      <w:pPr>
        <w:contextualSpacing/>
      </w:pPr>
      <w:r w:rsidRPr="00736456">
        <w:t xml:space="preserve">The request includes </w:t>
      </w:r>
      <w:r w:rsidR="00E4605C">
        <w:t xml:space="preserve">a </w:t>
      </w:r>
      <w:r>
        <w:t>program increase</w:t>
      </w:r>
      <w:r w:rsidRPr="00736456">
        <w:t xml:space="preserve"> of $</w:t>
      </w:r>
      <w:r>
        <w:t>15,000,000 and 44</w:t>
      </w:r>
      <w:r w:rsidRPr="00736456">
        <w:t xml:space="preserve"> positions (</w:t>
      </w:r>
      <w:r>
        <w:t xml:space="preserve">40 SAs </w:t>
      </w:r>
      <w:r w:rsidRPr="00736456">
        <w:t xml:space="preserve">and </w:t>
      </w:r>
      <w:r>
        <w:t>4</w:t>
      </w:r>
      <w:r w:rsidRPr="00736456">
        <w:t xml:space="preserve"> PS) and </w:t>
      </w:r>
      <w:r>
        <w:t>22</w:t>
      </w:r>
      <w:r w:rsidRPr="00736456">
        <w:t xml:space="preserve"> </w:t>
      </w:r>
      <w:smartTag w:uri="urn:schemas-microsoft-com:office:smarttags" w:element="stockticker">
        <w:r w:rsidRPr="00736456">
          <w:t>FTE</w:t>
        </w:r>
      </w:smartTag>
      <w:r w:rsidR="00E4605C">
        <w:t xml:space="preserve"> to</w:t>
      </w:r>
      <w:r w:rsidRPr="00736456">
        <w:t xml:space="preserve"> </w:t>
      </w:r>
      <w:r>
        <w:t>address financial crimes and support the Administration’s financial fraud initiative.</w:t>
      </w:r>
      <w:r w:rsidR="00E4605C">
        <w:t xml:space="preserve"> In addition, the request includes $63,023,000 in program reductions and rescinds $162,226,000 in prior-year unobligated balances.</w:t>
      </w:r>
    </w:p>
    <w:p w:rsidR="00FC5590" w:rsidRPr="00736456" w:rsidRDefault="00FC5590" w:rsidP="007471A8">
      <w:pPr>
        <w:contextualSpacing/>
      </w:pPr>
    </w:p>
    <w:p w:rsidR="00FC5590" w:rsidRDefault="00FC5590" w:rsidP="007471A8">
      <w:pPr>
        <w:contextualSpacing/>
      </w:pPr>
      <w:r w:rsidRPr="00EC31E4">
        <w:t xml:space="preserve">The FBI continues to strategically assess current and prospective operations to ensure that mission requirements are met at the lowest possible cost to the U.S. taxpayer.  The FY 2013 budget request is a product of these assessments and provides the resources to continue the FBI’s strategic vision into the future.  </w:t>
      </w:r>
    </w:p>
    <w:p w:rsidR="00FC5590" w:rsidRDefault="00FC5590" w:rsidP="007471A8">
      <w:pPr>
        <w:contextualSpacing/>
      </w:pPr>
    </w:p>
    <w:p w:rsidR="00FC5590" w:rsidRPr="00736456" w:rsidRDefault="00FC5590" w:rsidP="007471A8">
      <w:pPr>
        <w:contextualSpacing/>
      </w:pPr>
      <w:r w:rsidRPr="00F87FA1">
        <w:rPr>
          <w:rFonts w:cs="Arial"/>
        </w:rPr>
        <w:t xml:space="preserve">Electronic copies of the Department of Justice’s Congressional Budget Justifications and Capital Asset Plan and Business Case exhibits can be viewed or downloaded from the Internet using the Internet address: </w:t>
      </w:r>
      <w:hyperlink r:id="rId10" w:history="1">
        <w:r w:rsidRPr="00F87FA1">
          <w:rPr>
            <w:rStyle w:val="Hyperlink"/>
          </w:rPr>
          <w:t>http://www.justice.gov/02organizations/bpp.htm</w:t>
        </w:r>
      </w:hyperlink>
      <w:r w:rsidRPr="00F87FA1">
        <w:rPr>
          <w:bCs/>
        </w:rPr>
        <w:t>.</w:t>
      </w:r>
      <w:r>
        <w:rPr>
          <w:bCs/>
        </w:rPr>
        <w:t xml:space="preserve"> </w:t>
      </w:r>
    </w:p>
    <w:p w:rsidR="00FC5590" w:rsidRPr="00736456" w:rsidRDefault="00FC5590" w:rsidP="007471A8">
      <w:pPr>
        <w:contextualSpacing/>
      </w:pPr>
    </w:p>
    <w:p w:rsidR="00FC5590" w:rsidRPr="00736456" w:rsidRDefault="00FC5590" w:rsidP="007471A8">
      <w:pPr>
        <w:contextualSpacing/>
      </w:pPr>
      <w:r w:rsidRPr="00736456">
        <w:rPr>
          <w:b/>
          <w:bCs/>
          <w:i/>
          <w:iCs/>
        </w:rPr>
        <w:t>The FBI’s Mission and Strategic Goals:</w:t>
      </w:r>
      <w:r w:rsidRPr="00736456">
        <w:t xml:space="preserve">  The mission of the FBI is to protect and defend the </w:t>
      </w:r>
      <w:r>
        <w:t>U.S.</w:t>
      </w:r>
      <w:r w:rsidRPr="00736456">
        <w:t xml:space="preserve"> against terrorism and foreign intelligence threats, to uphold and enforce the criminal laws of the </w:t>
      </w:r>
      <w:r>
        <w:t>U.S.</w:t>
      </w:r>
      <w:r w:rsidRPr="00736456">
        <w:t>, and to provide leadership and criminal justice services to federal, state, municipal, and international agencies and partners.</w:t>
      </w:r>
    </w:p>
    <w:p w:rsidR="00FC5590" w:rsidRPr="00736456" w:rsidRDefault="00FC5590" w:rsidP="007471A8">
      <w:pPr>
        <w:contextualSpacing/>
      </w:pPr>
    </w:p>
    <w:p w:rsidR="00FC5590" w:rsidRPr="00736456" w:rsidRDefault="00FC5590" w:rsidP="007471A8">
      <w:pPr>
        <w:contextualSpacing/>
      </w:pPr>
      <w:r w:rsidRPr="00736456">
        <w:rPr>
          <w:b/>
          <w:bCs/>
          <w:i/>
          <w:iCs/>
        </w:rPr>
        <w:t xml:space="preserve">Organization of the FBI: </w:t>
      </w:r>
      <w:r w:rsidRPr="00736456">
        <w:rPr>
          <w:i/>
          <w:iCs/>
        </w:rPr>
        <w:t xml:space="preserve"> </w:t>
      </w:r>
      <w:r w:rsidRPr="00736456">
        <w:t>The FBI operates field offices</w:t>
      </w:r>
      <w:r>
        <w:t xml:space="preserve"> in 56 major U.S. cities and over 370</w:t>
      </w:r>
      <w:r w:rsidRPr="00736456">
        <w:t xml:space="preserve"> “resident agencies” throughout the country.  Resident agencies are satellite offices that support the larger field offices and allow the FBI to maintain a presence in and serve communities</w:t>
      </w:r>
      <w:r w:rsidR="00E4605C">
        <w:t>.</w:t>
      </w:r>
      <w:r w:rsidRPr="00736456">
        <w:t xml:space="preserve">  FBI employees assigned to field offices and resident agencies perform the majority of the investigative and intelligence work for the FBI.  Special Agents in Charge of FBI Field Offices report to the Deputy Director and Director.  The FBI also operates </w:t>
      </w:r>
      <w:r>
        <w:t xml:space="preserve">over </w:t>
      </w:r>
      <w:r w:rsidRPr="00736456">
        <w:t>6</w:t>
      </w:r>
      <w:r>
        <w:t>0</w:t>
      </w:r>
      <w:r w:rsidRPr="00736456">
        <w:t xml:space="preserve"> Legal Attaché (</w:t>
      </w:r>
      <w:proofErr w:type="spellStart"/>
      <w:r w:rsidRPr="00736456">
        <w:t>Legat</w:t>
      </w:r>
      <w:proofErr w:type="spellEnd"/>
      <w:r w:rsidRPr="00736456">
        <w:t xml:space="preserve">) offices and </w:t>
      </w:r>
      <w:r w:rsidRPr="00E00CAE">
        <w:t>14 sub-offices in 67 foreign countries around the world.</w:t>
      </w:r>
      <w:r w:rsidRPr="00736456">
        <w:t xml:space="preserve">  </w:t>
      </w:r>
    </w:p>
    <w:p w:rsidR="00FC5590" w:rsidRPr="00736456" w:rsidRDefault="00FC5590" w:rsidP="007471A8">
      <w:pPr>
        <w:contextualSpacing/>
      </w:pPr>
    </w:p>
    <w:p w:rsidR="00FC5590" w:rsidRPr="00736456" w:rsidRDefault="00FC5590" w:rsidP="007471A8">
      <w:pPr>
        <w:contextualSpacing/>
      </w:pPr>
      <w:r w:rsidRPr="00736456">
        <w:t>Other major FBI facilities include the FBI Academy, the Engineering Research Facility (ERF), and the FBI Laboratory, all at Quantico, Virginia; a fingerprint identification complex in Clarksburg, West Virginia</w:t>
      </w:r>
      <w:r w:rsidR="00C5457C">
        <w:t xml:space="preserve"> that includes the Criminal Justice Information Services (CJIS) Division and the Biometrics Technology Center</w:t>
      </w:r>
      <w:r w:rsidRPr="00736456">
        <w:t xml:space="preserve">; and the Hazardous Devices School at Redstone Arsenal, Alabama.  </w:t>
      </w:r>
    </w:p>
    <w:p w:rsidR="00FC5590" w:rsidRPr="00736456" w:rsidRDefault="00FC5590" w:rsidP="007471A8">
      <w:pPr>
        <w:contextualSpacing/>
      </w:pPr>
    </w:p>
    <w:p w:rsidR="00FC5590" w:rsidRPr="00736456" w:rsidRDefault="00FC5590" w:rsidP="007471A8">
      <w:pPr>
        <w:contextualSpacing/>
      </w:pPr>
      <w:r w:rsidRPr="00736456">
        <w:t xml:space="preserve">FBI Headquarters, located in Washington, D.C., provides centralized operational, policy, and administrative support to FBI investigations and programs conducted throughout the </w:t>
      </w:r>
      <w:r>
        <w:t>U.S.</w:t>
      </w:r>
      <w:r w:rsidRPr="00736456">
        <w:t xml:space="preserve"> and in foreign countries.  Under the direction of the FBI Director and Deputy Director, this support is provided by: </w:t>
      </w:r>
    </w:p>
    <w:p w:rsidR="00FC5590" w:rsidRPr="00736456" w:rsidRDefault="00FC5590" w:rsidP="007471A8">
      <w:pPr>
        <w:contextualSpacing/>
      </w:pPr>
    </w:p>
    <w:p w:rsidR="00FC5590" w:rsidRPr="00736456" w:rsidRDefault="00FC5590" w:rsidP="00325EEF">
      <w:pPr>
        <w:numPr>
          <w:ilvl w:val="0"/>
          <w:numId w:val="63"/>
        </w:numPr>
        <w:contextualSpacing/>
      </w:pPr>
      <w:r w:rsidRPr="00736456">
        <w:t xml:space="preserve">The </w:t>
      </w:r>
      <w:r w:rsidRPr="00736456">
        <w:rPr>
          <w:u w:val="single"/>
        </w:rPr>
        <w:t>National Security Branch</w:t>
      </w:r>
      <w:r w:rsidRPr="00736456">
        <w:t xml:space="preserve">, which includes the Counterterrorism Division, Counterintelligence Division, the Directorate of Intelligence, </w:t>
      </w:r>
      <w:r>
        <w:t xml:space="preserve">Terrorist Screening Center, </w:t>
      </w:r>
      <w:r w:rsidRPr="00736456">
        <w:t xml:space="preserve">and the Weapons of Mass Destruction Directorate.  </w:t>
      </w:r>
    </w:p>
    <w:p w:rsidR="00FC5590" w:rsidRPr="00736456" w:rsidRDefault="00FC5590" w:rsidP="00325EEF">
      <w:pPr>
        <w:numPr>
          <w:ilvl w:val="0"/>
          <w:numId w:val="63"/>
        </w:numPr>
        <w:tabs>
          <w:tab w:val="clear" w:pos="576"/>
        </w:tabs>
        <w:contextualSpacing/>
      </w:pPr>
      <w:r w:rsidRPr="00736456">
        <w:lastRenderedPageBreak/>
        <w:t xml:space="preserve">The </w:t>
      </w:r>
      <w:r w:rsidRPr="00736456">
        <w:rPr>
          <w:u w:val="single"/>
        </w:rPr>
        <w:t>Criminal, Cyber, Response and Services Branch</w:t>
      </w:r>
      <w:r w:rsidRPr="00736456">
        <w:t xml:space="preserve">, which includes the Criminal Investigative Division, the Cyber Division, the Critical Incident Response Group, the International Operations Division, and the Office of Law Enforcement Coordination.  </w:t>
      </w:r>
    </w:p>
    <w:p w:rsidR="00FC5590" w:rsidRPr="00736456" w:rsidRDefault="00FC5590" w:rsidP="00325EEF">
      <w:pPr>
        <w:numPr>
          <w:ilvl w:val="0"/>
          <w:numId w:val="63"/>
        </w:numPr>
        <w:contextualSpacing/>
      </w:pPr>
      <w:r w:rsidRPr="00736456">
        <w:t xml:space="preserve">The </w:t>
      </w:r>
      <w:r w:rsidRPr="00736456">
        <w:rPr>
          <w:u w:val="single"/>
        </w:rPr>
        <w:t>Science and Technology Branch</w:t>
      </w:r>
      <w:r w:rsidRPr="00736456">
        <w:t xml:space="preserve">, which includes the Criminal Justice Information Services Division, the Laboratory Division, and the Operational Technology Division. </w:t>
      </w:r>
    </w:p>
    <w:p w:rsidR="00FC5590" w:rsidRPr="00736456" w:rsidRDefault="00FC5590" w:rsidP="007471A8">
      <w:pPr>
        <w:contextualSpacing/>
      </w:pPr>
    </w:p>
    <w:p w:rsidR="00FC5590" w:rsidRDefault="00FC5590" w:rsidP="007471A8">
      <w:pPr>
        <w:contextualSpacing/>
      </w:pPr>
      <w:r w:rsidRPr="00736456">
        <w:t xml:space="preserve">A number of other Headquarters offices also provide FBI-wide mission support:  </w:t>
      </w:r>
    </w:p>
    <w:p w:rsidR="00325EEF" w:rsidRPr="00736456" w:rsidRDefault="00325EEF" w:rsidP="007471A8">
      <w:pPr>
        <w:contextualSpacing/>
      </w:pPr>
    </w:p>
    <w:p w:rsidR="00FC5590" w:rsidRPr="00736456" w:rsidRDefault="00FC5590" w:rsidP="00325EEF">
      <w:pPr>
        <w:numPr>
          <w:ilvl w:val="0"/>
          <w:numId w:val="14"/>
        </w:numPr>
        <w:tabs>
          <w:tab w:val="clear" w:pos="720"/>
        </w:tabs>
        <w:ind w:left="576"/>
        <w:contextualSpacing/>
        <w:rPr>
          <w:rFonts w:eastAsia="SimSun"/>
          <w:lang w:eastAsia="zh-CN"/>
        </w:rPr>
      </w:pPr>
      <w:r w:rsidRPr="00736456">
        <w:rPr>
          <w:rFonts w:eastAsia="SimSun"/>
          <w:lang w:eastAsia="zh-CN"/>
        </w:rPr>
        <w:t xml:space="preserve">The </w:t>
      </w:r>
      <w:r w:rsidRPr="00736456">
        <w:rPr>
          <w:rFonts w:eastAsia="SimSun"/>
          <w:u w:val="single"/>
          <w:lang w:eastAsia="zh-CN"/>
        </w:rPr>
        <w:t xml:space="preserve">Information and Technology Branch </w:t>
      </w:r>
      <w:r w:rsidRPr="00736456">
        <w:rPr>
          <w:rFonts w:eastAsia="SimSun"/>
          <w:lang w:eastAsia="zh-CN"/>
        </w:rPr>
        <w:t xml:space="preserve">oversees the </w:t>
      </w:r>
      <w:r>
        <w:rPr>
          <w:rFonts w:eastAsia="SimSun"/>
          <w:lang w:eastAsia="zh-CN"/>
        </w:rPr>
        <w:t xml:space="preserve">IT </w:t>
      </w:r>
      <w:r w:rsidRPr="00736456">
        <w:rPr>
          <w:rFonts w:eastAsia="SimSun"/>
          <w:lang w:eastAsia="zh-CN"/>
        </w:rPr>
        <w:t xml:space="preserve">Management Division, IT Engineering Division, and the IT Services Division. </w:t>
      </w:r>
    </w:p>
    <w:p w:rsidR="00FC5590" w:rsidRPr="00736456" w:rsidRDefault="00FC5590" w:rsidP="00325EEF">
      <w:pPr>
        <w:numPr>
          <w:ilvl w:val="0"/>
          <w:numId w:val="14"/>
        </w:numPr>
        <w:tabs>
          <w:tab w:val="clear" w:pos="720"/>
        </w:tabs>
        <w:ind w:left="576"/>
        <w:contextualSpacing/>
        <w:rPr>
          <w:rFonts w:eastAsia="SimSun"/>
          <w:lang w:eastAsia="zh-CN"/>
        </w:rPr>
      </w:pPr>
      <w:r w:rsidRPr="00736456">
        <w:rPr>
          <w:rFonts w:eastAsia="SimSun"/>
          <w:lang w:eastAsia="zh-CN"/>
        </w:rPr>
        <w:t xml:space="preserve">The </w:t>
      </w:r>
      <w:r w:rsidRPr="00736456">
        <w:rPr>
          <w:rFonts w:eastAsia="SimSun"/>
          <w:u w:val="single"/>
          <w:lang w:eastAsia="zh-CN"/>
        </w:rPr>
        <w:t>Human Resources Branch</w:t>
      </w:r>
      <w:r w:rsidRPr="00736456">
        <w:rPr>
          <w:rFonts w:eastAsia="SimSun"/>
          <w:lang w:eastAsia="zh-CN"/>
        </w:rPr>
        <w:t xml:space="preserve"> includes the Human Resources Division and the Training Division.  </w:t>
      </w:r>
    </w:p>
    <w:p w:rsidR="00FC5590" w:rsidRPr="00736456" w:rsidRDefault="00FC5590" w:rsidP="00325EEF">
      <w:pPr>
        <w:numPr>
          <w:ilvl w:val="0"/>
          <w:numId w:val="14"/>
        </w:numPr>
        <w:ind w:left="576"/>
        <w:contextualSpacing/>
        <w:rPr>
          <w:rFonts w:eastAsia="SimSun"/>
          <w:lang w:eastAsia="zh-CN"/>
        </w:rPr>
      </w:pPr>
      <w:r w:rsidRPr="00736456">
        <w:rPr>
          <w:rFonts w:eastAsia="SimSun"/>
          <w:u w:val="single"/>
          <w:lang w:eastAsia="zh-CN"/>
        </w:rPr>
        <w:t>Administrative and financial management support</w:t>
      </w:r>
      <w:r w:rsidRPr="00736456">
        <w:rPr>
          <w:rFonts w:eastAsia="SimSun"/>
          <w:lang w:eastAsia="zh-CN"/>
        </w:rPr>
        <w:t xml:space="preserve"> is provided by the Facilities and Logistics Services Division, the Finance Division, the Records Management Division, the Security Division, the Resource Planning Office, and the Inspection Division. </w:t>
      </w:r>
    </w:p>
    <w:p w:rsidR="00FC5590" w:rsidRPr="007471A8" w:rsidRDefault="00FC5590" w:rsidP="00325EEF">
      <w:pPr>
        <w:numPr>
          <w:ilvl w:val="0"/>
          <w:numId w:val="14"/>
        </w:numPr>
        <w:ind w:left="576"/>
        <w:contextualSpacing/>
        <w:rPr>
          <w:rFonts w:ascii="Verdana" w:eastAsia="SimSun" w:hAnsi="Verdana"/>
          <w:sz w:val="20"/>
          <w:szCs w:val="20"/>
          <w:lang w:eastAsia="zh-CN"/>
        </w:rPr>
      </w:pPr>
      <w:r w:rsidRPr="00736456">
        <w:rPr>
          <w:rFonts w:eastAsia="SimSun"/>
          <w:u w:val="single"/>
          <w:lang w:eastAsia="zh-CN"/>
        </w:rPr>
        <w:t>Specialized support</w:t>
      </w:r>
      <w:r w:rsidRPr="00736456">
        <w:rPr>
          <w:rFonts w:eastAsia="SimSun"/>
          <w:lang w:eastAsia="zh-CN"/>
        </w:rPr>
        <w:t xml:space="preserve"> is provided directly to the Director and Deputy Director through a number of staff offices, including the Office of Public Affairs, the Office of Congressional Affairs, the Office of the General Counsel, the Office of Equal Employment Opportunity, </w:t>
      </w:r>
      <w:proofErr w:type="gramStart"/>
      <w:r w:rsidRPr="00736456">
        <w:rPr>
          <w:rFonts w:eastAsia="SimSun"/>
          <w:lang w:eastAsia="zh-CN"/>
        </w:rPr>
        <w:t>the</w:t>
      </w:r>
      <w:proofErr w:type="gramEnd"/>
      <w:r w:rsidRPr="00736456">
        <w:rPr>
          <w:rFonts w:eastAsia="SimSun"/>
          <w:lang w:eastAsia="zh-CN"/>
        </w:rPr>
        <w:t xml:space="preserve"> Office of Professional Responsibility, the Office of the Ombudsman, and the Office of Integrity and Compliance.</w:t>
      </w:r>
    </w:p>
    <w:p w:rsidR="007471A8" w:rsidRPr="00736456" w:rsidRDefault="007471A8" w:rsidP="007471A8">
      <w:pPr>
        <w:ind w:left="720"/>
        <w:contextualSpacing/>
        <w:rPr>
          <w:rFonts w:ascii="Verdana" w:eastAsia="SimSun" w:hAnsi="Verdana"/>
          <w:sz w:val="20"/>
          <w:szCs w:val="20"/>
          <w:lang w:eastAsia="zh-CN"/>
        </w:rPr>
      </w:pPr>
    </w:p>
    <w:p w:rsidR="00FC5590" w:rsidRPr="00AE2986" w:rsidRDefault="00FC5590" w:rsidP="007471A8">
      <w:pPr>
        <w:contextualSpacing/>
        <w:rPr>
          <w:b/>
          <w:bCs/>
        </w:rPr>
      </w:pPr>
      <w:r w:rsidRPr="00AE2986">
        <w:rPr>
          <w:b/>
          <w:bCs/>
        </w:rPr>
        <w:t>B.</w:t>
      </w:r>
      <w:r w:rsidRPr="00AE2986">
        <w:t xml:space="preserve">  </w:t>
      </w:r>
      <w:r w:rsidRPr="00AE2986">
        <w:rPr>
          <w:b/>
          <w:bCs/>
        </w:rPr>
        <w:t xml:space="preserve">Threats to the </w:t>
      </w:r>
      <w:r>
        <w:rPr>
          <w:b/>
          <w:bCs/>
        </w:rPr>
        <w:t>U.S.</w:t>
      </w:r>
      <w:r w:rsidRPr="00AE2986">
        <w:rPr>
          <w:b/>
          <w:bCs/>
        </w:rPr>
        <w:t xml:space="preserve"> and its Interests</w:t>
      </w:r>
    </w:p>
    <w:p w:rsidR="00FC5590" w:rsidRPr="00AE2986" w:rsidRDefault="00FC5590" w:rsidP="007471A8">
      <w:pPr>
        <w:contextualSpacing/>
      </w:pPr>
    </w:p>
    <w:p w:rsidR="00FC5590" w:rsidRPr="00AE2986" w:rsidRDefault="00FC5590" w:rsidP="007471A8">
      <w:pPr>
        <w:contextualSpacing/>
      </w:pPr>
      <w:r w:rsidRPr="00AE2986">
        <w:t xml:space="preserve">In an effort to better address all aspects of the FBI’s requirements, the </w:t>
      </w:r>
      <w:r>
        <w:t>FBI’s</w:t>
      </w:r>
      <w:r w:rsidRPr="00AE2986">
        <w:t xml:space="preserve"> </w:t>
      </w:r>
      <w:r>
        <w:t>B</w:t>
      </w:r>
      <w:r w:rsidRPr="00AE2986">
        <w:t>udget is</w:t>
      </w:r>
      <w:r>
        <w:t xml:space="preserve"> formulated and</w:t>
      </w:r>
      <w:r w:rsidRPr="00AE2986">
        <w:t xml:space="preserve"> structured according to the threats that the FBI works to deter.  These threats have been identified by the Director as the FBI’s priorities and</w:t>
      </w:r>
      <w:r w:rsidR="00E4605C">
        <w:t xml:space="preserve">, as </w:t>
      </w:r>
      <w:proofErr w:type="gramStart"/>
      <w:r w:rsidR="00E4605C">
        <w:t>such</w:t>
      </w:r>
      <w:r w:rsidRPr="00AE2986">
        <w:t xml:space="preserve"> </w:t>
      </w:r>
      <w:r w:rsidR="00E4605C">
        <w:t xml:space="preserve"> are</w:t>
      </w:r>
      <w:proofErr w:type="gramEnd"/>
      <w:r w:rsidR="00E4605C">
        <w:t xml:space="preserve"> </w:t>
      </w:r>
      <w:r w:rsidRPr="00AE2986">
        <w:t xml:space="preserve">resourced accordingly. </w:t>
      </w:r>
    </w:p>
    <w:p w:rsidR="00FC5590" w:rsidRPr="00E43E89" w:rsidRDefault="00FC5590" w:rsidP="007471A8">
      <w:pPr>
        <w:contextualSpacing/>
        <w:rPr>
          <w:highlight w:val="yellow"/>
        </w:rPr>
      </w:pPr>
    </w:p>
    <w:p w:rsidR="001D5EFD" w:rsidRDefault="001D5EFD" w:rsidP="007471A8">
      <w:pPr>
        <w:contextualSpacing/>
      </w:pPr>
      <w:r w:rsidRPr="00736456">
        <w:rPr>
          <w:b/>
          <w:bCs/>
          <w:i/>
          <w:iCs/>
        </w:rPr>
        <w:t>Terrorism Threat:</w:t>
      </w:r>
      <w:r w:rsidRPr="00736456">
        <w:rPr>
          <w:i/>
          <w:iCs/>
        </w:rPr>
        <w:t xml:space="preserve"> </w:t>
      </w:r>
      <w:r w:rsidRPr="00736456">
        <w:t xml:space="preserve"> Terrorism, in general, and al-</w:t>
      </w:r>
      <w:proofErr w:type="spellStart"/>
      <w:r w:rsidRPr="00736456">
        <w:t>Qa’ida</w:t>
      </w:r>
      <w:proofErr w:type="spellEnd"/>
      <w:r>
        <w:t xml:space="preserve"> </w:t>
      </w:r>
      <w:r w:rsidRPr="00736456">
        <w:t>and its affiliates in particular, continues to represent the most significant threat to the country’s national security. Al-</w:t>
      </w:r>
      <w:proofErr w:type="spellStart"/>
      <w:r w:rsidRPr="00736456">
        <w:t>Qa’ida</w:t>
      </w:r>
      <w:proofErr w:type="spellEnd"/>
      <w:r w:rsidRPr="00736456">
        <w:t xml:space="preserve"> remains committed to its goal of conducting attacks inside the </w:t>
      </w:r>
      <w:r w:rsidR="00C90C45">
        <w:t>U.S.</w:t>
      </w:r>
      <w:r w:rsidRPr="00736456">
        <w:t xml:space="preserve"> and continues to adjust its tactics and tradecraft in response to U.S. security countermeasures.  </w:t>
      </w:r>
    </w:p>
    <w:p w:rsidR="001D5EFD" w:rsidRDefault="001D5EFD" w:rsidP="007471A8">
      <w:pPr>
        <w:contextualSpacing/>
      </w:pPr>
    </w:p>
    <w:p w:rsidR="001D5EFD" w:rsidRPr="00736456" w:rsidRDefault="001D5EFD" w:rsidP="007471A8">
      <w:pPr>
        <w:contextualSpacing/>
      </w:pPr>
      <w:r w:rsidRPr="00736456">
        <w:t>Al-</w:t>
      </w:r>
      <w:proofErr w:type="spellStart"/>
      <w:r w:rsidRPr="00736456">
        <w:t>Qa’ida</w:t>
      </w:r>
      <w:proofErr w:type="spellEnd"/>
      <w:r w:rsidRPr="00736456">
        <w:t xml:space="preserve"> seek</w:t>
      </w:r>
      <w:r>
        <w:t>s</w:t>
      </w:r>
      <w:r w:rsidRPr="00736456">
        <w:t xml:space="preserve"> to infiltrate overseas operatives who have no known nexus to terrorism into the </w:t>
      </w:r>
      <w:r w:rsidR="00C90C45">
        <w:t>U.S.</w:t>
      </w:r>
      <w:r w:rsidRPr="00736456">
        <w:t xml:space="preserve"> using both legal and illegal methods of entry.  Further, al-</w:t>
      </w:r>
      <w:proofErr w:type="spellStart"/>
      <w:r w:rsidRPr="00736456">
        <w:t>Qa’ida’s</w:t>
      </w:r>
      <w:proofErr w:type="spellEnd"/>
      <w:r w:rsidRPr="00736456">
        <w:t xml:space="preserve"> access to chemical, biological, radiological, or nuclear material poses a serious threat to the </w:t>
      </w:r>
      <w:r w:rsidR="00C90C45">
        <w:t>U.S</w:t>
      </w:r>
      <w:r w:rsidRPr="00736456">
        <w:t>.  Finally, al-</w:t>
      </w:r>
      <w:proofErr w:type="spellStart"/>
      <w:r w:rsidRPr="00736456">
        <w:t>Qa’ida’s</w:t>
      </w:r>
      <w:proofErr w:type="spellEnd"/>
      <w:r w:rsidRPr="00736456">
        <w:t xml:space="preserve"> choice of targets and attack methods will likely continue to focus on economic targets, such as aviation, the energy sector, and mass transit; soft targets such as large public gatherings; and symbolic targets, such as monuments and government buildings.</w:t>
      </w:r>
    </w:p>
    <w:p w:rsidR="001D5EFD" w:rsidRPr="00736456" w:rsidRDefault="001D5EFD" w:rsidP="007471A8">
      <w:pPr>
        <w:contextualSpacing/>
      </w:pPr>
    </w:p>
    <w:p w:rsidR="001D5EFD" w:rsidRDefault="001D5EFD" w:rsidP="007471A8">
      <w:pPr>
        <w:contextualSpacing/>
      </w:pPr>
      <w:r w:rsidRPr="00736456">
        <w:t xml:space="preserve">Religious extremists are using increasingly-diverse methods of member recruitment and development, which pose a very serious threat.  </w:t>
      </w:r>
      <w:r>
        <w:t xml:space="preserve">One of the bigger issues materializing is the threat of Homegrown Violent Extremists.  The extremists are those who reside or operate in the </w:t>
      </w:r>
      <w:r w:rsidR="00C90C45">
        <w:t>U.S.</w:t>
      </w:r>
      <w:r>
        <w:t xml:space="preserve"> and become inspired by al-</w:t>
      </w:r>
      <w:proofErr w:type="spellStart"/>
      <w:r>
        <w:t>Qa’ida</w:t>
      </w:r>
      <w:proofErr w:type="spellEnd"/>
      <w:r>
        <w:t xml:space="preserve"> or similar group through English-language propaganda, but do not have any ties to al-</w:t>
      </w:r>
      <w:proofErr w:type="spellStart"/>
      <w:r>
        <w:t>Qa’ida</w:t>
      </w:r>
      <w:proofErr w:type="spellEnd"/>
      <w:r>
        <w:t xml:space="preserve"> or any other foreign terrorist organization.  In February 2011, Khalid Ali-M </w:t>
      </w:r>
      <w:proofErr w:type="spellStart"/>
      <w:r>
        <w:t>Aldawsari</w:t>
      </w:r>
      <w:proofErr w:type="spellEnd"/>
      <w:r>
        <w:t xml:space="preserve"> was arrested for planning to build bombs and attack </w:t>
      </w:r>
      <w:r w:rsidR="00C90C45">
        <w:t>U.S.</w:t>
      </w:r>
      <w:r>
        <w:t xml:space="preserve"> targets like the home of former President George W. Bush, hydroelectric dams, nuclear power plants, night clubs and homes of soldiers who were stationed at Abu </w:t>
      </w:r>
      <w:proofErr w:type="spellStart"/>
      <w:r>
        <w:t>Ghraib</w:t>
      </w:r>
      <w:proofErr w:type="spellEnd"/>
      <w:r>
        <w:t xml:space="preserve"> prison.  A journal </w:t>
      </w:r>
      <w:proofErr w:type="spellStart"/>
      <w:r>
        <w:t>Aldawsari</w:t>
      </w:r>
      <w:proofErr w:type="spellEnd"/>
      <w:r>
        <w:t xml:space="preserve"> kept, found during the investigation, indicated he had become inspired by </w:t>
      </w:r>
      <w:proofErr w:type="spellStart"/>
      <w:r>
        <w:t>Usama</w:t>
      </w:r>
      <w:proofErr w:type="spellEnd"/>
      <w:r>
        <w:t xml:space="preserve"> bin Laden’s speeches.</w:t>
      </w:r>
    </w:p>
    <w:p w:rsidR="001D5EFD" w:rsidRDefault="001D5EFD" w:rsidP="007471A8">
      <w:pPr>
        <w:contextualSpacing/>
      </w:pPr>
    </w:p>
    <w:p w:rsidR="001D5EFD" w:rsidRDefault="001D5EFD" w:rsidP="007471A8">
      <w:pPr>
        <w:contextualSpacing/>
      </w:pPr>
      <w:r>
        <w:lastRenderedPageBreak/>
        <w:t xml:space="preserve">The internet is </w:t>
      </w:r>
      <w:r w:rsidRPr="00736456">
        <w:t xml:space="preserve">an effective terrorist recruitment tool. </w:t>
      </w:r>
      <w:r>
        <w:t xml:space="preserve"> </w:t>
      </w:r>
      <w:r w:rsidRPr="00736456">
        <w:t xml:space="preserve">Through chat rooms, websites, and social media pages, one can obtain data on and make contact with radical groups without the risk of alerting authorities through overseas travel. </w:t>
      </w:r>
      <w:r>
        <w:t xml:space="preserve"> In July 2011, Emerson </w:t>
      </w:r>
      <w:proofErr w:type="spellStart"/>
      <w:r>
        <w:t>Begolly</w:t>
      </w:r>
      <w:proofErr w:type="spellEnd"/>
      <w:r>
        <w:t xml:space="preserve"> was indicted for </w:t>
      </w:r>
      <w:r>
        <w:rPr>
          <w:bCs/>
          <w:noProof/>
        </w:rPr>
        <w:t>solicitation to commit a crime of violence and distribution of information relating to explosives, destructive devices and weapons of mass destruction.  He was a known moderator on the Islamic Extremist web forum, Ansar al-Mujahideen English Forum, which is used to promote and distribute jihadist propaganda.</w:t>
      </w:r>
    </w:p>
    <w:p w:rsidR="001D5EFD" w:rsidRPr="00736456" w:rsidRDefault="001D5EFD" w:rsidP="007471A8">
      <w:pPr>
        <w:contextualSpacing/>
      </w:pPr>
    </w:p>
    <w:p w:rsidR="001D5EFD" w:rsidRPr="00EE3979" w:rsidRDefault="001D5EFD" w:rsidP="007471A8">
      <w:pPr>
        <w:contextualSpacing/>
      </w:pPr>
      <w:r w:rsidRPr="00736456">
        <w:t xml:space="preserve">Although the internet may provide a “below-the-radar” introduction to the radical side of Islam, it appears that many would-be terrorists still meet with their sponsors and trainers in person. U.S. citizens </w:t>
      </w:r>
      <w:r>
        <w:t xml:space="preserve">have increasingly </w:t>
      </w:r>
      <w:r w:rsidRPr="00736456">
        <w:t>travel</w:t>
      </w:r>
      <w:r>
        <w:t>ed</w:t>
      </w:r>
      <w:r w:rsidRPr="00736456">
        <w:t xml:space="preserve"> overseas to countries or camps with terrorist ties and then returned to the </w:t>
      </w:r>
      <w:r w:rsidR="00C90C45">
        <w:t>U.S.</w:t>
      </w:r>
      <w:r w:rsidRPr="00736456">
        <w:t xml:space="preserve"> to do harm</w:t>
      </w:r>
      <w:r>
        <w:t xml:space="preserve">.  </w:t>
      </w:r>
      <w:proofErr w:type="spellStart"/>
      <w:r w:rsidRPr="00EE3979">
        <w:rPr>
          <w:rFonts w:eastAsiaTheme="minorHAnsi"/>
        </w:rPr>
        <w:t>Wa’ad</w:t>
      </w:r>
      <w:proofErr w:type="spellEnd"/>
      <w:r w:rsidRPr="00EE3979">
        <w:rPr>
          <w:rFonts w:eastAsiaTheme="minorHAnsi"/>
        </w:rPr>
        <w:t xml:space="preserve"> Ramadan </w:t>
      </w:r>
      <w:proofErr w:type="spellStart"/>
      <w:r w:rsidRPr="00EE3979">
        <w:rPr>
          <w:rFonts w:eastAsiaTheme="minorHAnsi"/>
        </w:rPr>
        <w:t>Alwan</w:t>
      </w:r>
      <w:proofErr w:type="spellEnd"/>
      <w:r w:rsidRPr="00EE3979">
        <w:rPr>
          <w:rFonts w:eastAsiaTheme="minorHAnsi"/>
        </w:rPr>
        <w:t xml:space="preserve"> and </w:t>
      </w:r>
      <w:proofErr w:type="spellStart"/>
      <w:r w:rsidRPr="00EE3979">
        <w:rPr>
          <w:rFonts w:eastAsiaTheme="minorHAnsi"/>
        </w:rPr>
        <w:t>Mohanad</w:t>
      </w:r>
      <w:proofErr w:type="spellEnd"/>
      <w:r w:rsidRPr="00EE3979">
        <w:rPr>
          <w:rFonts w:eastAsiaTheme="minorHAnsi"/>
        </w:rPr>
        <w:t xml:space="preserve"> </w:t>
      </w:r>
      <w:proofErr w:type="spellStart"/>
      <w:r w:rsidRPr="00EE3979">
        <w:rPr>
          <w:rFonts w:eastAsiaTheme="minorHAnsi"/>
        </w:rPr>
        <w:t>Shareef</w:t>
      </w:r>
      <w:proofErr w:type="spellEnd"/>
      <w:r w:rsidRPr="00EE3979">
        <w:rPr>
          <w:rFonts w:eastAsiaTheme="minorHAnsi"/>
        </w:rPr>
        <w:t xml:space="preserve"> </w:t>
      </w:r>
      <w:proofErr w:type="spellStart"/>
      <w:r w:rsidRPr="00EE3979">
        <w:rPr>
          <w:rFonts w:eastAsiaTheme="minorHAnsi"/>
        </w:rPr>
        <w:t>Hammadi</w:t>
      </w:r>
      <w:proofErr w:type="spellEnd"/>
      <w:r>
        <w:rPr>
          <w:rFonts w:eastAsiaTheme="minorHAnsi"/>
        </w:rPr>
        <w:t xml:space="preserve"> were arrested and indicted in May 2011 for attempting to provide material support to al-</w:t>
      </w:r>
      <w:proofErr w:type="spellStart"/>
      <w:r>
        <w:rPr>
          <w:rFonts w:eastAsiaTheme="minorHAnsi"/>
        </w:rPr>
        <w:t>Qa’ida</w:t>
      </w:r>
      <w:proofErr w:type="spellEnd"/>
      <w:r>
        <w:rPr>
          <w:rFonts w:eastAsiaTheme="minorHAnsi"/>
        </w:rPr>
        <w:t xml:space="preserve"> in Iraq (AQI).  Both men had previously been in Iraq, under the direction of AQI, and conducted improvised explosive device (IED) attacks.  </w:t>
      </w:r>
      <w:proofErr w:type="spellStart"/>
      <w:r>
        <w:rPr>
          <w:rFonts w:eastAsiaTheme="minorHAnsi"/>
        </w:rPr>
        <w:t>Alwan</w:t>
      </w:r>
      <w:proofErr w:type="spellEnd"/>
      <w:r>
        <w:rPr>
          <w:rFonts w:eastAsiaTheme="minorHAnsi"/>
        </w:rPr>
        <w:t xml:space="preserve"> was encouraged to come to the </w:t>
      </w:r>
      <w:r w:rsidR="00C90C45">
        <w:rPr>
          <w:rFonts w:eastAsiaTheme="minorHAnsi"/>
        </w:rPr>
        <w:t>U.S.</w:t>
      </w:r>
      <w:r>
        <w:rPr>
          <w:rFonts w:eastAsiaTheme="minorHAnsi"/>
        </w:rPr>
        <w:t>, but not to conduct attacks in the U.S.; however they were still supporting AQI.</w:t>
      </w:r>
    </w:p>
    <w:p w:rsidR="001D5EFD" w:rsidRPr="00736456" w:rsidRDefault="001D5EFD" w:rsidP="007471A8">
      <w:pPr>
        <w:contextualSpacing/>
      </w:pPr>
    </w:p>
    <w:p w:rsidR="001D5EFD" w:rsidRDefault="001D5EFD" w:rsidP="007471A8">
      <w:pPr>
        <w:contextualSpacing/>
      </w:pPr>
      <w:r w:rsidRPr="00736456">
        <w:t xml:space="preserve">While much of the national attention is focused on the substantial threat posed by radicalized religious terrorists who target the Homeland, the </w:t>
      </w:r>
      <w:r w:rsidR="00C90C45">
        <w:t>U.S.</w:t>
      </w:r>
      <w:r w:rsidRPr="00736456">
        <w:t xml:space="preserve"> must also contend with an ongoing threat posed by domestic terrorists based and operating strictly within the </w:t>
      </w:r>
      <w:r w:rsidR="00C90C45">
        <w:t>U.S</w:t>
      </w:r>
      <w:r w:rsidRPr="00736456">
        <w:t xml:space="preserve">.  Domestic terrorists, motivated by a number of political or social issues, continue to use violence and criminal activity to further their agendas. </w:t>
      </w:r>
      <w:r>
        <w:t xml:space="preserve"> In December 2011, Kevin William </w:t>
      </w:r>
      <w:proofErr w:type="spellStart"/>
      <w:r>
        <w:t>Harpham</w:t>
      </w:r>
      <w:proofErr w:type="spellEnd"/>
      <w:r>
        <w:t xml:space="preserve"> was sentenced to 32 years in jail for attempting bomb the Martin Luther King, Jr. Unity March in Spokane, Washington.  </w:t>
      </w:r>
      <w:proofErr w:type="spellStart"/>
      <w:r>
        <w:t>Harpham</w:t>
      </w:r>
      <w:proofErr w:type="spellEnd"/>
      <w:r>
        <w:t xml:space="preserve"> intended to harm participants, which included racial minorities, along the path of the march. </w:t>
      </w:r>
      <w:proofErr w:type="spellStart"/>
      <w:r>
        <w:t>Harpham</w:t>
      </w:r>
      <w:proofErr w:type="spellEnd"/>
      <w:r>
        <w:t xml:space="preserve"> had previously had tie to a white supremacist organization.</w:t>
      </w:r>
    </w:p>
    <w:p w:rsidR="00FC5590" w:rsidRDefault="00FC5590" w:rsidP="007471A8">
      <w:pPr>
        <w:contextualSpacing/>
      </w:pPr>
      <w:r w:rsidRPr="00736456">
        <w:t xml:space="preserve"> </w:t>
      </w:r>
    </w:p>
    <w:p w:rsidR="00FC5590" w:rsidRPr="00E43E89" w:rsidRDefault="00FC5590" w:rsidP="007471A8">
      <w:pPr>
        <w:contextualSpacing/>
      </w:pPr>
      <w:r w:rsidRPr="00E43E89">
        <w:rPr>
          <w:b/>
          <w:bCs/>
          <w:i/>
          <w:iCs/>
        </w:rPr>
        <w:t>Weapons of Mass Destruction Threat:</w:t>
      </w:r>
      <w:r w:rsidRPr="00E43E89">
        <w:t xml:space="preserve">  “Nuclear, chemical and biological weapons pose an increasing global risk despite international non-proliferation treaties.  In an increasingly fragmented world, the chief threats are no longer rival superpowers but unstable states and terrorists.”</w:t>
      </w:r>
    </w:p>
    <w:p w:rsidR="00FC5590" w:rsidRPr="00E43E89" w:rsidRDefault="00FC5590" w:rsidP="007471A8">
      <w:pPr>
        <w:contextualSpacing/>
        <w:rPr>
          <w:i/>
        </w:rPr>
      </w:pPr>
      <w:r w:rsidRPr="00E43E89">
        <w:rPr>
          <w:i/>
        </w:rPr>
        <w:t>- Global Risks 2011 Sixth Edition, An initiative of the Risk Response Network, 2011 World Economic Forums.</w:t>
      </w:r>
    </w:p>
    <w:p w:rsidR="00FC5590" w:rsidRPr="00E43E89" w:rsidRDefault="00FC5590" w:rsidP="007471A8">
      <w:pPr>
        <w:contextualSpacing/>
      </w:pPr>
    </w:p>
    <w:p w:rsidR="00FC5590" w:rsidRPr="00E43E89" w:rsidRDefault="00FC5590" w:rsidP="007471A8">
      <w:pPr>
        <w:contextualSpacing/>
      </w:pPr>
      <w:r w:rsidRPr="00E43E89">
        <w:t xml:space="preserve">The Weapons of Mass Destruction (WMD) threat continues to grow and pose significant danger to the U.S. and its allies.  The U.S. Government has taken decisive and strategic actions to address this threat, however the threat continues to evolve at a rapid pace as the capabilities and agility of those who would do harm to the U.S. and its international allies increase.  In an effort to provide effective risk response to the WMD threat, the FBI has identified four threat areas that constitute the greatest vulnerabilities: </w:t>
      </w:r>
      <w:r w:rsidRPr="00E43E89">
        <w:br/>
        <w:t xml:space="preserve"> </w:t>
      </w:r>
    </w:p>
    <w:p w:rsidR="00FC5590" w:rsidRPr="00E43E89" w:rsidRDefault="00FC5590" w:rsidP="007471A8">
      <w:pPr>
        <w:numPr>
          <w:ilvl w:val="0"/>
          <w:numId w:val="39"/>
        </w:numPr>
        <w:contextualSpacing/>
      </w:pPr>
      <w:r w:rsidRPr="00E43E89">
        <w:rPr>
          <w:b/>
        </w:rPr>
        <w:t>Development and Use of Biological Weapons</w:t>
      </w:r>
      <w:r w:rsidRPr="00E43E89">
        <w:t>, including synthetic and advanced biotechnology</w:t>
      </w:r>
      <w:r w:rsidR="00C5457C">
        <w:t>;</w:t>
      </w:r>
    </w:p>
    <w:p w:rsidR="00FC5590" w:rsidRPr="00E43E89" w:rsidRDefault="00FC5590" w:rsidP="007471A8">
      <w:pPr>
        <w:numPr>
          <w:ilvl w:val="0"/>
          <w:numId w:val="39"/>
        </w:numPr>
        <w:contextualSpacing/>
      </w:pPr>
      <w:r w:rsidRPr="00E43E89">
        <w:rPr>
          <w:b/>
        </w:rPr>
        <w:t>Domestic Acquisition of Chemical Agents</w:t>
      </w:r>
      <w:r w:rsidRPr="00E43E89">
        <w:t>, including the vulnerability of chemical facilities in the U.S.</w:t>
      </w:r>
      <w:r w:rsidR="00C5457C">
        <w:t>;</w:t>
      </w:r>
    </w:p>
    <w:p w:rsidR="00FC5590" w:rsidRPr="00C5457C" w:rsidRDefault="00FC5590" w:rsidP="007471A8">
      <w:pPr>
        <w:numPr>
          <w:ilvl w:val="0"/>
          <w:numId w:val="39"/>
        </w:numPr>
        <w:contextualSpacing/>
      </w:pPr>
      <w:r w:rsidRPr="00E43E89">
        <w:rPr>
          <w:b/>
        </w:rPr>
        <w:t>Proliferation of WMD Materials</w:t>
      </w:r>
      <w:r w:rsidR="00BA2170">
        <w:rPr>
          <w:b/>
        </w:rPr>
        <w:t xml:space="preserve">, </w:t>
      </w:r>
      <w:r w:rsidR="00BA2170" w:rsidRPr="00C5457C">
        <w:t>including dual-use materials that have a wide range of non-nefarious and legitimate uses but could be utilized to develop a WMD capability</w:t>
      </w:r>
      <w:r w:rsidR="00C5457C">
        <w:t>; and</w:t>
      </w:r>
    </w:p>
    <w:p w:rsidR="00FC5590" w:rsidRDefault="00FC5590" w:rsidP="007471A8">
      <w:pPr>
        <w:numPr>
          <w:ilvl w:val="0"/>
          <w:numId w:val="39"/>
        </w:numPr>
        <w:contextualSpacing/>
      </w:pPr>
      <w:r w:rsidRPr="00E43E89">
        <w:rPr>
          <w:b/>
        </w:rPr>
        <w:t>Smuggling and Proliferation of WMD Technology</w:t>
      </w:r>
      <w:r w:rsidRPr="00E43E89">
        <w:t>, including foreign government interest in acquiring Chemical, Biological, Radiological, Nuclear (CBRN) materials and reduced controls over nuclear materials</w:t>
      </w:r>
      <w:r w:rsidR="007471A8">
        <w:t>.</w:t>
      </w:r>
      <w:r w:rsidRPr="00E43E89">
        <w:t xml:space="preserve"> </w:t>
      </w:r>
    </w:p>
    <w:p w:rsidR="007471A8" w:rsidRPr="00E43E89" w:rsidRDefault="007471A8" w:rsidP="007471A8">
      <w:pPr>
        <w:contextualSpacing/>
      </w:pPr>
    </w:p>
    <w:p w:rsidR="00FC5590" w:rsidRPr="00E43E89" w:rsidRDefault="00FC5590" w:rsidP="007471A8">
      <w:pPr>
        <w:contextualSpacing/>
      </w:pPr>
      <w:r w:rsidRPr="00E43E89">
        <w:t xml:space="preserve">As cited in the Director of National Intelligence January 2011 Worldwide Threat Assessment of the U.S. Intelligence Community (USIC) report, “terrorism and the proliferation of WMD remain the greatest </w:t>
      </w:r>
      <w:r w:rsidRPr="00E43E89">
        <w:lastRenderedPageBreak/>
        <w:t xml:space="preserve">threats to the U.S.  The U.S. no longer faces one dominant threat.  Rather, it is the multiplicity and interconnectedness of potential threats-and the actors behind them-that constitute our biggest challenge.”  </w:t>
      </w:r>
    </w:p>
    <w:p w:rsidR="00FC5590" w:rsidRPr="00E43E89" w:rsidRDefault="00FC5590" w:rsidP="007471A8">
      <w:pPr>
        <w:autoSpaceDE w:val="0"/>
        <w:autoSpaceDN w:val="0"/>
        <w:adjustRightInd w:val="0"/>
        <w:contextualSpacing/>
      </w:pPr>
    </w:p>
    <w:p w:rsidR="00FC5590" w:rsidRPr="00E43E89" w:rsidRDefault="00FC5590" w:rsidP="007471A8">
      <w:pPr>
        <w:contextualSpacing/>
      </w:pPr>
      <w:r w:rsidRPr="00E43E89">
        <w:t>USIC agencies assess that, in the next five years, at least one terrorist group will conduct an attack against U.S. interests overseas and possibly against the U.S. Homeland using a biological, chemical, or nuclear weapon, potentially resulting in mass casualties.  The USIC must increase strategic and tactical intelligence and enhance partnerships to minimize WMD vulnerabilities.</w:t>
      </w:r>
    </w:p>
    <w:p w:rsidR="00FC5590" w:rsidRPr="00E43E89" w:rsidRDefault="00FC5590" w:rsidP="007471A8">
      <w:pPr>
        <w:autoSpaceDE w:val="0"/>
        <w:autoSpaceDN w:val="0"/>
        <w:adjustRightInd w:val="0"/>
        <w:contextualSpacing/>
        <w:rPr>
          <w:highlight w:val="yellow"/>
        </w:rPr>
      </w:pPr>
    </w:p>
    <w:p w:rsidR="00FC5590" w:rsidRPr="00896D92" w:rsidRDefault="00FC5590" w:rsidP="007471A8">
      <w:pPr>
        <w:contextualSpacing/>
      </w:pPr>
      <w:r w:rsidRPr="00896D92">
        <w:rPr>
          <w:b/>
          <w:bCs/>
          <w:i/>
          <w:iCs/>
        </w:rPr>
        <w:t>Foreign Intelligence Threat:</w:t>
      </w:r>
      <w:r w:rsidRPr="00896D92">
        <w:t xml:space="preserve">  The foreign intelligence threat to the </w:t>
      </w:r>
      <w:r>
        <w:t>U.S.</w:t>
      </w:r>
      <w:r w:rsidRPr="00896D92">
        <w:t xml:space="preserve"> continues to increase as foreign powers seek to establish economic, military, and political preeminence and to position themselves to compete with the </w:t>
      </w:r>
      <w:r>
        <w:t>U.S.</w:t>
      </w:r>
      <w:r w:rsidRPr="00896D92">
        <w:t xml:space="preserve"> in economic and diplomatic arenas.  The most desirable </w:t>
      </w:r>
      <w:r>
        <w:t>U.S.</w:t>
      </w:r>
      <w:r w:rsidRPr="00896D92">
        <w:t xml:space="preserve"> targets are political and military plans and intentions; technology; and economic institutions, both governmental and non-governmental.  Foreign intelligence services continue to target and recruit </w:t>
      </w:r>
      <w:r>
        <w:t>U.S.</w:t>
      </w:r>
      <w:r w:rsidRPr="00896D92">
        <w:t xml:space="preserve"> travelers abroad to acquire intelligence and information.  Foreign adversaries are increasingly employing non-traditional collectors – e.g., students and visiting scientists, scholars, and businessmen – as well as cyber-based tools to target and penetrate </w:t>
      </w:r>
      <w:r>
        <w:t>U.S.</w:t>
      </w:r>
      <w:r w:rsidRPr="00896D92">
        <w:t xml:space="preserve"> institutions.  </w:t>
      </w:r>
      <w:r w:rsidR="003B6C5B">
        <w:t xml:space="preserve">Examples of this type of threat include </w:t>
      </w:r>
      <w:proofErr w:type="spellStart"/>
      <w:r w:rsidR="003B6C5B">
        <w:t>Dongfan</w:t>
      </w:r>
      <w:proofErr w:type="spellEnd"/>
      <w:r w:rsidR="003B6C5B">
        <w:t xml:space="preserve"> “Greg” Chung.  </w:t>
      </w:r>
      <w:r w:rsidRPr="00896D92">
        <w:t xml:space="preserve">On 16 July 2009, Chung was found guilty of six counts of Economic Espionage, one count of conspiracy to commit Economic Espionage, one count of agent of a Foreign Government, and one count of false statements.  On 9 February 2010, </w:t>
      </w:r>
      <w:r w:rsidR="003B6C5B">
        <w:t xml:space="preserve">he </w:t>
      </w:r>
      <w:r w:rsidRPr="00896D92">
        <w:t xml:space="preserve">was sentenced to more than 15 years in prison. This was the first economic espionage case to go to trial and the first to get a conviction. </w:t>
      </w:r>
    </w:p>
    <w:p w:rsidR="00FC5590" w:rsidRPr="00E43E89" w:rsidRDefault="00FC5590" w:rsidP="007471A8">
      <w:pPr>
        <w:contextualSpacing/>
        <w:rPr>
          <w:highlight w:val="yellow"/>
        </w:rPr>
      </w:pPr>
    </w:p>
    <w:p w:rsidR="00FC5590" w:rsidRPr="00382F9D" w:rsidRDefault="00FC5590" w:rsidP="007471A8">
      <w:pPr>
        <w:contextualSpacing/>
      </w:pPr>
      <w:r w:rsidRPr="00382F9D">
        <w:rPr>
          <w:b/>
          <w:bCs/>
          <w:i/>
          <w:iCs/>
        </w:rPr>
        <w:t>Cyber Threat:</w:t>
      </w:r>
      <w:r w:rsidRPr="00382F9D">
        <w:t xml:space="preserve">  Cyber threats come from a vast array of groups and individuals with </w:t>
      </w:r>
      <w:r w:rsidR="003D5DAE">
        <w:t>varying</w:t>
      </w:r>
      <w:r w:rsidRPr="00382F9D">
        <w:t xml:space="preserve"> skills, motives, and targets.  Terrorists increasingly use the Internet to communicate, conduct operational planning, propagandize, recruit and train operatives, and obtain logistical and financial support.  Foreign governments have the technical and financial resources to support advanced network exploitation, and launch attacks on the </w:t>
      </w:r>
      <w:r>
        <w:t>U.S.</w:t>
      </w:r>
      <w:r w:rsidRPr="00382F9D">
        <w:t xml:space="preserve"> information and physical infrastructure.  Criminal hackers can also pose a national security threat,</w:t>
      </w:r>
      <w:r w:rsidR="003D5DAE">
        <w:t xml:space="preserve"> as the scale and severity of their activities can have a material impact on the nation’s economy and critical infrastructure.  Additionally, their tools, techniques, and procedures can be adopted by nation-state actors and worthy criminals may be</w:t>
      </w:r>
      <w:r w:rsidRPr="00382F9D">
        <w:t xml:space="preserve"> recruited, knowingly or unknowingly, by foreign intelligence or terrorist organizations.  The FBI Computer Intrusions Program continues its efforts to counter increasingly sophisticated and expanding cyber threats in collaboration with its government, private sector, and international partners.</w:t>
      </w:r>
      <w:r w:rsidR="003D5DAE">
        <w:t xml:space="preserve">  The FBI has observed a steady increase in </w:t>
      </w:r>
      <w:proofErr w:type="spellStart"/>
      <w:r w:rsidR="003D5DAE">
        <w:t>cybersecurity</w:t>
      </w:r>
      <w:proofErr w:type="spellEnd"/>
      <w:r w:rsidR="003D5DAE">
        <w:t xml:space="preserve"> incidents with an international nexus.</w:t>
      </w:r>
      <w:r w:rsidRPr="00382F9D">
        <w:t xml:space="preserve">  In </w:t>
      </w:r>
      <w:r w:rsidR="00832CF8">
        <w:t xml:space="preserve">FY 2011, the FBI worked aggressively with our international partners to disrupt an international cyber crime ring that caused more than $74 million in total loses to more than one million computer users through the sale of fraudulent computer security software known as </w:t>
      </w:r>
      <w:proofErr w:type="spellStart"/>
      <w:r w:rsidR="00832CF8">
        <w:t>scareware</w:t>
      </w:r>
      <w:proofErr w:type="spellEnd"/>
      <w:r w:rsidR="00832CF8">
        <w:t xml:space="preserve">.  The FBI also disrupted a large-scale international organized crime scheme that attempted the theft of $220 million, with actual losses of $70 million, from victims’ bank accounts.  </w:t>
      </w:r>
    </w:p>
    <w:p w:rsidR="00FC5590" w:rsidRPr="00382F9D" w:rsidRDefault="00FC5590" w:rsidP="007471A8">
      <w:pPr>
        <w:contextualSpacing/>
      </w:pPr>
    </w:p>
    <w:p w:rsidR="00FC5590" w:rsidRPr="00382F9D" w:rsidRDefault="00FC5590" w:rsidP="007471A8">
      <w:pPr>
        <w:contextualSpacing/>
      </w:pPr>
      <w:r w:rsidRPr="00382F9D">
        <w:t>Regardless of the group or individuals involved, a successful cyber attack can have devastating effects.  Stealing or altering military or intelligence data</w:t>
      </w:r>
      <w:r w:rsidRPr="00382F9D" w:rsidDel="000C0ABB">
        <w:t xml:space="preserve"> </w:t>
      </w:r>
      <w:r w:rsidRPr="00382F9D">
        <w:t xml:space="preserve">can affect national security.  Attacks against national infrastructure can interrupt critical emergency response services, government and military operations, financial services, transportation, and water and power supply.  In addition, cyber fraud activities pose a growing threat to our economy, a fundamental underpinning of </w:t>
      </w:r>
      <w:r>
        <w:t>U.S.</w:t>
      </w:r>
      <w:r w:rsidRPr="00382F9D">
        <w:t xml:space="preserve"> national security.   </w:t>
      </w:r>
    </w:p>
    <w:p w:rsidR="00FC5590" w:rsidRPr="00E43E89" w:rsidRDefault="00FC5590" w:rsidP="007471A8">
      <w:pPr>
        <w:contextualSpacing/>
        <w:rPr>
          <w:highlight w:val="yellow"/>
        </w:rPr>
      </w:pPr>
    </w:p>
    <w:p w:rsidR="00FC5590" w:rsidRPr="00E43E89" w:rsidRDefault="00FC5590" w:rsidP="007471A8">
      <w:pPr>
        <w:contextualSpacing/>
      </w:pPr>
      <w:r w:rsidRPr="00E43E89">
        <w:rPr>
          <w:b/>
          <w:bCs/>
          <w:i/>
          <w:iCs/>
        </w:rPr>
        <w:t>White Collar Crime Threat:</w:t>
      </w:r>
      <w:r w:rsidRPr="00E43E89">
        <w:t xml:space="preserve">  The White Collar Crime (</w:t>
      </w:r>
      <w:smartTag w:uri="urn:schemas-microsoft-com:office:smarttags" w:element="stockticker">
        <w:r w:rsidRPr="00E43E89">
          <w:t>WCC</w:t>
        </w:r>
      </w:smartTag>
      <w:r w:rsidRPr="00E43E89">
        <w:t xml:space="preserve">) program addresses the following principle threats: public corruption including government fraud, economic stimulus fraud, and border corruption; corporate and securities fraud; mortgage fraud and other financial institution fraud; health care fraud; money laundering; and other complex financial crimes.  </w:t>
      </w:r>
    </w:p>
    <w:p w:rsidR="00FC5590" w:rsidRPr="00E43E89" w:rsidRDefault="00FC5590" w:rsidP="007471A8">
      <w:pPr>
        <w:numPr>
          <w:ilvl w:val="0"/>
          <w:numId w:val="29"/>
        </w:numPr>
        <w:contextualSpacing/>
      </w:pPr>
      <w:r w:rsidRPr="00E43E89">
        <w:rPr>
          <w:u w:val="single"/>
        </w:rPr>
        <w:lastRenderedPageBreak/>
        <w:t>Public Corruption:</w:t>
      </w:r>
      <w:r w:rsidRPr="00E43E89">
        <w:t xml:space="preserve">  </w:t>
      </w:r>
    </w:p>
    <w:p w:rsidR="00FC5590" w:rsidRPr="00E43E89" w:rsidRDefault="00FC5590" w:rsidP="007471A8">
      <w:pPr>
        <w:numPr>
          <w:ilvl w:val="0"/>
          <w:numId w:val="30"/>
        </w:numPr>
        <w:tabs>
          <w:tab w:val="clear" w:pos="360"/>
        </w:tabs>
        <w:ind w:left="540"/>
        <w:contextualSpacing/>
        <w:rPr>
          <w:u w:val="single"/>
        </w:rPr>
      </w:pPr>
      <w:r w:rsidRPr="00E43E89">
        <w:t xml:space="preserve">Public Corruption involves the corruption of local, state, and federally elected, appointed, or contracted officials which undermines our democratic institutions and threatens public safety and national security.  Government fraud affects how well </w:t>
      </w:r>
      <w:r>
        <w:t>U.S.</w:t>
      </w:r>
      <w:r w:rsidRPr="00E43E89">
        <w:t xml:space="preserve"> borders are secured and neighborhoods </w:t>
      </w:r>
      <w:proofErr w:type="gramStart"/>
      <w:r w:rsidRPr="00E43E89">
        <w:t>protected,</w:t>
      </w:r>
      <w:proofErr w:type="gramEnd"/>
      <w:r w:rsidRPr="00E43E89">
        <w:t xml:space="preserve"> how verdicts are handed down in court, and the quality of public infrastructure such as schools and roads.  Many taxpayer dollars are wasted or lost as a result of corrupt acts by public officials.  </w:t>
      </w:r>
    </w:p>
    <w:p w:rsidR="00FC5590" w:rsidRPr="00E43E89" w:rsidRDefault="00FC5590" w:rsidP="007471A8">
      <w:pPr>
        <w:contextualSpacing/>
        <w:rPr>
          <w:u w:val="single"/>
        </w:rPr>
      </w:pPr>
    </w:p>
    <w:p w:rsidR="00FC5590" w:rsidRPr="00E43E89" w:rsidRDefault="00FC5590" w:rsidP="007471A8">
      <w:pPr>
        <w:numPr>
          <w:ilvl w:val="0"/>
          <w:numId w:val="29"/>
        </w:numPr>
        <w:contextualSpacing/>
        <w:rPr>
          <w:u w:val="single"/>
        </w:rPr>
      </w:pPr>
      <w:r w:rsidRPr="00E43E89">
        <w:rPr>
          <w:u w:val="single"/>
        </w:rPr>
        <w:t>Economic Stimulus Fraud</w:t>
      </w:r>
      <w:r w:rsidRPr="00E43E89">
        <w:t xml:space="preserve">: </w:t>
      </w:r>
    </w:p>
    <w:p w:rsidR="00FC5590" w:rsidRPr="00E43E89" w:rsidRDefault="00FC5590" w:rsidP="007471A8">
      <w:pPr>
        <w:numPr>
          <w:ilvl w:val="0"/>
          <w:numId w:val="20"/>
        </w:numPr>
        <w:ind w:left="540"/>
        <w:contextualSpacing/>
      </w:pPr>
      <w:r w:rsidRPr="00E43E89">
        <w:t xml:space="preserve">The FBI </w:t>
      </w:r>
      <w:r w:rsidR="005842DA">
        <w:t xml:space="preserve">has already seen examples of how </w:t>
      </w:r>
      <w:r w:rsidRPr="00E43E89">
        <w:t xml:space="preserve">the influx of $787 billion in American Recovery and Reinvestment Act (ARRA) stimulus funding </w:t>
      </w:r>
      <w:r w:rsidR="005842DA">
        <w:t>has resulted</w:t>
      </w:r>
      <w:r w:rsidRPr="00E43E89">
        <w:t xml:space="preserve"> in a myriad of fraudulent schemes.  FBI intelligence analys</w:t>
      </w:r>
      <w:r w:rsidR="005842DA">
        <w:t>ts were quick to identify</w:t>
      </w:r>
      <w:r w:rsidRPr="00E43E89">
        <w:t xml:space="preserve"> potential vulnerabilities related to the rapid implementation of the programs, the distribution of funds, and the </w:t>
      </w:r>
      <w:r w:rsidR="005842DA">
        <w:t>inadequate</w:t>
      </w:r>
      <w:r w:rsidR="005842DA" w:rsidRPr="00E43E89">
        <w:t xml:space="preserve"> </w:t>
      </w:r>
      <w:r w:rsidRPr="00E43E89">
        <w:t xml:space="preserve">oversight of spending.  </w:t>
      </w:r>
      <w:r w:rsidR="005842DA">
        <w:t>V</w:t>
      </w:r>
      <w:r w:rsidRPr="00E43E89">
        <w:t xml:space="preserve">ulnerabilities </w:t>
      </w:r>
      <w:r w:rsidR="005842DA">
        <w:t xml:space="preserve">have </w:t>
      </w:r>
      <w:r w:rsidRPr="00E43E89">
        <w:t>include</w:t>
      </w:r>
      <w:r w:rsidR="005842DA">
        <w:t>d</w:t>
      </w:r>
      <w:r w:rsidRPr="00E43E89">
        <w:t xml:space="preserve"> insufficient staffing levels and oversight in the government acquisition system, distribution requirements mandating swift spending by state and local government, and special interest groups earmarking monies for pet projects.  Of particular vulnerability to corruption and fraud was money provided to localities for “shovel-ready” projects.  Given historical precedent and preliminary open-source reports alleging lack of oversight, accountability, and transparency within the ARRA, the potential for increased levels of public corruption is high.</w:t>
      </w:r>
    </w:p>
    <w:p w:rsidR="00FC5590" w:rsidRPr="00E43E89" w:rsidRDefault="00FC5590" w:rsidP="007471A8">
      <w:pPr>
        <w:ind w:left="1296"/>
        <w:contextualSpacing/>
      </w:pPr>
    </w:p>
    <w:p w:rsidR="00FC5590" w:rsidRPr="00E43E89" w:rsidRDefault="00FC5590" w:rsidP="007471A8">
      <w:pPr>
        <w:numPr>
          <w:ilvl w:val="0"/>
          <w:numId w:val="19"/>
        </w:numPr>
        <w:ind w:left="540"/>
        <w:contextualSpacing/>
      </w:pPr>
      <w:r w:rsidRPr="00E43E89">
        <w:rPr>
          <w:bCs/>
        </w:rPr>
        <w:t xml:space="preserve">The FBI </w:t>
      </w:r>
      <w:r w:rsidR="005842DA">
        <w:rPr>
          <w:bCs/>
        </w:rPr>
        <w:t>is prepared for</w:t>
      </w:r>
      <w:r w:rsidR="005842DA" w:rsidRPr="00E43E89">
        <w:rPr>
          <w:bCs/>
        </w:rPr>
        <w:t xml:space="preserve"> </w:t>
      </w:r>
      <w:r w:rsidRPr="00E43E89">
        <w:rPr>
          <w:bCs/>
        </w:rPr>
        <w:t>corruption, government fraud, and corporate fraud during the administration of approximately $700 billion by the U.S. Department of the Treasury through the Troubled Asset Relief Program (TARP) established as part of the Emergency Economic Stabilization Act (EESA).</w:t>
      </w:r>
    </w:p>
    <w:p w:rsidR="00FC5590" w:rsidRPr="00E43E89" w:rsidRDefault="00FC5590" w:rsidP="007471A8">
      <w:pPr>
        <w:ind w:left="1296"/>
        <w:contextualSpacing/>
      </w:pPr>
    </w:p>
    <w:p w:rsidR="00FC5590" w:rsidRPr="00E43E89" w:rsidRDefault="00FC5590" w:rsidP="007471A8">
      <w:pPr>
        <w:numPr>
          <w:ilvl w:val="0"/>
          <w:numId w:val="18"/>
        </w:numPr>
        <w:ind w:left="540"/>
        <w:contextualSpacing/>
      </w:pPr>
      <w:r w:rsidRPr="00E43E89">
        <w:rPr>
          <w:bCs/>
        </w:rPr>
        <w:t xml:space="preserve">The FBI </w:t>
      </w:r>
      <w:r w:rsidR="005842DA">
        <w:rPr>
          <w:bCs/>
        </w:rPr>
        <w:t xml:space="preserve">is also prepared to respond to an </w:t>
      </w:r>
      <w:r w:rsidRPr="00E43E89">
        <w:rPr>
          <w:bCs/>
        </w:rPr>
        <w:t xml:space="preserve">increase in fraud and public corruption related to the Housing and Economic Recovery Act of 2008 (HERA).  HERA authorized the establishment of the Neighborhood Stabilization Program (NSP), which will appropriate $3.92 billion to states and local governments for the management and redevelopment of abandoned and foreclosed homes.  Additionally, the ARRA provides an additional $2 billion in competitive grants for NSP use. </w:t>
      </w:r>
      <w:r w:rsidRPr="00E43E89">
        <w:rPr>
          <w:b/>
          <w:bCs/>
        </w:rPr>
        <w:t xml:space="preserve"> </w:t>
      </w:r>
      <w:r w:rsidRPr="00E43E89">
        <w:rPr>
          <w:bCs/>
        </w:rPr>
        <w:t xml:space="preserve">Through the NSP, the U.S. Department of Housing and Urban Development (HUD) will manage the distribution of funds through community development block grants (CDBG).  Based on a study of foreclosed properties, 308 state and local governments (grantees) were chosen to receive CDBGs.  </w:t>
      </w:r>
    </w:p>
    <w:p w:rsidR="00FC5590" w:rsidRPr="00E43E89" w:rsidRDefault="00FC5590" w:rsidP="007471A8">
      <w:pPr>
        <w:contextualSpacing/>
      </w:pPr>
    </w:p>
    <w:p w:rsidR="00FC5590" w:rsidRPr="00E43E89" w:rsidRDefault="00FC5590" w:rsidP="007471A8">
      <w:pPr>
        <w:numPr>
          <w:ilvl w:val="0"/>
          <w:numId w:val="9"/>
        </w:numPr>
        <w:tabs>
          <w:tab w:val="num" w:pos="360"/>
        </w:tabs>
        <w:ind w:left="360"/>
        <w:contextualSpacing/>
      </w:pPr>
      <w:r w:rsidRPr="00E43E89">
        <w:rPr>
          <w:u w:val="single"/>
        </w:rPr>
        <w:t>Border Corruption</w:t>
      </w:r>
      <w:r w:rsidRPr="00E43E89">
        <w:t xml:space="preserve">: </w:t>
      </w:r>
    </w:p>
    <w:p w:rsidR="00FC5590" w:rsidRPr="00E43E89" w:rsidRDefault="00FC5590" w:rsidP="007471A8">
      <w:pPr>
        <w:numPr>
          <w:ilvl w:val="0"/>
          <w:numId w:val="31"/>
        </w:numPr>
        <w:tabs>
          <w:tab w:val="clear" w:pos="576"/>
        </w:tabs>
        <w:contextualSpacing/>
      </w:pPr>
      <w:r w:rsidRPr="00E43E89">
        <w:t xml:space="preserve">The Federal Government is responsible for protecting approximately 7,000 miles of the </w:t>
      </w:r>
      <w:r>
        <w:t>U.S.</w:t>
      </w:r>
      <w:r w:rsidRPr="00E43E89">
        <w:t xml:space="preserve"> border and 95,000 miles of shoreline.  Each day, approximately 1.1 million persons visit the </w:t>
      </w:r>
      <w:smartTag w:uri="urn:schemas-microsoft-com:office:smarttags" w:element="country-region">
        <w:smartTag w:uri="urn:schemas-microsoft-com:office:smarttags" w:element="place">
          <w:r w:rsidRPr="00E43E89">
            <w:t>U.S.</w:t>
          </w:r>
        </w:smartTag>
      </w:smartTag>
      <w:r w:rsidRPr="00E43E89">
        <w:t xml:space="preserve"> and enter through one of the 327 official Ports of Entry (POEs) located along the southwestern and northern land borders of the </w:t>
      </w:r>
      <w:smartTag w:uri="urn:schemas-microsoft-com:office:smarttags" w:element="country-region">
        <w:smartTag w:uri="urn:schemas-microsoft-com:office:smarttags" w:element="place">
          <w:r w:rsidRPr="00E43E89">
            <w:t>U.S.</w:t>
          </w:r>
        </w:smartTag>
      </w:smartTag>
      <w:r w:rsidRPr="00E43E89">
        <w:t>, as well as at seaports and international airports.  The documented presence of corrupt border officials facilitates a wide range of illegal activities along the northern and southern borders.  Resource-rich cartels and criminal enterprises employ a variety of methods in order to target and recruit U.S. Border Patrol Agents, Customs and Border Protection Officers, and local police officers who can facilitate criminal activity.  Corrupt officials assist the</w:t>
      </w:r>
      <w:r w:rsidR="005842DA">
        <w:t xml:space="preserve">se entities </w:t>
      </w:r>
      <w:r w:rsidRPr="00E43E89">
        <w:t xml:space="preserve">by providing intelligence and contraband across these borders.  To help address this threat, the Border Corruption Initiative (BCI) was established in 2009.  The BCI has developed a threat </w:t>
      </w:r>
      <w:proofErr w:type="spellStart"/>
      <w:r w:rsidRPr="00E43E89">
        <w:t>tiering</w:t>
      </w:r>
      <w:proofErr w:type="spellEnd"/>
      <w:r w:rsidRPr="00E43E89">
        <w:t xml:space="preserve"> methodology, targeting border corruption in all land, air, and sea ports of entry to mitigate the threat posed to national security.  The FBI has established the National </w:t>
      </w:r>
      <w:r w:rsidRPr="00E43E89">
        <w:lastRenderedPageBreak/>
        <w:t xml:space="preserve">Border Corruption Task Force (NBCTF) and 21 Border Corruption Task Forces (BCTFs) in high risk cities along the northern and southern borders. </w:t>
      </w:r>
    </w:p>
    <w:p w:rsidR="00FC5590" w:rsidRPr="00E43E89" w:rsidRDefault="00FC5590" w:rsidP="007471A8">
      <w:pPr>
        <w:ind w:left="360"/>
        <w:contextualSpacing/>
      </w:pPr>
    </w:p>
    <w:p w:rsidR="00FC5590" w:rsidRPr="00E43E89" w:rsidRDefault="00FC5590" w:rsidP="007471A8">
      <w:pPr>
        <w:numPr>
          <w:ilvl w:val="0"/>
          <w:numId w:val="9"/>
        </w:numPr>
        <w:tabs>
          <w:tab w:val="num" w:pos="360"/>
        </w:tabs>
        <w:ind w:left="360"/>
        <w:contextualSpacing/>
      </w:pPr>
      <w:r w:rsidRPr="00E43E89">
        <w:rPr>
          <w:u w:val="single"/>
        </w:rPr>
        <w:t>Corporate Fraud</w:t>
      </w:r>
      <w:r w:rsidRPr="00E43E89">
        <w:t xml:space="preserve">:  </w:t>
      </w:r>
    </w:p>
    <w:p w:rsidR="00FC5590" w:rsidRPr="00E43E89" w:rsidRDefault="00FC5590" w:rsidP="00561262">
      <w:pPr>
        <w:numPr>
          <w:ilvl w:val="0"/>
          <w:numId w:val="32"/>
        </w:numPr>
        <w:tabs>
          <w:tab w:val="clear" w:pos="576"/>
        </w:tabs>
        <w:contextualSpacing/>
      </w:pPr>
      <w:r w:rsidRPr="00E43E89">
        <w:t xml:space="preserve">As the lead agency investigating corporate fraud, the FBI focuses on cases that involve accounting schemes, self-dealing corporate executives, and obstruction of justice.  In these cases, investors, auditors, and analysts are deceived about the true condition of a corporation.  </w:t>
      </w:r>
      <w:r w:rsidRPr="00E43E89">
        <w:rPr>
          <w:color w:val="000000"/>
        </w:rPr>
        <w:t>Through the manipulation of financial data, the share price of a corporation remains artificially inflated based on fictitious performance indicators provided to the investing public.  In addition to significant financial losses to investors, corporate fraud has the potential to cause immeasurable damage to the U.S. economy and investor confidence.</w:t>
      </w:r>
    </w:p>
    <w:p w:rsidR="00FC5590" w:rsidRPr="00E43E89" w:rsidRDefault="00FC5590" w:rsidP="007471A8">
      <w:pPr>
        <w:ind w:left="216" w:hanging="306"/>
        <w:contextualSpacing/>
      </w:pPr>
    </w:p>
    <w:p w:rsidR="00FC5590" w:rsidRPr="00E43E89" w:rsidRDefault="00FC5590" w:rsidP="007471A8">
      <w:pPr>
        <w:numPr>
          <w:ilvl w:val="0"/>
          <w:numId w:val="32"/>
        </w:numPr>
        <w:tabs>
          <w:tab w:val="clear" w:pos="576"/>
        </w:tabs>
        <w:contextualSpacing/>
        <w:rPr>
          <w:color w:val="000000"/>
        </w:rPr>
      </w:pPr>
      <w:r w:rsidRPr="00E43E89">
        <w:rPr>
          <w:color w:val="000000"/>
        </w:rPr>
        <w:t xml:space="preserve">Examples of Corporate Fraud include: </w:t>
      </w:r>
    </w:p>
    <w:p w:rsidR="00FC5590" w:rsidRPr="00E43E89" w:rsidRDefault="00FC5590" w:rsidP="007471A8">
      <w:pPr>
        <w:numPr>
          <w:ilvl w:val="1"/>
          <w:numId w:val="21"/>
        </w:numPr>
        <w:ind w:hanging="306"/>
        <w:contextualSpacing/>
        <w:rPr>
          <w:color w:val="666666"/>
        </w:rPr>
      </w:pPr>
      <w:r w:rsidRPr="00E43E89">
        <w:rPr>
          <w:color w:val="000000"/>
        </w:rPr>
        <w:t>Falsification of financial information, including:</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False accounting entries</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Bogus trades designed to inflate profit or hide losses</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False transactions designed to evade regulatory oversight</w:t>
      </w:r>
    </w:p>
    <w:p w:rsidR="00FC5590" w:rsidRPr="00E43E89" w:rsidRDefault="00FC5590" w:rsidP="007471A8">
      <w:pPr>
        <w:numPr>
          <w:ilvl w:val="1"/>
          <w:numId w:val="21"/>
        </w:numPr>
        <w:ind w:hanging="306"/>
        <w:contextualSpacing/>
        <w:rPr>
          <w:color w:val="666666"/>
        </w:rPr>
      </w:pPr>
      <w:r w:rsidRPr="00E43E89">
        <w:rPr>
          <w:color w:val="000000"/>
        </w:rPr>
        <w:t>Self-dealing by corporate insiders, including:</w:t>
      </w:r>
    </w:p>
    <w:p w:rsidR="00FC5590" w:rsidRPr="00E43E89" w:rsidRDefault="00FC5590" w:rsidP="007471A8">
      <w:pPr>
        <w:numPr>
          <w:ilvl w:val="2"/>
          <w:numId w:val="21"/>
        </w:numPr>
        <w:ind w:hanging="306"/>
        <w:contextualSpacing/>
        <w:rPr>
          <w:color w:val="666666"/>
        </w:rPr>
      </w:pPr>
      <w:r w:rsidRPr="00E43E89">
        <w:rPr>
          <w:color w:val="000000"/>
        </w:rPr>
        <w:t>Insider Trading</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Kickbacks</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Backdating of Executive Stock Option</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Misuse of corporate property for personal gain</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Individual tax violations related to self-dealing</w:t>
      </w:r>
    </w:p>
    <w:p w:rsidR="00FC5590" w:rsidRPr="00E43E89" w:rsidRDefault="00FC5590" w:rsidP="007471A8">
      <w:pPr>
        <w:numPr>
          <w:ilvl w:val="1"/>
          <w:numId w:val="21"/>
        </w:numPr>
        <w:ind w:hanging="306"/>
        <w:contextualSpacing/>
        <w:rPr>
          <w:color w:val="666666"/>
        </w:rPr>
      </w:pPr>
      <w:r w:rsidRPr="00E43E89">
        <w:rPr>
          <w:color w:val="000000"/>
        </w:rPr>
        <w:t xml:space="preserve">Fraud in connection with an otherwise legitimately-operated mutual or hedge fund, including: </w:t>
      </w:r>
    </w:p>
    <w:p w:rsidR="00FC5590" w:rsidRPr="00E43E89" w:rsidRDefault="00FC5590" w:rsidP="007471A8">
      <w:pPr>
        <w:numPr>
          <w:ilvl w:val="2"/>
          <w:numId w:val="21"/>
        </w:numPr>
        <w:ind w:hanging="306"/>
        <w:contextualSpacing/>
        <w:rPr>
          <w:color w:val="666666"/>
        </w:rPr>
      </w:pPr>
      <w:r w:rsidRPr="00E43E89">
        <w:rPr>
          <w:color w:val="000000"/>
        </w:rPr>
        <w:t xml:space="preserve">Late Trading </w:t>
      </w:r>
    </w:p>
    <w:p w:rsidR="00FC5590" w:rsidRPr="00E43E89" w:rsidRDefault="00FC5590" w:rsidP="007471A8">
      <w:pPr>
        <w:numPr>
          <w:ilvl w:val="2"/>
          <w:numId w:val="21"/>
        </w:numPr>
        <w:ind w:hanging="306"/>
        <w:contextualSpacing/>
        <w:rPr>
          <w:color w:val="666666"/>
        </w:rPr>
      </w:pPr>
      <w:r w:rsidRPr="00E43E89">
        <w:rPr>
          <w:color w:val="000000"/>
        </w:rPr>
        <w:t>Certain market timing schemes</w:t>
      </w:r>
      <w:r w:rsidRPr="00E43E89">
        <w:rPr>
          <w:color w:val="666666"/>
        </w:rPr>
        <w:t xml:space="preserve"> </w:t>
      </w:r>
    </w:p>
    <w:p w:rsidR="00FC5590" w:rsidRPr="00E43E89" w:rsidRDefault="00FC5590" w:rsidP="007471A8">
      <w:pPr>
        <w:numPr>
          <w:ilvl w:val="2"/>
          <w:numId w:val="21"/>
        </w:numPr>
        <w:ind w:hanging="306"/>
        <w:contextualSpacing/>
        <w:rPr>
          <w:color w:val="666666"/>
        </w:rPr>
      </w:pPr>
      <w:r w:rsidRPr="00E43E89">
        <w:rPr>
          <w:color w:val="000000"/>
        </w:rPr>
        <w:t>Falsification of net asset values</w:t>
      </w:r>
      <w:r w:rsidRPr="00E43E89">
        <w:rPr>
          <w:color w:val="666666"/>
        </w:rPr>
        <w:t xml:space="preserve"> </w:t>
      </w:r>
    </w:p>
    <w:p w:rsidR="007471A8" w:rsidRPr="007471A8" w:rsidRDefault="00FC5590" w:rsidP="007471A8">
      <w:pPr>
        <w:numPr>
          <w:ilvl w:val="2"/>
          <w:numId w:val="21"/>
        </w:numPr>
        <w:ind w:hanging="302"/>
        <w:contextualSpacing/>
        <w:rPr>
          <w:color w:val="666666"/>
        </w:rPr>
      </w:pPr>
      <w:r w:rsidRPr="00E43E89">
        <w:rPr>
          <w:color w:val="000000"/>
        </w:rPr>
        <w:t>Other fraudulent or abusive trading practices by, within, or involving a mutual or hedge fund</w:t>
      </w:r>
    </w:p>
    <w:p w:rsidR="00461B28" w:rsidRDefault="00FC5590" w:rsidP="007471A8">
      <w:pPr>
        <w:numPr>
          <w:ilvl w:val="1"/>
          <w:numId w:val="21"/>
        </w:numPr>
        <w:ind w:hanging="302"/>
        <w:contextualSpacing/>
        <w:rPr>
          <w:color w:val="000000"/>
        </w:rPr>
      </w:pPr>
      <w:r w:rsidRPr="00E43E89">
        <w:rPr>
          <w:color w:val="000000"/>
        </w:rPr>
        <w:t>Obstruction of justice designed to conceal any of the above-noted types of criminal conduct, particularly when the obstruction impedes the inquiries of the Securities and Exchange Commission (</w:t>
      </w:r>
      <w:smartTag w:uri="urn:schemas-microsoft-com:office:smarttags" w:element="stockticker">
        <w:r w:rsidRPr="00E43E89">
          <w:rPr>
            <w:color w:val="000000"/>
          </w:rPr>
          <w:t>SEC</w:t>
        </w:r>
      </w:smartTag>
      <w:r w:rsidRPr="00E43E89">
        <w:rPr>
          <w:color w:val="000000"/>
        </w:rPr>
        <w:t>), other regulatory agencies, and/or law enforcement agencies.</w:t>
      </w:r>
    </w:p>
    <w:p w:rsidR="007471A8" w:rsidRDefault="007471A8" w:rsidP="007471A8">
      <w:pPr>
        <w:ind w:left="1440"/>
        <w:contextualSpacing/>
        <w:rPr>
          <w:color w:val="000000"/>
        </w:rPr>
      </w:pPr>
    </w:p>
    <w:p w:rsidR="00461B28" w:rsidRPr="00461B28" w:rsidRDefault="00FC5590" w:rsidP="007471A8">
      <w:pPr>
        <w:contextualSpacing/>
        <w:rPr>
          <w:u w:val="single"/>
        </w:rPr>
      </w:pPr>
      <w:r w:rsidRPr="00461B28">
        <w:rPr>
          <w:u w:val="single"/>
        </w:rPr>
        <w:t xml:space="preserve">Securities Fraud:  </w:t>
      </w:r>
    </w:p>
    <w:p w:rsidR="00FC5590" w:rsidRPr="00E43E89" w:rsidRDefault="00FC5590" w:rsidP="00561262">
      <w:pPr>
        <w:pStyle w:val="ListParagraph"/>
        <w:numPr>
          <w:ilvl w:val="0"/>
          <w:numId w:val="40"/>
        </w:numPr>
        <w:tabs>
          <w:tab w:val="clear" w:pos="540"/>
        </w:tabs>
        <w:ind w:left="576"/>
        <w:contextualSpacing/>
      </w:pPr>
      <w:r w:rsidRPr="00461B28">
        <w:t>The FBI focuses its efforts in the securities fraud arena to schemes involving high yield investment</w:t>
      </w:r>
      <w:r w:rsidRPr="00E43E89">
        <w:t xml:space="preserve"> fraud (to include </w:t>
      </w:r>
      <w:proofErr w:type="spellStart"/>
      <w:r w:rsidRPr="00E43E89">
        <w:t>Ponzi</w:t>
      </w:r>
      <w:proofErr w:type="spellEnd"/>
      <w:r w:rsidRPr="00E43E89">
        <w:t xml:space="preserve"> schemes), market manipulation, and commodities fraud.  Due to the recent financial crisis, the FBI saw an unprecedented rise in the identification of </w:t>
      </w:r>
      <w:proofErr w:type="spellStart"/>
      <w:r w:rsidRPr="00E43E89">
        <w:t>Ponzi</w:t>
      </w:r>
      <w:proofErr w:type="spellEnd"/>
      <w:r w:rsidRPr="00E43E89">
        <w:t xml:space="preserve"> and other high yield investment fraud schemes, many of which involve thousands of victims and staggering losses.  Indeed, the FBI continues to open new </w:t>
      </w:r>
      <w:proofErr w:type="spellStart"/>
      <w:r w:rsidRPr="00E43E89">
        <w:t>Ponzi</w:t>
      </w:r>
      <w:proofErr w:type="spellEnd"/>
      <w:r w:rsidRPr="00E43E89">
        <w:t xml:space="preserve"> scheme cases on a weekly basis.  With this trend, and the development of new schemes, such as stock market manipulation via cyber intrusion, securities fraud is on the rise.  Over the last five years, securities fraud investigations have increased by 47 percent.  </w:t>
      </w:r>
    </w:p>
    <w:p w:rsidR="00FC5590" w:rsidRPr="00E43E89" w:rsidRDefault="00FC5590" w:rsidP="00561262">
      <w:pPr>
        <w:ind w:left="576" w:hanging="360"/>
        <w:contextualSpacing/>
      </w:pPr>
    </w:p>
    <w:p w:rsidR="00FC5590" w:rsidRPr="00E43E89" w:rsidRDefault="00FC5590" w:rsidP="00561262">
      <w:pPr>
        <w:numPr>
          <w:ilvl w:val="0"/>
          <w:numId w:val="33"/>
        </w:numPr>
        <w:tabs>
          <w:tab w:val="clear" w:pos="360"/>
        </w:tabs>
        <w:ind w:left="576"/>
        <w:contextualSpacing/>
      </w:pPr>
      <w:r w:rsidRPr="00E43E89">
        <w:t xml:space="preserve">The FBI has adopted an intelligence-led approach to identifying and targeting the most egregious perpetrators of securities fraud, utilizing undercover operations to identify and stop perpetrators before they are able to victimize individuals and damage the financial markets.  Securities and Futures Industries Suspicious Activity Reports (SARs) contain some of the best intelligence </w:t>
      </w:r>
      <w:r w:rsidRPr="00E43E89">
        <w:lastRenderedPageBreak/>
        <w:t xml:space="preserve">available to criminal and regulatory law enforcement personnel.  In 2009, </w:t>
      </w:r>
      <w:smartTag w:uri="urn:schemas-microsoft-com:office:smarttags" w:element="stockticker">
        <w:r w:rsidRPr="00E43E89">
          <w:t>CID</w:t>
        </w:r>
      </w:smartTag>
      <w:r w:rsidRPr="00E43E89">
        <w:t xml:space="preserve"> established a process to better exploit this intelligence to identify new securities fraud schemes and perpetrators.  With the coordinated effort of special agents and intelligence analysts, these SARs are analyzed on a national level, leading to the creation of targeting packages which are presented to relevant field offices to open investigations.  Among the schemes that were identified through this process is a significant insider trading scheme that is now under investigation.</w:t>
      </w:r>
    </w:p>
    <w:p w:rsidR="00FC5590" w:rsidRPr="00E43E89" w:rsidRDefault="00FC5590" w:rsidP="00561262">
      <w:pPr>
        <w:ind w:left="576" w:hanging="360"/>
        <w:contextualSpacing/>
      </w:pPr>
    </w:p>
    <w:p w:rsidR="008B0DE2" w:rsidRDefault="00FC5590" w:rsidP="00561262">
      <w:pPr>
        <w:numPr>
          <w:ilvl w:val="0"/>
          <w:numId w:val="33"/>
        </w:numPr>
        <w:tabs>
          <w:tab w:val="clear" w:pos="360"/>
        </w:tabs>
        <w:ind w:left="576"/>
        <w:contextualSpacing/>
      </w:pPr>
      <w:r w:rsidRPr="00CF153A">
        <w:rPr>
          <w:color w:val="000000"/>
        </w:rPr>
        <w:t xml:space="preserve">Corporate fraud, </w:t>
      </w:r>
      <w:r w:rsidR="008B0DE2" w:rsidRPr="00CF153A">
        <w:rPr>
          <w:color w:val="000000"/>
        </w:rPr>
        <w:t xml:space="preserve">along with securities and commodities </w:t>
      </w:r>
      <w:proofErr w:type="gramStart"/>
      <w:r w:rsidR="008B0DE2" w:rsidRPr="00CF153A">
        <w:rPr>
          <w:color w:val="000000"/>
        </w:rPr>
        <w:t>fraud,</w:t>
      </w:r>
      <w:proofErr w:type="gramEnd"/>
      <w:r w:rsidR="008B0DE2" w:rsidRPr="00CF153A">
        <w:rPr>
          <w:color w:val="000000"/>
        </w:rPr>
        <w:t xml:space="preserve"> remain the highest priorities of the FBI Financial Crimes Section and the FBI is committed to the dealing with the significant crime problem.  </w:t>
      </w:r>
      <w:r w:rsidR="008B0DE2">
        <w:t xml:space="preserve">Since 2001, FBI special agent resources dedicated to corporate and securities/commodities fraud has increased 97 percent (177 to 350 agents) while the caseload has increased at roughly the same pace (1,263 to 2,572 cases) during that time period.  The return on investment for these resources is significant: since 2001, the FBI averages 277 arrests, 568 information and indictments, and 483 convictions per year.  These cases have resulted in billions of dollars in restitutions, recoveries, fines, and asset forfeitures. </w:t>
      </w:r>
      <w:r w:rsidR="00CF153A">
        <w:t xml:space="preserve"> </w:t>
      </w:r>
      <w:r w:rsidR="008B0DE2">
        <w:t>From FY 2008 through FY 2011, the FBI realized restitutions, recoveries, fines and forfeitures of $18.8 billion from corporate fraud matters, and $17.6 billion for securities/commodities fraud matters.  These resulted in an average of $47.9 million per corporate fraud agent utilized, and $21.8 million per securities/com</w:t>
      </w:r>
      <w:r w:rsidR="00CF153A">
        <w:t xml:space="preserve">modities fraud agent utilized. </w:t>
      </w:r>
    </w:p>
    <w:p w:rsidR="00CF153A" w:rsidRDefault="00CF153A" w:rsidP="007471A8">
      <w:pPr>
        <w:contextualSpacing/>
      </w:pPr>
    </w:p>
    <w:p w:rsidR="00FC5590" w:rsidRPr="00E43E89" w:rsidRDefault="00FC5590" w:rsidP="007471A8">
      <w:pPr>
        <w:numPr>
          <w:ilvl w:val="0"/>
          <w:numId w:val="10"/>
        </w:numPr>
        <w:tabs>
          <w:tab w:val="num" w:pos="360"/>
        </w:tabs>
        <w:ind w:hanging="396"/>
        <w:contextualSpacing/>
      </w:pPr>
      <w:r w:rsidRPr="00E43E89">
        <w:rPr>
          <w:u w:val="single"/>
        </w:rPr>
        <w:t>Mortgage Fraud, and Other Financial Institution Fraud</w:t>
      </w:r>
      <w:r w:rsidRPr="00E43E89">
        <w:t xml:space="preserve">: </w:t>
      </w:r>
    </w:p>
    <w:p w:rsidR="00B76DEE" w:rsidRDefault="00B76DEE" w:rsidP="00561262">
      <w:pPr>
        <w:pStyle w:val="ListParagraph"/>
        <w:numPr>
          <w:ilvl w:val="0"/>
          <w:numId w:val="58"/>
        </w:numPr>
        <w:ind w:left="576"/>
        <w:contextualSpacing/>
      </w:pPr>
      <w:r>
        <w:t>Mortgage fraud, a subset of financial institution fraud, continues to absorb considerable FBI resources while showing no signs of subsidence.  At the start of 2</w:t>
      </w:r>
      <w:r>
        <w:rPr>
          <w:vertAlign w:val="superscript"/>
        </w:rPr>
        <w:t>nd</w:t>
      </w:r>
      <w:r>
        <w:t xml:space="preserve"> Quarter FY 2012, approximately 72 percent of the FBI’s 2,590 mortgage fraud cases involved losses exceeding $1 million per case.   The FBI received over 93,000 SARs in FY 2011, the highest number ever.  FBI intelligence predicts mortgage fraud will remain at elevated levels during FY 2012, due in significant part to an increase in fraud targeting distressed homeowners. Foreclosure actions, which are the best predictor of distressed homeowner fraud, are predicted by industry analyst </w:t>
      </w:r>
      <w:proofErr w:type="spellStart"/>
      <w:r>
        <w:t>RealtyTrac</w:t>
      </w:r>
      <w:proofErr w:type="spellEnd"/>
      <w:r>
        <w:t xml:space="preserve"> to remain at elevated levels for the foreseeable future.    </w:t>
      </w:r>
    </w:p>
    <w:p w:rsidR="00FC5590" w:rsidRPr="00E43E89" w:rsidRDefault="00FC5590" w:rsidP="007471A8">
      <w:pPr>
        <w:contextualSpacing/>
      </w:pPr>
    </w:p>
    <w:p w:rsidR="00FC5590" w:rsidRPr="00E43E89" w:rsidRDefault="00FC5590" w:rsidP="007471A8">
      <w:pPr>
        <w:numPr>
          <w:ilvl w:val="0"/>
          <w:numId w:val="23"/>
        </w:numPr>
        <w:contextualSpacing/>
      </w:pPr>
      <w:r w:rsidRPr="00E43E89">
        <w:t>The majority of FBI Mortgage Fraud cases are broken into three types of schemes:</w:t>
      </w:r>
    </w:p>
    <w:p w:rsidR="00FC5590" w:rsidRPr="00E43E89" w:rsidRDefault="00FC5590" w:rsidP="007471A8">
      <w:pPr>
        <w:numPr>
          <w:ilvl w:val="1"/>
          <w:numId w:val="23"/>
        </w:numPr>
        <w:contextualSpacing/>
      </w:pPr>
      <w:r w:rsidRPr="00E43E89">
        <w:rPr>
          <w:u w:val="single"/>
        </w:rPr>
        <w:t>Loan Origination Schemes</w:t>
      </w:r>
      <w:r w:rsidRPr="00E43E89">
        <w:t>.  Borrowers and real estate insiders provide false financial information and documentation as part of the loan application package and false appraisals.</w:t>
      </w:r>
    </w:p>
    <w:p w:rsidR="00FC5590" w:rsidRPr="00E43E89" w:rsidRDefault="00FC5590" w:rsidP="007471A8">
      <w:pPr>
        <w:numPr>
          <w:ilvl w:val="1"/>
          <w:numId w:val="23"/>
        </w:numPr>
        <w:contextualSpacing/>
      </w:pPr>
      <w:r w:rsidRPr="00E43E89">
        <w:t xml:space="preserve">Illegal </w:t>
      </w:r>
      <w:r w:rsidRPr="00E43E89">
        <w:rPr>
          <w:u w:val="single"/>
        </w:rPr>
        <w:t>property-flipping</w:t>
      </w:r>
      <w:r w:rsidRPr="00E43E89">
        <w:t xml:space="preserve"> occurs when a property is resold for a profit at an artificially inflated price shortly after being acquired by the seller.  The key to this scheme is the fraudulent appraisal. </w:t>
      </w:r>
    </w:p>
    <w:p w:rsidR="007471A8" w:rsidRDefault="00FC5590" w:rsidP="007471A8">
      <w:pPr>
        <w:numPr>
          <w:ilvl w:val="1"/>
          <w:numId w:val="23"/>
        </w:numPr>
        <w:contextualSpacing/>
      </w:pPr>
      <w:r w:rsidRPr="00E43E89">
        <w:t xml:space="preserve">Builders employ </w:t>
      </w:r>
      <w:r w:rsidRPr="00E43E89">
        <w:rPr>
          <w:u w:val="single"/>
        </w:rPr>
        <w:t>bailout schemes</w:t>
      </w:r>
      <w:r w:rsidRPr="00E43E89">
        <w:t xml:space="preserve"> to offset losses and circumvent excessive debt and potential bankruptcy as home sales suffer from escalating foreclosures, rising inventory, and declining demand.  One type of Builder Bail-Out Scheme is the Condo Conversion.  Builders entice individuals into purchasing the excess inventory by offering excessive incentives to buyers, including cash back at close, prepayment of homeowner association dues and other fees, and significant upgrades, all of which are undisclosed to the lender.  The perpetrators artificially inflate the value of the condo to offset</w:t>
      </w:r>
      <w:r w:rsidR="007471A8">
        <w:t xml:space="preserve"> the cost of these incentives.</w:t>
      </w:r>
    </w:p>
    <w:p w:rsidR="007471A8" w:rsidRDefault="007471A8">
      <w:r>
        <w:br w:type="page"/>
      </w:r>
    </w:p>
    <w:p w:rsidR="00FC5590" w:rsidRPr="00E43E89" w:rsidRDefault="00FC5590" w:rsidP="00561262">
      <w:pPr>
        <w:numPr>
          <w:ilvl w:val="0"/>
          <w:numId w:val="23"/>
        </w:numPr>
        <w:ind w:left="576"/>
        <w:contextualSpacing/>
      </w:pPr>
      <w:r w:rsidRPr="00E43E89">
        <w:lastRenderedPageBreak/>
        <w:t>Commercial Real Estate (</w:t>
      </w:r>
      <w:smartTag w:uri="urn:schemas-microsoft-com:office:smarttags" w:element="stockticker">
        <w:r w:rsidRPr="00E43E89">
          <w:t>CRE</w:t>
        </w:r>
      </w:smartTag>
      <w:r w:rsidRPr="00E43E89">
        <w:t>) fraud is another emerging threat:</w:t>
      </w:r>
    </w:p>
    <w:p w:rsidR="00FC5590" w:rsidRPr="00E43E89" w:rsidRDefault="00FC5590" w:rsidP="007471A8">
      <w:pPr>
        <w:numPr>
          <w:ilvl w:val="1"/>
          <w:numId w:val="23"/>
        </w:numPr>
        <w:contextualSpacing/>
      </w:pPr>
      <w:r w:rsidRPr="00E43E89">
        <w:t xml:space="preserve">All economic indicators point to a </w:t>
      </w:r>
      <w:smartTag w:uri="urn:schemas-microsoft-com:office:smarttags" w:element="stockticker">
        <w:r w:rsidRPr="00E43E89">
          <w:t>CRE</w:t>
        </w:r>
      </w:smartTag>
      <w:r w:rsidRPr="00E43E89">
        <w:t xml:space="preserve"> crisis which would cause billions of dollars in losses to financial institutions, and result in or contribute to the failure of numerous financial institutions.</w:t>
      </w:r>
    </w:p>
    <w:p w:rsidR="00FC5590" w:rsidRPr="00E43E89" w:rsidRDefault="00FC5590" w:rsidP="007471A8">
      <w:pPr>
        <w:ind w:left="1080"/>
        <w:contextualSpacing/>
      </w:pPr>
    </w:p>
    <w:p w:rsidR="00FC5590" w:rsidRPr="00E43E89" w:rsidRDefault="00FC5590" w:rsidP="00F0004F">
      <w:pPr>
        <w:numPr>
          <w:ilvl w:val="0"/>
          <w:numId w:val="23"/>
        </w:numPr>
        <w:ind w:left="576"/>
        <w:contextualSpacing/>
      </w:pPr>
      <w:r w:rsidRPr="00E43E89">
        <w:t xml:space="preserve">The FBI is using an intelligence-driven approach to combat mortgage fraud, including: </w:t>
      </w:r>
    </w:p>
    <w:p w:rsidR="00FC5590" w:rsidRPr="00E43E89" w:rsidRDefault="00FC5590" w:rsidP="007471A8">
      <w:pPr>
        <w:numPr>
          <w:ilvl w:val="1"/>
          <w:numId w:val="23"/>
        </w:numPr>
        <w:contextualSpacing/>
      </w:pPr>
      <w:r w:rsidRPr="00E43E89">
        <w:t>Establishment of the Financial Intelligence Center (</w:t>
      </w:r>
      <w:smartTag w:uri="urn:schemas-microsoft-com:office:smarttags" w:element="stockticker">
        <w:r w:rsidRPr="00E43E89">
          <w:t>FIC</w:t>
        </w:r>
      </w:smartTag>
      <w:r w:rsidRPr="00E43E89">
        <w:t xml:space="preserve">), which is issuing targeting packages that focus on the most egregious offenders. </w:t>
      </w:r>
    </w:p>
    <w:p w:rsidR="00FC5590" w:rsidRPr="00E43E89" w:rsidRDefault="00FC5590" w:rsidP="007471A8">
      <w:pPr>
        <w:numPr>
          <w:ilvl w:val="1"/>
          <w:numId w:val="22"/>
        </w:numPr>
        <w:contextualSpacing/>
      </w:pPr>
      <w:r w:rsidRPr="00E43E89">
        <w:t>Formation of 23 Mortgage Fraud Task Forces in high-risk areas.</w:t>
      </w:r>
    </w:p>
    <w:p w:rsidR="00FC5590" w:rsidRPr="00E43E89" w:rsidRDefault="00FC5590" w:rsidP="007471A8">
      <w:pPr>
        <w:numPr>
          <w:ilvl w:val="1"/>
          <w:numId w:val="22"/>
        </w:numPr>
        <w:contextualSpacing/>
      </w:pPr>
      <w:r w:rsidRPr="00E43E89">
        <w:t xml:space="preserve">Proactive Undercover Operations and human source penetration. </w:t>
      </w:r>
    </w:p>
    <w:p w:rsidR="00FC5590" w:rsidRPr="00E43E89" w:rsidRDefault="00FC5590" w:rsidP="007471A8">
      <w:pPr>
        <w:numPr>
          <w:ilvl w:val="1"/>
          <w:numId w:val="22"/>
        </w:numPr>
        <w:contextualSpacing/>
      </w:pPr>
      <w:r w:rsidRPr="00E43E89">
        <w:t xml:space="preserve">“Fast Track” </w:t>
      </w:r>
      <w:proofErr w:type="gramStart"/>
      <w:r w:rsidRPr="00E43E89">
        <w:t>approach</w:t>
      </w:r>
      <w:proofErr w:type="gramEnd"/>
      <w:r w:rsidRPr="00E43E89">
        <w:t xml:space="preserve"> to identify targets, approach quickly, and obtain cooperation.</w:t>
      </w:r>
    </w:p>
    <w:p w:rsidR="00FC5590" w:rsidRDefault="00FC5590" w:rsidP="007471A8">
      <w:pPr>
        <w:numPr>
          <w:ilvl w:val="1"/>
          <w:numId w:val="22"/>
        </w:numPr>
        <w:contextualSpacing/>
      </w:pPr>
      <w:r w:rsidRPr="00E43E89">
        <w:t xml:space="preserve">Analytical tools such as the Property Flip database and an enhanced SAR review process.  </w:t>
      </w:r>
    </w:p>
    <w:p w:rsidR="00683EB1" w:rsidRDefault="00683EB1" w:rsidP="007471A8">
      <w:pPr>
        <w:ind w:left="1440"/>
        <w:contextualSpacing/>
      </w:pPr>
    </w:p>
    <w:p w:rsidR="00683EB1" w:rsidRDefault="00683EB1" w:rsidP="00561262">
      <w:pPr>
        <w:numPr>
          <w:ilvl w:val="0"/>
          <w:numId w:val="22"/>
        </w:numPr>
        <w:ind w:left="576"/>
        <w:contextualSpacing/>
      </w:pPr>
      <w:r>
        <w:t>Since 2007, the FBI has tripled Special Agent and Intelligence Analyst resources investigating mortgage fraud.  The average mortgage fraud case time prior to sentencing was more than three years in FY 2011, indicating that these cases are highly complex and resource intensive.    Over 85</w:t>
      </w:r>
      <w:r w:rsidR="00C90C45">
        <w:t xml:space="preserve"> percent</w:t>
      </w:r>
      <w:r>
        <w:t xml:space="preserve"> of all FBI mortgage fraud cases target industry insiders, indicating the FBI is working quality cases and targeting the most egregious offenders.  The return on investment (ROI) for each Special Agent utilized in FY 2011 was $4.3 million (based on recoveries &amp; restitutions per agent).  This figure doesn’t include asset forfeitures and seizures or fines, which account for millions more in aggregate each year.</w:t>
      </w:r>
    </w:p>
    <w:p w:rsidR="00683EB1" w:rsidRPr="00E43E89" w:rsidRDefault="00683EB1" w:rsidP="007471A8">
      <w:pPr>
        <w:ind w:left="540"/>
        <w:contextualSpacing/>
      </w:pPr>
    </w:p>
    <w:p w:rsidR="00FC5590" w:rsidRPr="00E43E89" w:rsidRDefault="00FC5590" w:rsidP="007471A8">
      <w:pPr>
        <w:numPr>
          <w:ilvl w:val="0"/>
          <w:numId w:val="8"/>
        </w:numPr>
        <w:tabs>
          <w:tab w:val="clear" w:pos="576"/>
        </w:tabs>
        <w:ind w:left="360"/>
        <w:contextualSpacing/>
      </w:pPr>
      <w:r w:rsidRPr="00E43E89">
        <w:rPr>
          <w:u w:val="single"/>
        </w:rPr>
        <w:t>Health Care Fraud</w:t>
      </w:r>
      <w:r w:rsidRPr="00E43E89">
        <w:t xml:space="preserve">: </w:t>
      </w:r>
    </w:p>
    <w:p w:rsidR="00FC5590" w:rsidRPr="00E43E89" w:rsidRDefault="00FC5590" w:rsidP="00561262">
      <w:pPr>
        <w:numPr>
          <w:ilvl w:val="0"/>
          <w:numId w:val="35"/>
        </w:numPr>
        <w:tabs>
          <w:tab w:val="clear" w:pos="576"/>
        </w:tabs>
        <w:contextualSpacing/>
      </w:pPr>
      <w:r w:rsidRPr="00E43E89">
        <w:t xml:space="preserve">Total health care expenditures in the </w:t>
      </w:r>
      <w:r>
        <w:t>U.S.</w:t>
      </w:r>
      <w:r w:rsidRPr="00E43E89">
        <w:t xml:space="preserve"> </w:t>
      </w:r>
      <w:r w:rsidR="003F3F24">
        <w:t>are expected to</w:t>
      </w:r>
      <w:r w:rsidRPr="00E43E89">
        <w:t xml:space="preserve"> surpass the $4 trillion mark by 2015, representing a 139 percent increase or more than double the $1.67 trillion in expenditures for 2003.  This creates an environment prevalent to fraud, as the National Health Care Anti-Fraud Association (NHCAA) estimates conservatively that 3 to 5 percent of total health care expenses are fraudulent, resulting in an estimated $60-$100 billion in health care losses.  The independent National Insurance Crime Bureau (NICB) estimates that health care fraud </w:t>
      </w:r>
      <w:r w:rsidR="003F3F24">
        <w:t xml:space="preserve">currently </w:t>
      </w:r>
      <w:r w:rsidRPr="00E43E89">
        <w:t>exceeds $130 billion annually.</w:t>
      </w:r>
    </w:p>
    <w:p w:rsidR="00FC5590" w:rsidRPr="00E43E89" w:rsidRDefault="00FC5590" w:rsidP="00561262">
      <w:pPr>
        <w:ind w:left="576" w:hanging="360"/>
        <w:contextualSpacing/>
      </w:pPr>
    </w:p>
    <w:p w:rsidR="00FC5590" w:rsidRPr="00E43E89" w:rsidRDefault="00FC5590" w:rsidP="00561262">
      <w:pPr>
        <w:numPr>
          <w:ilvl w:val="0"/>
          <w:numId w:val="25"/>
        </w:numPr>
        <w:tabs>
          <w:tab w:val="clear" w:pos="576"/>
        </w:tabs>
        <w:contextualSpacing/>
      </w:pPr>
      <w:r w:rsidRPr="00E43E89">
        <w:t xml:space="preserve">Today, the FBI seeks to infiltrate illicit operation and terminate scams involving staged auto accidents, online pharmacies, Durable Medical Equipment, outpatient surgery centers, counterfeit pharmaceuticals, nursing homes, hospital chains, and transportation services.  Besides the federal health benefit programs of Medicare and Medicaid, private insurance programs lose billions of dollars each year to blatant fraud schemes in every sector of the industry.  </w:t>
      </w:r>
    </w:p>
    <w:p w:rsidR="00FC5590" w:rsidRPr="00E43E89" w:rsidRDefault="00FC5590" w:rsidP="00561262">
      <w:pPr>
        <w:ind w:left="576" w:hanging="360"/>
        <w:contextualSpacing/>
      </w:pPr>
    </w:p>
    <w:p w:rsidR="00FC5590" w:rsidRPr="00E43E89" w:rsidRDefault="005842DA" w:rsidP="00561262">
      <w:pPr>
        <w:numPr>
          <w:ilvl w:val="0"/>
          <w:numId w:val="24"/>
        </w:numPr>
        <w:tabs>
          <w:tab w:val="clear" w:pos="576"/>
        </w:tabs>
        <w:contextualSpacing/>
      </w:pPr>
      <w:r>
        <w:t>Despite a drop of 6 percent</w:t>
      </w:r>
      <w:r>
        <w:rPr>
          <w:color w:val="1F497D"/>
        </w:rPr>
        <w:t xml:space="preserve"> </w:t>
      </w:r>
      <w:r>
        <w:t>in health care fraud cases since 2001 (FY 2001: 2,870 / FY 2011: 2,690), the average jail sentence has significantly increased during that timeframe, from 16 to 27 months, illustrating that the FBI is targeting the worst offenders.  Meanwhile, health care fraud cases prove to be extremely resource intensive as the average time from case initiation</w:t>
      </w:r>
      <w:r>
        <w:rPr>
          <w:color w:val="1F497D"/>
        </w:rPr>
        <w:t xml:space="preserve"> </w:t>
      </w:r>
      <w:r>
        <w:t>to sentencing was 31 months per health care fraud case in FY 2011.</w:t>
      </w:r>
    </w:p>
    <w:p w:rsidR="00FC5590" w:rsidRPr="00E43E89" w:rsidRDefault="00FC5590" w:rsidP="007471A8">
      <w:pPr>
        <w:ind w:left="576"/>
        <w:contextualSpacing/>
      </w:pPr>
    </w:p>
    <w:p w:rsidR="00FC5590" w:rsidRPr="00E43E89" w:rsidRDefault="00FC5590" w:rsidP="007471A8">
      <w:pPr>
        <w:numPr>
          <w:ilvl w:val="0"/>
          <w:numId w:val="11"/>
        </w:numPr>
        <w:ind w:left="360"/>
        <w:contextualSpacing/>
      </w:pPr>
      <w:r w:rsidRPr="00E43E89">
        <w:rPr>
          <w:u w:val="single"/>
        </w:rPr>
        <w:t>Money Laundering:</w:t>
      </w:r>
      <w:r w:rsidRPr="00E43E89">
        <w:t xml:space="preserve"> </w:t>
      </w:r>
    </w:p>
    <w:p w:rsidR="00FC5590" w:rsidRPr="00E43E89" w:rsidRDefault="00FC5590" w:rsidP="00561262">
      <w:pPr>
        <w:numPr>
          <w:ilvl w:val="0"/>
          <w:numId w:val="36"/>
        </w:numPr>
        <w:tabs>
          <w:tab w:val="clear" w:pos="576"/>
        </w:tabs>
        <w:contextualSpacing/>
      </w:pPr>
      <w:r w:rsidRPr="00E43E89">
        <w:t xml:space="preserve">Money </w:t>
      </w:r>
      <w:r>
        <w:t>l</w:t>
      </w:r>
      <w:r w:rsidRPr="00E43E89">
        <w:t xml:space="preserve">aundering allows criminals to infuse illegal money into the stream of commerce, thus corrupting financial institutions and the money supply; this provides the criminals with unwarranted economic power.  The FBI investigates money laundering cases by identifying the process by which criminals conceal or disguise the proceeds of their crimes or convert those proceeds into goods and services.  The major threats in this area stem from emerging technologies, </w:t>
      </w:r>
      <w:r w:rsidRPr="00E43E89">
        <w:lastRenderedPageBreak/>
        <w:t>such as stored value devices, pre-paid gift cards, and reloadable debit cards, which are used to move criminal proceeds.  Shell corporations are used as well to conceal the ownership of funds being moved through financial institutions and international commerce.  This has created a “shadow” banking system, allowing criminals to exploit existing vulnerabilities in the reporting requirements that are imposed on financial institutions and international travelers.</w:t>
      </w:r>
    </w:p>
    <w:p w:rsidR="005842DA" w:rsidRDefault="005842DA" w:rsidP="007471A8">
      <w:pPr>
        <w:ind w:left="576"/>
        <w:contextualSpacing/>
      </w:pPr>
    </w:p>
    <w:p w:rsidR="006C079E" w:rsidRDefault="002F7C9D" w:rsidP="007471A8">
      <w:pPr>
        <w:ind w:left="576"/>
        <w:contextualSpacing/>
      </w:pPr>
      <w:r>
        <w:t xml:space="preserve">At the end of FY 2011, the FBI had 307 open money laundering investigations, yet money laundering violations occur across all programs – from counterterrorism to organized crime to gangs – and are contained as pieces of higher priority investigations.  </w:t>
      </w:r>
    </w:p>
    <w:p w:rsidR="00FC5590" w:rsidRPr="00E43E89" w:rsidRDefault="00FC5590" w:rsidP="007471A8">
      <w:pPr>
        <w:contextualSpacing/>
      </w:pPr>
    </w:p>
    <w:p w:rsidR="00FC5590" w:rsidRPr="00E43E89" w:rsidRDefault="00FC5590" w:rsidP="007471A8">
      <w:pPr>
        <w:numPr>
          <w:ilvl w:val="0"/>
          <w:numId w:val="37"/>
        </w:numPr>
        <w:ind w:left="360"/>
        <w:contextualSpacing/>
      </w:pPr>
      <w:r w:rsidRPr="00E43E89">
        <w:rPr>
          <w:u w:val="single"/>
        </w:rPr>
        <w:t>Other Complex Financial Crimes (Insurance, Bankruptcy, and Mass Marketing Fraud)</w:t>
      </w:r>
      <w:r w:rsidRPr="00E43E89">
        <w:t xml:space="preserve">: </w:t>
      </w:r>
    </w:p>
    <w:p w:rsidR="00FC5590" w:rsidRDefault="00FC5590" w:rsidP="00561262">
      <w:pPr>
        <w:numPr>
          <w:ilvl w:val="0"/>
          <w:numId w:val="38"/>
        </w:numPr>
        <w:tabs>
          <w:tab w:val="clear" w:pos="576"/>
        </w:tabs>
        <w:contextualSpacing/>
      </w:pPr>
      <w:r w:rsidRPr="00E43E89">
        <w:t>The FBI anticipates insurance fraud to continue to increase, contributing to increases in insurance premiums as well as threatening the financial viability of insurance companies.</w:t>
      </w:r>
    </w:p>
    <w:p w:rsidR="00FC5590" w:rsidRDefault="00FC5590" w:rsidP="00561262">
      <w:pPr>
        <w:ind w:left="576" w:hanging="360"/>
        <w:contextualSpacing/>
      </w:pPr>
    </w:p>
    <w:p w:rsidR="00FC5590" w:rsidRPr="007110CC" w:rsidRDefault="002F7C9D" w:rsidP="00561262">
      <w:pPr>
        <w:numPr>
          <w:ilvl w:val="0"/>
          <w:numId w:val="38"/>
        </w:numPr>
        <w:contextualSpacing/>
      </w:pPr>
      <w:r>
        <w:t xml:space="preserve">Since 2006, the year after bankruptcy laws were changed to make it more difficult for an individual to discharge all debts, bankruptcy filings have significantly increased each year.  The potential for fraud within bankruptcy is large.  According to the most recent data, there will be over 1.5 million bankruptcy filings in 2012.  </w:t>
      </w:r>
    </w:p>
    <w:p w:rsidR="00FC5590" w:rsidRPr="00E43E89" w:rsidRDefault="00FC5590" w:rsidP="007471A8">
      <w:pPr>
        <w:contextualSpacing/>
        <w:rPr>
          <w:b/>
          <w:bCs/>
          <w:highlight w:val="yellow"/>
        </w:rPr>
      </w:pPr>
    </w:p>
    <w:p w:rsidR="00FC5590" w:rsidRPr="00382F9D" w:rsidRDefault="00FC5590" w:rsidP="007471A8">
      <w:pPr>
        <w:autoSpaceDE w:val="0"/>
        <w:autoSpaceDN w:val="0"/>
        <w:adjustRightInd w:val="0"/>
        <w:contextualSpacing/>
      </w:pPr>
      <w:r w:rsidRPr="00382F9D">
        <w:rPr>
          <w:b/>
          <w:bCs/>
          <w:i/>
          <w:iCs/>
        </w:rPr>
        <w:t>Gang Violence:</w:t>
      </w:r>
      <w:r w:rsidRPr="00382F9D">
        <w:t xml:space="preserve">  Across the country, violent street gangs operate with impunity in communities of all sizes: urban, suburban and rural areas.  According to law enforcement officials throughout the nation, criminal gangs commit as much as 80 percent of the crime in our communities.  FBI Violent Gang Safe Streets Task Forces (VGSSTFs) report that violent street gangs, whether they are neighborhood based or national gangs, are a top threat to our communities followed by prison gangs and outlaw motorcycle gangs. </w:t>
      </w:r>
    </w:p>
    <w:p w:rsidR="00FC5590" w:rsidRPr="00382F9D" w:rsidRDefault="00FC5590" w:rsidP="007471A8">
      <w:pPr>
        <w:contextualSpacing/>
      </w:pPr>
    </w:p>
    <w:p w:rsidR="00FC5590" w:rsidRPr="00E43E89" w:rsidRDefault="00FC5590" w:rsidP="007471A8">
      <w:pPr>
        <w:contextualSpacing/>
        <w:rPr>
          <w:highlight w:val="yellow"/>
        </w:rPr>
      </w:pPr>
      <w:r w:rsidRPr="00382F9D">
        <w:t>Gangs continue to proliferate and commit violent crime</w:t>
      </w:r>
      <w:r w:rsidR="003F3F24">
        <w:t xml:space="preserve"> and</w:t>
      </w:r>
      <w:r w:rsidRPr="00382F9D">
        <w:t xml:space="preserve"> are expanding to suburban and rural areas.  This migration is believed to be a result of better organized urban gangs expanding their criminal networks into new market areas in suburban and rural locations, where they can absorb local unaffiliated gangs or use violence to intimidate them.  As these expanding gangs encounter resistance from local gangs or other drug distributors in these </w:t>
      </w:r>
      <w:proofErr w:type="gramStart"/>
      <w:r w:rsidRPr="00382F9D">
        <w:t>communities</w:t>
      </w:r>
      <w:proofErr w:type="gramEnd"/>
      <w:r w:rsidRPr="00382F9D">
        <w:t xml:space="preserve"> violent crimes such as assaults, drive-by shootings, and murders can be expected</w:t>
      </w:r>
      <w:r w:rsidR="003F3F24">
        <w:t xml:space="preserve"> to increase</w:t>
      </w:r>
      <w:r w:rsidRPr="00382F9D">
        <w:t xml:space="preserve">.  The direct economic impact of gang activity in the </w:t>
      </w:r>
      <w:r>
        <w:t>U.S.</w:t>
      </w:r>
      <w:r w:rsidR="003F3F24">
        <w:t xml:space="preserve"> is estimated</w:t>
      </w:r>
      <w:r w:rsidRPr="00382F9D">
        <w:t xml:space="preserve"> at $5 billion and the indirect impact as much greater.</w:t>
      </w:r>
      <w:r w:rsidRPr="00E43E89">
        <w:rPr>
          <w:highlight w:val="yellow"/>
        </w:rPr>
        <w:t xml:space="preserve"> </w:t>
      </w:r>
    </w:p>
    <w:p w:rsidR="006C079E" w:rsidRDefault="006C079E" w:rsidP="007471A8">
      <w:pPr>
        <w:contextualSpacing/>
        <w:rPr>
          <w:b/>
          <w:bCs/>
          <w:i/>
          <w:iCs/>
        </w:rPr>
      </w:pPr>
    </w:p>
    <w:p w:rsidR="00FC5590" w:rsidRPr="00E43E89" w:rsidRDefault="00FC5590" w:rsidP="007471A8">
      <w:pPr>
        <w:contextualSpacing/>
      </w:pPr>
      <w:r w:rsidRPr="00E43E89">
        <w:rPr>
          <w:b/>
          <w:bCs/>
          <w:i/>
          <w:iCs/>
        </w:rPr>
        <w:t>Transnational Criminal Organizations and Enterprises:</w:t>
      </w:r>
      <w:r w:rsidRPr="00E43E89">
        <w:rPr>
          <w:b/>
          <w:bCs/>
        </w:rPr>
        <w:t xml:space="preserve">  </w:t>
      </w:r>
      <w:r w:rsidRPr="00E43E89">
        <w:t>Transnational organized crime</w:t>
      </w:r>
      <w:r>
        <w:t xml:space="preserve"> (</w:t>
      </w:r>
      <w:r w:rsidR="00645660">
        <w:t>T</w:t>
      </w:r>
      <w:r>
        <w:t>OC)</w:t>
      </w:r>
      <w:r w:rsidRPr="00E43E89">
        <w:t xml:space="preserve"> is an immediate and increasing concern of the domestic and international law enforcement and intelligence communities.  Geopolitical, economic, social, and technological changes within the last two decades have allowed these criminal enterprises to become increasingly active worldwide, and includes the following distinct groups: Eurasian Organizations that have emerged since the fall of the Soviet Union; Asian Criminal Enterprises; traditional organizations such as the La Cosa Nostra (LCN) and Italian Organized Crime; Balkan Organized Crime; Middle Eastern Criminal Enterprises, and African Criminal Enterprises.  </w:t>
      </w:r>
    </w:p>
    <w:p w:rsidR="00FC5590" w:rsidRPr="00E43E89" w:rsidRDefault="00FC5590" w:rsidP="007471A8">
      <w:pPr>
        <w:ind w:left="216"/>
        <w:contextualSpacing/>
      </w:pPr>
    </w:p>
    <w:p w:rsidR="00FC5590" w:rsidRPr="00E43E89" w:rsidRDefault="00FC5590" w:rsidP="007471A8">
      <w:pPr>
        <w:tabs>
          <w:tab w:val="left" w:pos="1440"/>
          <w:tab w:val="left" w:pos="2880"/>
          <w:tab w:val="left" w:pos="3600"/>
        </w:tabs>
        <w:contextualSpacing/>
      </w:pPr>
      <w:r w:rsidRPr="00E43E89">
        <w:t xml:space="preserve">In response to this growing threat, the FBI’s Organized Crime Program established a Eurasian Threat Focus Unit (ETFU) to develop a comprehensive understanding of existing and emerging Eurasian organized crime threats both domestically and internationally. The ETFU is staffed by tactical and strategic Intelligence Analysts, Forensic Accountants, and Supervisory Special Agents who are focused exclusively on obtaining and synthesizing intelligence from various sources.  These sources include, but </w:t>
      </w:r>
      <w:r w:rsidRPr="00E43E89">
        <w:lastRenderedPageBreak/>
        <w:t xml:space="preserve">are not limited to, FBI field offices, Legal Attaches (LEGATS), international law enforcement and intelligence partners, and the </w:t>
      </w:r>
      <w:r>
        <w:t>U.S.</w:t>
      </w:r>
      <w:r w:rsidRPr="00E43E89">
        <w:t xml:space="preserve"> Intelligence Community (USIC).</w:t>
      </w:r>
    </w:p>
    <w:p w:rsidR="00FC5590" w:rsidRPr="00E43E89" w:rsidRDefault="00FC5590" w:rsidP="007471A8">
      <w:pPr>
        <w:tabs>
          <w:tab w:val="left" w:pos="1440"/>
          <w:tab w:val="left" w:pos="2880"/>
          <w:tab w:val="left" w:pos="3600"/>
        </w:tabs>
        <w:contextualSpacing/>
      </w:pPr>
    </w:p>
    <w:p w:rsidR="00FC5590" w:rsidRPr="00E43E89" w:rsidRDefault="00FC5590" w:rsidP="007471A8">
      <w:pPr>
        <w:tabs>
          <w:tab w:val="left" w:pos="1440"/>
          <w:tab w:val="left" w:pos="2880"/>
          <w:tab w:val="left" w:pos="3600"/>
        </w:tabs>
        <w:contextualSpacing/>
      </w:pPr>
      <w:r w:rsidRPr="00E43E89">
        <w:t xml:space="preserve">The ETFU targets Eurasian criminal organizations to include the </w:t>
      </w:r>
      <w:proofErr w:type="spellStart"/>
      <w:r w:rsidRPr="00E43E89">
        <w:t>Semion</w:t>
      </w:r>
      <w:proofErr w:type="spellEnd"/>
      <w:r w:rsidRPr="00E43E89">
        <w:t xml:space="preserve"> </w:t>
      </w:r>
      <w:proofErr w:type="spellStart"/>
      <w:r w:rsidRPr="00E43E89">
        <w:t>Mogilevich</w:t>
      </w:r>
      <w:proofErr w:type="spellEnd"/>
      <w:r w:rsidRPr="00E43E89">
        <w:t xml:space="preserve"> Organization, the Brothers’ Circle Organization, and the </w:t>
      </w:r>
      <w:proofErr w:type="spellStart"/>
      <w:r w:rsidRPr="00E43E89">
        <w:t>Izmailovo</w:t>
      </w:r>
      <w:proofErr w:type="spellEnd"/>
      <w:r w:rsidRPr="00E43E89">
        <w:t xml:space="preserve"> and </w:t>
      </w:r>
      <w:proofErr w:type="spellStart"/>
      <w:r w:rsidRPr="00E43E89">
        <w:t>Solntsevo</w:t>
      </w:r>
      <w:proofErr w:type="spellEnd"/>
      <w:r w:rsidRPr="00E43E89">
        <w:t xml:space="preserve"> criminal groups.  All of these organizations/groups are very powerful, and with varying degrees of success, have compromised and/or manipulated the domestic and international banking industry, energy industry, and strategic resources.  In addition, due to the immense wealth of some of the members of these organizations, political influence on all levels has been identified, corroborated, and documented.</w:t>
      </w:r>
    </w:p>
    <w:p w:rsidR="00FC5590" w:rsidRPr="00E43E89" w:rsidRDefault="00FC5590" w:rsidP="007471A8">
      <w:pPr>
        <w:tabs>
          <w:tab w:val="left" w:pos="1440"/>
          <w:tab w:val="left" w:pos="2880"/>
          <w:tab w:val="left" w:pos="3600"/>
        </w:tabs>
        <w:contextualSpacing/>
      </w:pPr>
    </w:p>
    <w:p w:rsidR="00FC5590" w:rsidRPr="00E43E89" w:rsidRDefault="00FC5590" w:rsidP="007471A8">
      <w:pPr>
        <w:tabs>
          <w:tab w:val="left" w:pos="1440"/>
          <w:tab w:val="left" w:pos="2880"/>
          <w:tab w:val="left" w:pos="3600"/>
        </w:tabs>
        <w:contextualSpacing/>
      </w:pPr>
      <w:r w:rsidRPr="00E43E89">
        <w:t xml:space="preserve">In an effort to further promote and leverage the ETFU’s efforts, the FBI recently forward deployed several Supervisory Special Agents internationally to work hand-in-hand with international law enforcement agencies and intelligence services who </w:t>
      </w:r>
      <w:r w:rsidR="005842DA">
        <w:t xml:space="preserve">are committed to </w:t>
      </w:r>
      <w:r w:rsidRPr="00E43E89">
        <w:t xml:space="preserve">addressing and combating Eurasian organized crime.  </w:t>
      </w:r>
    </w:p>
    <w:p w:rsidR="00FC5590" w:rsidRPr="00E43E89" w:rsidRDefault="00FC5590" w:rsidP="007471A8">
      <w:pPr>
        <w:contextualSpacing/>
      </w:pPr>
    </w:p>
    <w:p w:rsidR="00FC5590" w:rsidRPr="00E43E89" w:rsidRDefault="00FC5590" w:rsidP="007471A8">
      <w:pPr>
        <w:contextualSpacing/>
        <w:rPr>
          <w:color w:val="1F497D"/>
        </w:rPr>
      </w:pPr>
      <w:r w:rsidRPr="00E43E89">
        <w:t>The threat of significant monetary losses to U</w:t>
      </w:r>
      <w:r w:rsidR="005842DA">
        <w:t>.</w:t>
      </w:r>
      <w:r w:rsidRPr="00E43E89">
        <w:t>S</w:t>
      </w:r>
      <w:r w:rsidR="005842DA">
        <w:t>.</w:t>
      </w:r>
      <w:r w:rsidRPr="00E43E89">
        <w:t xml:space="preserve"> </w:t>
      </w:r>
      <w:r w:rsidR="005842DA">
        <w:t>persons</w:t>
      </w:r>
      <w:r w:rsidR="005842DA" w:rsidRPr="00E43E89">
        <w:t xml:space="preserve"> </w:t>
      </w:r>
      <w:r w:rsidRPr="00E43E89">
        <w:t>and U</w:t>
      </w:r>
      <w:r w:rsidR="005842DA">
        <w:t>.</w:t>
      </w:r>
      <w:r w:rsidRPr="00E43E89">
        <w:t>S</w:t>
      </w:r>
      <w:r w:rsidR="005842DA">
        <w:t>.</w:t>
      </w:r>
      <w:r w:rsidRPr="00E43E89">
        <w:t xml:space="preserve"> financial institutions associated with Balkan criminal enterprises is ever-increasing due to the following: closer and more frequent cooperation between traditional Balkan </w:t>
      </w:r>
      <w:r w:rsidR="00F31EE6">
        <w:t>T</w:t>
      </w:r>
      <w:r w:rsidRPr="00E43E89">
        <w:t xml:space="preserve">OC figures and young, technically sophisticated cyber criminals; the emergence of traditional </w:t>
      </w:r>
      <w:r w:rsidR="00F31EE6">
        <w:t>T</w:t>
      </w:r>
      <w:r w:rsidRPr="00E43E89">
        <w:t>OC hierarchy and structure amongst young, computer savvy cyber criminals; and the diversification by traditional Balkan OC figures of their methods to make and launder money by utilizing the latest technology advancements.</w:t>
      </w:r>
    </w:p>
    <w:p w:rsidR="00FC5590" w:rsidRPr="00E43E89" w:rsidRDefault="00FC5590" w:rsidP="007471A8">
      <w:pPr>
        <w:contextualSpacing/>
      </w:pPr>
    </w:p>
    <w:p w:rsidR="00A530D9" w:rsidRDefault="00FC5590" w:rsidP="007471A8">
      <w:pPr>
        <w:contextualSpacing/>
      </w:pPr>
      <w:r w:rsidRPr="00E43E89">
        <w:t xml:space="preserve">The potential for terrorism-related events associated with criminal enterprises is ever-increasing due to the following:  Alien smuggling across the southwest border by drug and gang criminal enterprises; Columbian based </w:t>
      </w:r>
      <w:proofErr w:type="spellStart"/>
      <w:r w:rsidRPr="00E43E89">
        <w:t>narco</w:t>
      </w:r>
      <w:proofErr w:type="spellEnd"/>
      <w:r w:rsidRPr="00E43E89">
        <w:t xml:space="preserve">-terrorism groups influencing or associating with traditional drug trafficking organizations; prison gangs being recruited by religious, political, or social extremist groups; and major theft criminal enterprises conducting criminal activities in association with terrorist related groups or to facilitate funding of terrorist-related groups.  There also remains the ever present concern that criminal enterprises are, or can, facilitate the smuggling of chemical, biological, radioactive, or nuclear weapons and materials. </w:t>
      </w:r>
    </w:p>
    <w:p w:rsidR="00FC5590" w:rsidRPr="00E43E89" w:rsidRDefault="00FC5590" w:rsidP="007471A8">
      <w:pPr>
        <w:contextualSpacing/>
      </w:pPr>
      <w:r w:rsidRPr="00E43E89">
        <w:t xml:space="preserve"> </w:t>
      </w:r>
    </w:p>
    <w:p w:rsidR="00FC5590" w:rsidRPr="00B562F4" w:rsidRDefault="00FC5590" w:rsidP="007471A8">
      <w:pPr>
        <w:contextualSpacing/>
      </w:pPr>
      <w:r w:rsidRPr="00B562F4">
        <w:rPr>
          <w:b/>
          <w:bCs/>
          <w:i/>
          <w:iCs/>
        </w:rPr>
        <w:t>Civil Rights:</w:t>
      </w:r>
      <w:r w:rsidRPr="00B562F4">
        <w:rPr>
          <w:i/>
          <w:iCs/>
        </w:rPr>
        <w:t xml:space="preserve"> </w:t>
      </w:r>
      <w:r w:rsidRPr="00B562F4">
        <w:t xml:space="preserve"> The FBI has primary responsibility for investigating all alleged violations of federal civil rights laws.  These laws protect the civil rights of all citizens and persons within the </w:t>
      </w:r>
      <w:r>
        <w:t>U.S.</w:t>
      </w:r>
      <w:r w:rsidRPr="00B562F4">
        <w:t>, and include the four major areas described below:</w:t>
      </w:r>
    </w:p>
    <w:p w:rsidR="00FC5590" w:rsidRPr="00B562F4" w:rsidRDefault="00FC5590" w:rsidP="007471A8">
      <w:pPr>
        <w:contextualSpacing/>
      </w:pPr>
    </w:p>
    <w:p w:rsidR="00FC5590" w:rsidRPr="00B562F4" w:rsidRDefault="00FC5590" w:rsidP="007471A8">
      <w:pPr>
        <w:numPr>
          <w:ilvl w:val="0"/>
          <w:numId w:val="11"/>
        </w:numPr>
        <w:contextualSpacing/>
      </w:pPr>
      <w:r w:rsidRPr="00B562F4">
        <w:rPr>
          <w:u w:val="single"/>
        </w:rPr>
        <w:t>Hate Crimes</w:t>
      </w:r>
      <w:r w:rsidRPr="00B562F4">
        <w:t xml:space="preserve">: Hate crimes are the top investigative priority of the Civil Rights Program because they impact not only the victims, but also the entire community.  In October 2009, President Obama signed into law the Matthew </w:t>
      </w:r>
      <w:proofErr w:type="spellStart"/>
      <w:r w:rsidRPr="00B562F4">
        <w:t>Shepard</w:t>
      </w:r>
      <w:proofErr w:type="spellEnd"/>
      <w:r w:rsidRPr="00B562F4">
        <w:t xml:space="preserve"> and James Byrd, Jr. Hate Crimes Prevention Act of 2009.  </w:t>
      </w:r>
      <w:r w:rsidR="00896939" w:rsidRPr="00896939">
        <w:t>For the first time in the history of the nation, the Federal Government will have the authority to investigate and prosecute violent hate crimes perpetrated against the gay, lesbian, bisexual, and transgender communities</w:t>
      </w:r>
      <w:r w:rsidR="00896939">
        <w:t xml:space="preserve">.  </w:t>
      </w:r>
      <w:r w:rsidRPr="00B562F4">
        <w:t>This is the first significant expansion of federal criminal civil rights laws in over a decade.</w:t>
      </w:r>
      <w:r w:rsidR="00896939" w:rsidRPr="00896939">
        <w:t xml:space="preserve"> </w:t>
      </w:r>
      <w:r w:rsidR="00896939">
        <w:t xml:space="preserve"> </w:t>
      </w:r>
      <w:r w:rsidR="00896939" w:rsidRPr="00896939">
        <w:t xml:space="preserve">With the additional investigative jurisdiction, the FBI anticipates that hate crime complaints and predicated investigations will increase throughout the </w:t>
      </w:r>
      <w:r w:rsidR="00C90C45">
        <w:t>U.S</w:t>
      </w:r>
      <w:r w:rsidRPr="00B562F4">
        <w:t xml:space="preserve">.  </w:t>
      </w:r>
      <w:r w:rsidR="00896939" w:rsidRPr="00896939">
        <w:t>Of note, there are five states (i.e., Arkansas, Georgia, Michigan, South Carolina, and Wyoming) that do not have hate crime laws and fifteen states (i.e., Alabama, Alaska, Idaho, Indiana, Mississippi, Montana, North Carolina, North Dakota, Ohio, Oklahoma, Pennsylvania, South Dakota, Utah, Virginia, and West Virginia) that have hate crime laws that do not address sexual orientation/gender identity as a protected class.</w:t>
      </w:r>
      <w:r w:rsidR="00896939">
        <w:t xml:space="preserve">  </w:t>
      </w:r>
      <w:r w:rsidRPr="00B562F4">
        <w:t>In these jurisdictions, the FBI will be the sole law enforcement agency with the authority to investigate a violent act as a hate crime.</w:t>
      </w:r>
      <w:r w:rsidR="00896939">
        <w:t xml:space="preserve">  </w:t>
      </w:r>
    </w:p>
    <w:p w:rsidR="00FC5590" w:rsidRPr="00B562F4" w:rsidRDefault="00FC5590" w:rsidP="007471A8">
      <w:pPr>
        <w:numPr>
          <w:ilvl w:val="0"/>
          <w:numId w:val="11"/>
        </w:numPr>
        <w:contextualSpacing/>
      </w:pPr>
      <w:r w:rsidRPr="00B562F4">
        <w:rPr>
          <w:u w:val="single"/>
        </w:rPr>
        <w:lastRenderedPageBreak/>
        <w:t>Color of Law (</w:t>
      </w:r>
      <w:smartTag w:uri="urn:schemas-microsoft-com:office:smarttags" w:element="stockticker">
        <w:r w:rsidRPr="00B562F4">
          <w:rPr>
            <w:u w:val="single"/>
          </w:rPr>
          <w:t>COL</w:t>
        </w:r>
      </w:smartTag>
      <w:r w:rsidRPr="00B562F4">
        <w:rPr>
          <w:u w:val="single"/>
        </w:rPr>
        <w:t>)</w:t>
      </w:r>
      <w:r w:rsidRPr="00B562F4">
        <w:t xml:space="preserve">: </w:t>
      </w:r>
      <w:smartTag w:uri="urn:schemas-microsoft-com:office:smarttags" w:element="stockticker">
        <w:r w:rsidRPr="00B562F4">
          <w:t>COL</w:t>
        </w:r>
      </w:smartTag>
      <w:r w:rsidRPr="00B562F4">
        <w:t xml:space="preserve"> violations are the deprivation of any rights, privileges, or immunities secured or protected by the </w:t>
      </w:r>
      <w:r>
        <w:t>U.S.</w:t>
      </w:r>
      <w:r w:rsidRPr="00B562F4">
        <w:t xml:space="preserve"> Constitution by someone in his/her official, governmental capacity.  The FBI has investigative responsibility for federal </w:t>
      </w:r>
      <w:smartTag w:uri="urn:schemas-microsoft-com:office:smarttags" w:element="stockticker">
        <w:r w:rsidRPr="00B562F4">
          <w:t>COL</w:t>
        </w:r>
      </w:smartTag>
      <w:r w:rsidRPr="00B562F4">
        <w:t xml:space="preserve"> matters involving local and state law enforcement and concurrent responsibility with the Offices of Inspectors General for other federal agencies.   </w:t>
      </w:r>
    </w:p>
    <w:p w:rsidR="00FC5590" w:rsidRPr="00B562F4" w:rsidRDefault="00FC5590" w:rsidP="007471A8">
      <w:pPr>
        <w:contextualSpacing/>
      </w:pPr>
    </w:p>
    <w:p w:rsidR="00FC5590" w:rsidRPr="00B562F4" w:rsidRDefault="00FC5590" w:rsidP="007471A8">
      <w:pPr>
        <w:numPr>
          <w:ilvl w:val="0"/>
          <w:numId w:val="11"/>
        </w:numPr>
        <w:contextualSpacing/>
      </w:pPr>
      <w:r w:rsidRPr="00B562F4">
        <w:rPr>
          <w:u w:val="single"/>
        </w:rPr>
        <w:t>Human Trafficking</w:t>
      </w:r>
      <w:r w:rsidRPr="00B562F4">
        <w:t xml:space="preserve">:  Human trafficking is a form of modern-day slavery and, although not commonly known, is a significant and persistent problem both domestically and internationally.  Victims are often lured with false promises of good jobs and better lives and then forced to work under brutal and inhumane conditions.  Many trafficking victims are forced to work in the sex industry, but trafficking can also take place in labor settings involving domestic servitude, prison-like factories, and migrant agricultural work.  Human trafficking cases require extensive outreach and cooperation with local, state, and federal agencies, as well as non-governmental organizations, to properly address the problem. </w:t>
      </w:r>
    </w:p>
    <w:p w:rsidR="00FC5590" w:rsidRPr="00B562F4" w:rsidRDefault="00FC5590" w:rsidP="007471A8">
      <w:pPr>
        <w:ind w:left="216"/>
        <w:contextualSpacing/>
      </w:pPr>
    </w:p>
    <w:p w:rsidR="00FC5590" w:rsidRPr="00B562F4" w:rsidRDefault="00FC5590" w:rsidP="007471A8">
      <w:pPr>
        <w:numPr>
          <w:ilvl w:val="0"/>
          <w:numId w:val="11"/>
        </w:numPr>
        <w:contextualSpacing/>
      </w:pPr>
      <w:r w:rsidRPr="00B562F4">
        <w:rPr>
          <w:u w:val="single"/>
        </w:rPr>
        <w:t>Freedom of Access</w:t>
      </w:r>
      <w:r w:rsidRPr="00B562F4">
        <w:t xml:space="preserve">:  Under the Freedom of Access to Clinic Entrances (FACE) Act, the FBI has the sole investigative responsibility for conducting investigations of potential FACE Act violations.  Incidents include murder, death threats, invasions, burglaries, harassing telephone calls, hate mail, assaults, arsons, and other acts of intimidation.  The number of FACE Act violations remains relatively low, with occasional spikes during dates which mark significant events in the pro-choice and pro-life movements.  </w:t>
      </w:r>
    </w:p>
    <w:p w:rsidR="00FC5590" w:rsidRPr="00B562F4" w:rsidRDefault="00FC5590" w:rsidP="007471A8">
      <w:pPr>
        <w:ind w:left="216"/>
        <w:contextualSpacing/>
      </w:pPr>
    </w:p>
    <w:p w:rsidR="00FC5590" w:rsidRPr="00E43E89" w:rsidRDefault="00FC5590" w:rsidP="007471A8">
      <w:pPr>
        <w:contextualSpacing/>
      </w:pPr>
      <w:r w:rsidRPr="00E43E89">
        <w:rPr>
          <w:b/>
          <w:bCs/>
          <w:i/>
          <w:iCs/>
        </w:rPr>
        <w:t>Violent Crimes:</w:t>
      </w:r>
      <w:r w:rsidRPr="00E43E89">
        <w:t xml:space="preserve">  </w:t>
      </w:r>
    </w:p>
    <w:p w:rsidR="00FC5590" w:rsidRPr="00E43E89" w:rsidRDefault="00FC5590" w:rsidP="007471A8">
      <w:pPr>
        <w:numPr>
          <w:ilvl w:val="0"/>
          <w:numId w:val="12"/>
        </w:numPr>
        <w:contextualSpacing/>
      </w:pPr>
      <w:r w:rsidRPr="00E43E89">
        <w:rPr>
          <w:u w:val="single"/>
        </w:rPr>
        <w:t>Crimes Against Children</w:t>
      </w:r>
      <w:r w:rsidRPr="00E43E89">
        <w:t>:  The Crimes Against Children Sub-Program has developed a nationwide capacity to provide a rapid and effective investigative response to reported federal crimes involving the victimization of children; reduce the vulnerability of children to acts of sexual exploitation and abuse; reduce the negative impacts of international parental rights disputes; and strengthen the capabilities of federal, state and local law enforcement agencies through training programs and investigative assistance.</w:t>
      </w:r>
    </w:p>
    <w:p w:rsidR="00FC5590" w:rsidRPr="00E43E89" w:rsidRDefault="00FC5590" w:rsidP="007471A8">
      <w:pPr>
        <w:contextualSpacing/>
      </w:pPr>
    </w:p>
    <w:p w:rsidR="00FC5590" w:rsidRPr="00E43E89" w:rsidRDefault="00FC5590" w:rsidP="007471A8">
      <w:pPr>
        <w:numPr>
          <w:ilvl w:val="0"/>
          <w:numId w:val="12"/>
        </w:numPr>
        <w:contextualSpacing/>
      </w:pPr>
      <w:r w:rsidRPr="00E43E89">
        <w:rPr>
          <w:u w:val="single"/>
        </w:rPr>
        <w:t>Child Abductions</w:t>
      </w:r>
      <w:r w:rsidRPr="00E43E89">
        <w:t xml:space="preserve">:  In FY 2011, the FBI investigated 188 pending child abduction cases.  In an effort to enhance the FBI's response to abductions and the mysterious disappearance of children, the FBI’s Violent Crimes Section in coordination with the Critical Incident Response Group (CIRG)/Behavior Analysis Unit III (BAU III) created regional </w:t>
      </w:r>
      <w:r w:rsidR="005842DA">
        <w:t>Child Abduction Rapid Deployment (</w:t>
      </w:r>
      <w:r w:rsidRPr="00E43E89">
        <w:t>CARD</w:t>
      </w:r>
      <w:r w:rsidR="005842DA">
        <w:t>)</w:t>
      </w:r>
      <w:r w:rsidRPr="00E43E89">
        <w:t xml:space="preserve"> Teams.  The Nation-wide CARD Team cadre consists of sixty field agents.  Teams are geographically distributed throughout the five regions of the </w:t>
      </w:r>
      <w:r>
        <w:t>U.S.</w:t>
      </w:r>
      <w:r w:rsidRPr="00E43E89">
        <w:t xml:space="preserve">, consistent with the FBI Corporate Management Structure.  Each region has two teams comprised of Supervisory Special Agents and Special Agents representing 35 field divisions.  To date, the CARD Teams have deployed on 76 occasions resulting in the successful recovery of thirty one children.  </w:t>
      </w:r>
    </w:p>
    <w:p w:rsidR="00FC5590" w:rsidRPr="00E43E89" w:rsidRDefault="00FC5590" w:rsidP="007471A8">
      <w:pPr>
        <w:contextualSpacing/>
      </w:pPr>
      <w:r w:rsidRPr="00E43E89">
        <w:t xml:space="preserve">  </w:t>
      </w:r>
    </w:p>
    <w:p w:rsidR="00FC5590" w:rsidRPr="00E43E89" w:rsidRDefault="002F7C9D" w:rsidP="007471A8">
      <w:pPr>
        <w:numPr>
          <w:ilvl w:val="0"/>
          <w:numId w:val="12"/>
        </w:numPr>
        <w:contextualSpacing/>
      </w:pPr>
      <w:r>
        <w:rPr>
          <w:u w:val="single"/>
        </w:rPr>
        <w:t>Innocence Lost</w:t>
      </w:r>
      <w:r>
        <w:t xml:space="preserve"> investigations address the commercial sexual exploitation of children. Investigations have identified national criminal organizations responsible for the sex trafficking of hundreds of children, some as young as nine years old.  As of January 2012, the Innocence Lost National Initiative (ILNI) has resulted in 664 pending cases, 715 </w:t>
      </w:r>
      <w:proofErr w:type="spellStart"/>
      <w:r>
        <w:t>informations</w:t>
      </w:r>
      <w:proofErr w:type="spellEnd"/>
      <w:r>
        <w:t>/indictments, and 905 convictions.  Furthermore, subjects of these investigations are regularly sentenced to terms of 25 years or more, while seven have received life sentences.  Since its inception, 1,921 children have been recovered and removed from the cycle of abuse.  In FY 2011 alone, 493 children were recovered, a 35 percent increase from the 364 children located in FY 2010.  Between FY 2008 and 1</w:t>
      </w:r>
      <w:r>
        <w:rPr>
          <w:vertAlign w:val="superscript"/>
        </w:rPr>
        <w:t>st</w:t>
      </w:r>
      <w:r>
        <w:t xml:space="preserve"> Quarter FY 2012, the ILNI increased from 25 to 46 task forces and working groups.</w:t>
      </w:r>
    </w:p>
    <w:p w:rsidR="00FC5590" w:rsidRPr="00E43E89" w:rsidRDefault="00FC5590" w:rsidP="007471A8">
      <w:pPr>
        <w:numPr>
          <w:ilvl w:val="0"/>
          <w:numId w:val="12"/>
        </w:numPr>
        <w:contextualSpacing/>
      </w:pPr>
      <w:r w:rsidRPr="00E43E89">
        <w:rPr>
          <w:u w:val="single"/>
        </w:rPr>
        <w:lastRenderedPageBreak/>
        <w:t>Child Sex Tourism (CST)</w:t>
      </w:r>
      <w:r w:rsidRPr="00E43E89">
        <w:t xml:space="preserve"> </w:t>
      </w:r>
      <w:r w:rsidR="002F7C9D">
        <w:t xml:space="preserve">initiative targets </w:t>
      </w:r>
      <w:r w:rsidR="001D7B53">
        <w:t xml:space="preserve">U.S. </w:t>
      </w:r>
      <w:r w:rsidR="002F7C9D">
        <w:t xml:space="preserve">citizens who travel to foreign countries and engage in sexual activity with children under the age of 18. The initiative currently focuses on countries in Southeast Asia and Latin America where, since its inception, ten threat assessments have been conducted to identify predicated venues where CST is occurring. The initiative has also organized and participated in capacity building for foreign law enforcement, prosecutors, and non-government organizations </w:t>
      </w:r>
      <w:r w:rsidR="00E7774D">
        <w:t xml:space="preserve">in these countries. As of January </w:t>
      </w:r>
      <w:r w:rsidR="002F7C9D">
        <w:t>2012 the CST initiative has 37 open investigations, and has led to the conviction of 8 offenders and the arrest and indictment of 3 additional individuals.</w:t>
      </w:r>
      <w:r w:rsidR="002F7C9D">
        <w:rPr>
          <w:b/>
          <w:bCs/>
        </w:rPr>
        <w:t xml:space="preserve">  </w:t>
      </w:r>
    </w:p>
    <w:p w:rsidR="00FC5590" w:rsidRPr="00E43E89" w:rsidRDefault="00FC5590" w:rsidP="007471A8">
      <w:pPr>
        <w:ind w:left="576"/>
        <w:contextualSpacing/>
      </w:pPr>
    </w:p>
    <w:p w:rsidR="00FC5590" w:rsidRPr="00E43E89" w:rsidRDefault="00FC5590" w:rsidP="007471A8">
      <w:pPr>
        <w:numPr>
          <w:ilvl w:val="0"/>
          <w:numId w:val="12"/>
        </w:numPr>
        <w:contextualSpacing/>
      </w:pPr>
      <w:r w:rsidRPr="00E43E89">
        <w:rPr>
          <w:u w:val="single"/>
        </w:rPr>
        <w:t>Indian Country</w:t>
      </w:r>
      <w:r w:rsidRPr="00E43E89">
        <w:t>:  As of FY 2012, the FBI has over 2,900 pending Indian Country (IC) investigations on approximately 200 reservations and 400 Indian gaming facilities throughout 28 states.  Approximately 75</w:t>
      </w:r>
      <w:r>
        <w:t xml:space="preserve"> percent</w:t>
      </w:r>
      <w:r w:rsidRPr="00E43E89">
        <w:t xml:space="preserve"> of these investigations are in the Minneapolis, Salt Lake City, Phoenix, and Albuquerque Field Offices and approximately 80</w:t>
      </w:r>
      <w:r>
        <w:t xml:space="preserve"> percent</w:t>
      </w:r>
      <w:r w:rsidRPr="00E43E89">
        <w:t xml:space="preserve"> of the investigations involve death, sexual/physical assault of children, adult rapes, and felony assaults.  Statistics indicate more than one-third of all Native American women will be raped at least once during their lifetime and nearly two-thirds will be victims of violent assaults, and the Department of Justice recently reported 25</w:t>
      </w:r>
      <w:r>
        <w:t xml:space="preserve"> percent</w:t>
      </w:r>
      <w:r w:rsidRPr="00E43E89">
        <w:t xml:space="preserve"> of all violent crimes prosecuted by the U.S. Attorney Offices are related to IC.  Due to the demands of the high volume of reactive violent crimes in IC, long-term investigations such as gang, drug, public corruption, and other white collar crimes go largely unaddressed.  Emerging threats in IC include cross-programmatic crimes related to Indian Gaming, Recovery Act funds, and public corruption matters.</w:t>
      </w:r>
    </w:p>
    <w:p w:rsidR="00FC5590" w:rsidRPr="00E43E89" w:rsidRDefault="00FC5590" w:rsidP="007471A8">
      <w:pPr>
        <w:ind w:left="576"/>
        <w:contextualSpacing/>
      </w:pPr>
    </w:p>
    <w:p w:rsidR="00FC5590" w:rsidRPr="00E43E89" w:rsidRDefault="005842DA" w:rsidP="007471A8">
      <w:pPr>
        <w:numPr>
          <w:ilvl w:val="0"/>
          <w:numId w:val="12"/>
        </w:numPr>
        <w:contextualSpacing/>
      </w:pPr>
      <w:r>
        <w:t>Due to jurisdictional issues, the FBI is the primary law enforcement entity in IC</w:t>
      </w:r>
      <w:r w:rsidR="00FC5590" w:rsidRPr="00E43E89">
        <w:t>.  The Bureau of Indian Affairs has a limited number of investigators who are not present on every reservation; Tribal authorities do not have jurisdiction over non-Indians; and state/local law enforcement do not have jurisdiction within the boundaries of the reservations, except for Public Law 280 states and tribes.  Currently, 115 Special Agents work in IC, and 15 Safe Trails Task Forces address drug/gang and violent crimes in I</w:t>
      </w:r>
      <w:r>
        <w:t>C.</w:t>
      </w:r>
    </w:p>
    <w:p w:rsidR="00FC5590" w:rsidRPr="00E43E89" w:rsidRDefault="00FC5590" w:rsidP="007471A8">
      <w:pPr>
        <w:contextualSpacing/>
      </w:pPr>
    </w:p>
    <w:p w:rsidR="00FC5590" w:rsidRPr="00E43E89" w:rsidRDefault="00FC5590" w:rsidP="007471A8">
      <w:pPr>
        <w:numPr>
          <w:ilvl w:val="0"/>
          <w:numId w:val="13"/>
        </w:numPr>
        <w:ind w:left="540"/>
        <w:contextualSpacing/>
      </w:pPr>
      <w:r w:rsidRPr="00E43E89">
        <w:rPr>
          <w:u w:val="single"/>
        </w:rPr>
        <w:t>Fugitives</w:t>
      </w:r>
      <w:r w:rsidRPr="00E43E89">
        <w:t xml:space="preserve"> remain a concern to law enforcement with approximately 1.5 million active warrants within the National Crime Information Center (NCIC) system.  The FBI is conducting investigations on more than 8,000 violent fugitives under the Unlawful Flight to Avoid Prosecution violation.  Further, the FBI has more than 6,500 substantive </w:t>
      </w:r>
      <w:proofErr w:type="gramStart"/>
      <w:r w:rsidRPr="00E43E89">
        <w:t>case</w:t>
      </w:r>
      <w:proofErr w:type="gramEnd"/>
      <w:r w:rsidRPr="00E43E89">
        <w:t xml:space="preserve"> file fugitives outstanding and approximately 2,143 fugitives from the </w:t>
      </w:r>
      <w:smartTag w:uri="urn:schemas-microsoft-com:office:smarttags" w:element="country-region">
        <w:smartTag w:uri="urn:schemas-microsoft-com:office:smarttags" w:element="place">
          <w:r w:rsidRPr="00E43E89">
            <w:t>U.S.</w:t>
          </w:r>
        </w:smartTag>
      </w:smartTag>
      <w:r w:rsidRPr="00E43E89">
        <w:t xml:space="preserve"> are believed to be in foreign countries.</w:t>
      </w:r>
    </w:p>
    <w:p w:rsidR="00FC5590" w:rsidRPr="00E43E89" w:rsidRDefault="00FC5590" w:rsidP="007471A8">
      <w:pPr>
        <w:contextualSpacing/>
      </w:pPr>
    </w:p>
    <w:p w:rsidR="00FC5590" w:rsidRPr="00E43E89" w:rsidRDefault="00FC5590" w:rsidP="007471A8">
      <w:pPr>
        <w:numPr>
          <w:ilvl w:val="0"/>
          <w:numId w:val="13"/>
        </w:numPr>
        <w:ind w:left="540"/>
        <w:contextualSpacing/>
      </w:pPr>
      <w:r w:rsidRPr="00E43E89">
        <w:t xml:space="preserve">Within the </w:t>
      </w:r>
      <w:r w:rsidRPr="00E43E89">
        <w:rPr>
          <w:u w:val="single"/>
        </w:rPr>
        <w:t>Transportation Crimes</w:t>
      </w:r>
      <w:r w:rsidRPr="00E43E89">
        <w:t xml:space="preserve"> area, there were more than 500 crimes that occurred aboard an aircraft and another 100 incidents were reported regarding the destruction of aircraft.  Personal and property crimes continue to be a concern within Special Jurisdiction Crimes areas such as within federal penal institutions, on other federal government properties, and in special jurisdictional areas, such as on the high seas.  </w:t>
      </w:r>
    </w:p>
    <w:p w:rsidR="00FC5590" w:rsidRPr="00E43E89" w:rsidRDefault="00FC5590"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contextualSpacing/>
        <w:rPr>
          <w:highlight w:val="yellow"/>
        </w:rPr>
      </w:pPr>
    </w:p>
    <w:p w:rsidR="002B03A4" w:rsidRDefault="002B03A4">
      <w:pPr>
        <w:rPr>
          <w:b/>
          <w:bCs/>
          <w:i/>
          <w:iCs/>
        </w:rPr>
      </w:pPr>
      <w:r>
        <w:rPr>
          <w:b/>
          <w:bCs/>
          <w:i/>
          <w:iCs/>
        </w:rPr>
        <w:br w:type="page"/>
      </w:r>
    </w:p>
    <w:p w:rsidR="002B03A4" w:rsidRDefault="00FC5590"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E43E89">
        <w:rPr>
          <w:b/>
          <w:bCs/>
          <w:i/>
          <w:iCs/>
        </w:rPr>
        <w:lastRenderedPageBreak/>
        <w:t>Southwest Border:</w:t>
      </w:r>
      <w:r w:rsidRPr="00E43E89">
        <w:t xml:space="preserve">  The volatility among Transnational Criminal Enterprises (TCEs) and violent gangs (e.g., Mexican Mafia, Barrio Azteca, Los Zetas, MS-13, and 18</w:t>
      </w:r>
      <w:r w:rsidRPr="00E43E89">
        <w:rPr>
          <w:vertAlign w:val="superscript"/>
        </w:rPr>
        <w:t>th</w:t>
      </w:r>
      <w:r w:rsidRPr="00E43E89">
        <w:t xml:space="preserve"> Street) along the Southwest </w:t>
      </w:r>
      <w:r>
        <w:t>B</w:t>
      </w:r>
      <w:r w:rsidRPr="00E43E89">
        <w:t xml:space="preserve">order has resulted in historic levels of drug-related violence.  As rival TCEs and </w:t>
      </w:r>
      <w:proofErr w:type="gramStart"/>
      <w:r w:rsidRPr="00E43E89">
        <w:t>gangs</w:t>
      </w:r>
      <w:proofErr w:type="gramEnd"/>
      <w:r w:rsidRPr="00E43E89">
        <w:t xml:space="preserve"> battle for control over the lucrative drug markets, significant spikes in kidnappings, homicides and a myriad of other violent acts envelop the U.S.-Mexico border.  In addition, these transnational groups are utilizing several “tools” to aid in their objectives, such</w:t>
      </w:r>
      <w:r w:rsidRPr="00E43E89">
        <w:rPr>
          <w:rFonts w:eastAsia="Calibri"/>
        </w:rPr>
        <w:t xml:space="preserve"> </w:t>
      </w:r>
      <w:r w:rsidRPr="00E43E89">
        <w:t>as public corruption, money laundering, human trafficking, and threats to law enforcement.</w:t>
      </w:r>
    </w:p>
    <w:p w:rsidR="00FC5590" w:rsidRPr="00E43E89" w:rsidRDefault="00FC5590"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E43E89">
        <w:t xml:space="preserve"> </w:t>
      </w:r>
    </w:p>
    <w:p w:rsidR="00F73E2C" w:rsidRDefault="005842DA" w:rsidP="007471A8">
      <w:pPr>
        <w:numPr>
          <w:ilvl w:val="1"/>
          <w:numId w:val="28"/>
        </w:numPr>
        <w:contextualSpacing/>
      </w:pPr>
      <w:r w:rsidRPr="00E43E89">
        <w:t>In 2011, approximately 18,600 narcotics-related homicides occurred, averaging over 50 per day, an increase of almost 25</w:t>
      </w:r>
      <w:r>
        <w:t xml:space="preserve"> percent</w:t>
      </w:r>
      <w:r w:rsidRPr="00E43E89">
        <w:t xml:space="preserve"> over 2010.</w:t>
      </w:r>
    </w:p>
    <w:p w:rsidR="00F73E2C" w:rsidRDefault="00F73E2C" w:rsidP="007471A8">
      <w:pPr>
        <w:ind w:left="1440"/>
        <w:contextualSpacing/>
      </w:pPr>
    </w:p>
    <w:p w:rsidR="00FC5590" w:rsidRDefault="00FC5590" w:rsidP="007471A8">
      <w:pPr>
        <w:numPr>
          <w:ilvl w:val="1"/>
          <w:numId w:val="28"/>
        </w:numPr>
        <w:contextualSpacing/>
      </w:pPr>
      <w:r w:rsidRPr="00E43E89">
        <w:t>80 percent of these murders occurred in six Mexican states, two of which border the U.S. – Chihuahua and Baja California</w:t>
      </w:r>
    </w:p>
    <w:p w:rsidR="00F73E2C" w:rsidRDefault="00F73E2C"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FC5590" w:rsidRPr="00736456" w:rsidRDefault="00FC5590"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Cs/>
        </w:rPr>
      </w:pPr>
      <w:r w:rsidRPr="00E43E89">
        <w:t xml:space="preserve">To address the Southwest </w:t>
      </w:r>
      <w:r>
        <w:t>B</w:t>
      </w:r>
      <w:r w:rsidRPr="00E43E89">
        <w:t>order threat, the FBI has developed an intelligence-driven, cross-programmatic strategy to penetrate, disrupt and dismantle the most dangerous organizations as well as identify and target individuals in leadership roles.</w:t>
      </w:r>
      <w:r w:rsidRPr="00E43E89">
        <w:rPr>
          <w:b/>
          <w:bCs/>
        </w:rPr>
        <w:t xml:space="preserve"> </w:t>
      </w:r>
      <w:r w:rsidRPr="00E43E89">
        <w:rPr>
          <w:bCs/>
        </w:rPr>
        <w:t>This strategy includes the deployment of hybrid squads in areas assessed to be particularly vulnerable to violence and criminality associated with TCEs, regardless of their physical proximity to the border.  The primary goal of the hybrid squad model is to bring a “Threat-Based” domain view of these dynamic, multi-faceted enterprises, thus fusing strategic and tactical intelligence with investigative operations to increase the likelihood that Divisions are aware of every facet of illicit activity within the organization at all levels and can link them back to priority targets outside the U</w:t>
      </w:r>
      <w:r>
        <w:rPr>
          <w:bCs/>
        </w:rPr>
        <w:t>.</w:t>
      </w:r>
      <w:r w:rsidRPr="00E43E89">
        <w:rPr>
          <w:bCs/>
        </w:rPr>
        <w:t xml:space="preserve">S.  To that end, </w:t>
      </w:r>
      <w:r w:rsidR="005842DA">
        <w:rPr>
          <w:bCs/>
        </w:rPr>
        <w:t>h</w:t>
      </w:r>
      <w:r w:rsidRPr="00E43E89">
        <w:rPr>
          <w:bCs/>
        </w:rPr>
        <w:t>ybrid squads consist of multi-disciplinary teams of Special Agents, IAs, Staff Operations Specialists (</w:t>
      </w:r>
      <w:smartTag w:uri="urn:schemas-microsoft-com:office:smarttags" w:element="stockticker">
        <w:r w:rsidRPr="00E43E89">
          <w:rPr>
            <w:bCs/>
          </w:rPr>
          <w:t>SOS</w:t>
        </w:r>
      </w:smartTag>
      <w:r w:rsidRPr="00E43E89">
        <w:rPr>
          <w:bCs/>
        </w:rPr>
        <w:t>), and other professionals who approach TCEs holistically.  The agent composition on the squads provides different backgrounds and functional expertise, ranging from violent gangs, public corruption, and violent crimes.</w:t>
      </w:r>
    </w:p>
    <w:p w:rsidR="00FC5590" w:rsidRPr="00736456" w:rsidRDefault="00FC5590"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rPr>
      </w:pPr>
    </w:p>
    <w:p w:rsidR="00FC5590" w:rsidRPr="00736456" w:rsidRDefault="00FC5590" w:rsidP="007471A8">
      <w:pPr>
        <w:contextualSpacing/>
        <w:rPr>
          <w:b/>
          <w:bCs/>
        </w:rPr>
      </w:pPr>
      <w:r w:rsidRPr="00736456">
        <w:rPr>
          <w:b/>
          <w:bCs/>
        </w:rPr>
        <w:t xml:space="preserve">C.  FBI’s </w:t>
      </w:r>
      <w:r>
        <w:rPr>
          <w:b/>
          <w:bCs/>
        </w:rPr>
        <w:t>2013</w:t>
      </w:r>
      <w:r w:rsidRPr="00736456">
        <w:rPr>
          <w:b/>
          <w:bCs/>
        </w:rPr>
        <w:t xml:space="preserve"> Budget Strategy</w:t>
      </w:r>
    </w:p>
    <w:p w:rsidR="00FC5590" w:rsidRPr="00736456" w:rsidRDefault="00FC5590" w:rsidP="007471A8">
      <w:pPr>
        <w:contextualSpacing/>
      </w:pPr>
    </w:p>
    <w:p w:rsidR="00FC5590" w:rsidRPr="00736456" w:rsidRDefault="00FC5590" w:rsidP="007471A8">
      <w:pPr>
        <w:contextualSpacing/>
      </w:pPr>
      <w:r w:rsidRPr="00736456">
        <w:rPr>
          <w:b/>
          <w:bCs/>
          <w:i/>
          <w:iCs/>
        </w:rPr>
        <w:t>Required Capabilities to Address National Security and Criminal Threats:</w:t>
      </w:r>
      <w:r w:rsidRPr="00736456">
        <w:t xml:space="preserve">  The FBI’s budget strategy is based on the FBI’s </w:t>
      </w:r>
      <w:r>
        <w:t>knowledge</w:t>
      </w:r>
      <w:r w:rsidRPr="00736456">
        <w:t xml:space="preserve"> of current and future national security and criminal investigative threats.  </w:t>
      </w:r>
      <w:r>
        <w:t>Based on this information</w:t>
      </w:r>
      <w:r w:rsidRPr="00736456">
        <w:t xml:space="preserve">, the FBI has identified critical, enterprise-wide capabilities needed to perform its mission.  This capabilities-based approach to planning the FBI’s future resource requirements is necessary since it is not possible to project with certainty who will be the future adversary (e.g., nation, combination of nations, non-state actor, gangs, criminal enterprises, or individuals).  In other words, future capabilities are designed to enable the FBI to address the range of expected national security threats and crime problems regardless of who actually perpetrates the acts. </w:t>
      </w:r>
    </w:p>
    <w:p w:rsidR="00FC5590" w:rsidRPr="00736456" w:rsidRDefault="00FC5590" w:rsidP="007471A8">
      <w:pPr>
        <w:contextualSpacing/>
      </w:pPr>
    </w:p>
    <w:p w:rsidR="00FC5590" w:rsidRPr="00736456" w:rsidRDefault="00FC5590" w:rsidP="007471A8">
      <w:pPr>
        <w:contextualSpacing/>
      </w:pPr>
      <w:r w:rsidRPr="004841DD">
        <w:t xml:space="preserve">The FBI’s FY 2013 budget supports key mission areas, including national security, computer intrusions, and violent crime, and provides a modest increase for financial fraud investigations, while striving for cost savings and efficiencies.  </w:t>
      </w:r>
    </w:p>
    <w:p w:rsidR="00FC5590" w:rsidRPr="00736456" w:rsidRDefault="00FC5590" w:rsidP="007471A8">
      <w:pPr>
        <w:contextualSpacing/>
      </w:pPr>
    </w:p>
    <w:p w:rsidR="00FC5590" w:rsidRDefault="00FC5590" w:rsidP="007471A8">
      <w:pPr>
        <w:contextualSpacing/>
      </w:pPr>
      <w:r w:rsidRPr="00736456">
        <w:rPr>
          <w:b/>
          <w:bCs/>
          <w:i/>
          <w:iCs/>
        </w:rPr>
        <w:t>Foundation for Achieving the Desired Capabilities:</w:t>
      </w:r>
      <w:r w:rsidRPr="00736456">
        <w:rPr>
          <w:b/>
          <w:bCs/>
        </w:rPr>
        <w:t xml:space="preserve">  </w:t>
      </w:r>
      <w:r w:rsidRPr="00736456">
        <w:t>The foundation of the FBI’s budget is supported by four objectives:  (1) the application of a Strategy Management System (SMS) to FBI planning; (2) accelerated improvements in program management through intelligence-driven operations; (3) continuation of a multi-year planning process; and (4) a directed-growth strategy aligned to our most critical requirements.</w:t>
      </w:r>
    </w:p>
    <w:p w:rsidR="00FC5590" w:rsidRPr="00736456" w:rsidRDefault="00FC5590" w:rsidP="007471A8">
      <w:pPr>
        <w:contextualSpacing/>
      </w:pPr>
    </w:p>
    <w:p w:rsidR="002B03A4" w:rsidRDefault="002B03A4">
      <w:pPr>
        <w:rPr>
          <w:b/>
          <w:bCs/>
          <w:color w:val="000000"/>
          <w:u w:val="single"/>
        </w:rPr>
      </w:pPr>
      <w:r>
        <w:rPr>
          <w:b/>
          <w:bCs/>
          <w:color w:val="000000"/>
          <w:u w:val="single"/>
        </w:rPr>
        <w:br w:type="page"/>
      </w:r>
    </w:p>
    <w:p w:rsidR="00FC5590" w:rsidRPr="00A60756" w:rsidRDefault="00FC5590" w:rsidP="007471A8">
      <w:pPr>
        <w:contextualSpacing/>
        <w:rPr>
          <w:b/>
          <w:bCs/>
          <w:color w:val="000000"/>
          <w:u w:val="single"/>
        </w:rPr>
      </w:pPr>
      <w:r w:rsidRPr="00A60756">
        <w:rPr>
          <w:b/>
          <w:bCs/>
          <w:color w:val="000000"/>
          <w:u w:val="single"/>
        </w:rPr>
        <w:lastRenderedPageBreak/>
        <w:t>FBI Strategy Management System:</w:t>
      </w:r>
      <w:r w:rsidRPr="00A60756">
        <w:rPr>
          <w:b/>
          <w:bCs/>
          <w:i/>
          <w:iCs/>
          <w:color w:val="000000"/>
          <w:u w:val="single"/>
        </w:rPr>
        <w:t xml:space="preserve">  </w:t>
      </w:r>
    </w:p>
    <w:p w:rsidR="00FC5590" w:rsidRPr="00A60756" w:rsidRDefault="00FC5590" w:rsidP="007471A8">
      <w:pPr>
        <w:tabs>
          <w:tab w:val="num" w:pos="0"/>
        </w:tabs>
        <w:contextualSpacing/>
        <w:rPr>
          <w:color w:val="000000"/>
          <w:u w:val="single"/>
        </w:rPr>
      </w:pPr>
    </w:p>
    <w:p w:rsidR="00FC5590" w:rsidRPr="00A60756" w:rsidRDefault="00FC5590" w:rsidP="007471A8">
      <w:pPr>
        <w:tabs>
          <w:tab w:val="num" w:pos="0"/>
        </w:tabs>
        <w:contextualSpacing/>
        <w:rPr>
          <w:color w:val="000000"/>
          <w:u w:val="single"/>
        </w:rPr>
      </w:pPr>
      <w:r w:rsidRPr="00A60756">
        <w:rPr>
          <w:color w:val="000000"/>
        </w:rPr>
        <w:t xml:space="preserve">The FBI </w:t>
      </w:r>
      <w:r>
        <w:rPr>
          <w:color w:val="000000"/>
        </w:rPr>
        <w:t>uses</w:t>
      </w:r>
      <w:r w:rsidRPr="00A60756">
        <w:rPr>
          <w:color w:val="000000"/>
        </w:rPr>
        <w:t xml:space="preserve"> </w:t>
      </w:r>
      <w:r>
        <w:rPr>
          <w:color w:val="000000"/>
        </w:rPr>
        <w:t>the</w:t>
      </w:r>
      <w:r w:rsidRPr="00A60756">
        <w:rPr>
          <w:color w:val="000000"/>
        </w:rPr>
        <w:t xml:space="preserve"> Strategy Management System (SMS) to guide its strategy development and decision-making.  The SMS is a strategic planning </w:t>
      </w:r>
      <w:r>
        <w:rPr>
          <w:color w:val="000000"/>
        </w:rPr>
        <w:t xml:space="preserve">and execution </w:t>
      </w:r>
      <w:r w:rsidRPr="00A60756">
        <w:rPr>
          <w:color w:val="000000"/>
        </w:rPr>
        <w:t xml:space="preserve">process that is maintained throughout the Bureau. </w:t>
      </w:r>
      <w:r>
        <w:rPr>
          <w:color w:val="000000"/>
        </w:rPr>
        <w:t>Strategies and p</w:t>
      </w:r>
      <w:r w:rsidRPr="00A60756">
        <w:rPr>
          <w:color w:val="000000"/>
        </w:rPr>
        <w:t>riorities are developed at the Enterprise, Branch, and Division levels; those entities then measure, track, and review performance against achieving their priorities on a quarterly basis.</w:t>
      </w:r>
    </w:p>
    <w:p w:rsidR="00FC5590" w:rsidRPr="00A60756" w:rsidRDefault="00FC5590" w:rsidP="007471A8">
      <w:pPr>
        <w:tabs>
          <w:tab w:val="num" w:pos="0"/>
        </w:tabs>
        <w:contextualSpacing/>
        <w:rPr>
          <w:color w:val="000000"/>
          <w:u w:val="single"/>
        </w:rPr>
      </w:pPr>
    </w:p>
    <w:p w:rsidR="00FC5590" w:rsidRPr="00A60756" w:rsidRDefault="00FC5590" w:rsidP="007471A8">
      <w:pPr>
        <w:contextualSpacing/>
        <w:rPr>
          <w:color w:val="000000"/>
        </w:rPr>
      </w:pPr>
      <w:r w:rsidRPr="00A60756">
        <w:rPr>
          <w:color w:val="000000"/>
        </w:rPr>
        <w:t>Through the SMS, the FBI aims to strike the appropriate balance between its national security and criminal missions, and between short-term tactical efforts and longer-term strategic initiatives.  Strategic management of the FBI’s two greatest assets, its employees and information, helps address the current mission and position</w:t>
      </w:r>
      <w:r>
        <w:rPr>
          <w:color w:val="000000"/>
        </w:rPr>
        <w:t>s</w:t>
      </w:r>
      <w:r w:rsidRPr="00A60756">
        <w:rPr>
          <w:color w:val="000000"/>
        </w:rPr>
        <w:t xml:space="preserve"> the FBI to meet future challenges.  </w:t>
      </w:r>
    </w:p>
    <w:p w:rsidR="00FC5590" w:rsidRPr="00A60756" w:rsidRDefault="00FC5590" w:rsidP="007471A8">
      <w:pPr>
        <w:tabs>
          <w:tab w:val="num" w:pos="0"/>
        </w:tabs>
        <w:contextualSpacing/>
        <w:rPr>
          <w:color w:val="000000"/>
          <w:u w:val="single"/>
        </w:rPr>
      </w:pPr>
    </w:p>
    <w:p w:rsidR="00FC5590" w:rsidRPr="00A60756" w:rsidRDefault="00FC5590" w:rsidP="007471A8">
      <w:pPr>
        <w:tabs>
          <w:tab w:val="num" w:pos="0"/>
        </w:tabs>
        <w:contextualSpacing/>
        <w:rPr>
          <w:color w:val="000000"/>
          <w:highlight w:val="yellow"/>
          <w:u w:val="single"/>
        </w:rPr>
      </w:pPr>
      <w:r w:rsidRPr="00A60756">
        <w:rPr>
          <w:color w:val="000000"/>
        </w:rPr>
        <w:t xml:space="preserve">Led by the Director and facilitated by the Resource Planning Office (RPO), SMS is based on the Balanced Scorecard framework and has a twofold purpose: to implement the FBI’s strategic plan, and to unify strategic planning efforts throughout the </w:t>
      </w:r>
      <w:r w:rsidR="00282541">
        <w:rPr>
          <w:color w:val="000000"/>
        </w:rPr>
        <w:t>Bureau</w:t>
      </w:r>
      <w:r w:rsidRPr="00A60756">
        <w:rPr>
          <w:color w:val="000000"/>
        </w:rPr>
        <w:t>. SMS</w:t>
      </w:r>
      <w:r w:rsidR="00282541">
        <w:rPr>
          <w:color w:val="000000"/>
        </w:rPr>
        <w:t xml:space="preserve"> accomplishes this</w:t>
      </w:r>
      <w:r w:rsidRPr="00A60756">
        <w:rPr>
          <w:color w:val="000000"/>
        </w:rPr>
        <w:t xml:space="preserve"> by aligning each Division’s resources and activities to the FBI’s top ten priorities and delineating how the priorities will be achieved. </w:t>
      </w:r>
    </w:p>
    <w:p w:rsidR="00FC5590" w:rsidRPr="00A60756" w:rsidRDefault="00FC5590" w:rsidP="007471A8">
      <w:pPr>
        <w:ind w:left="216"/>
        <w:contextualSpacing/>
        <w:rPr>
          <w:color w:val="000000"/>
          <w:highlight w:val="yellow"/>
          <w:u w:val="single"/>
        </w:rPr>
      </w:pPr>
    </w:p>
    <w:p w:rsidR="00FC5590" w:rsidRPr="00A60756" w:rsidRDefault="00FC5590" w:rsidP="007471A8">
      <w:pPr>
        <w:contextualSpacing/>
        <w:rPr>
          <w:color w:val="000000"/>
        </w:rPr>
      </w:pPr>
      <w:r w:rsidRPr="00A60756">
        <w:rPr>
          <w:color w:val="000000"/>
        </w:rPr>
        <w:t xml:space="preserve">The FBI’s SMS consists of several major, interrelated components: </w:t>
      </w:r>
    </w:p>
    <w:p w:rsidR="00FC5590" w:rsidRPr="00A60756" w:rsidRDefault="00FC5590" w:rsidP="007471A8">
      <w:pPr>
        <w:numPr>
          <w:ilvl w:val="0"/>
          <w:numId w:val="17"/>
        </w:numPr>
        <w:contextualSpacing/>
        <w:rPr>
          <w:color w:val="000000"/>
        </w:rPr>
      </w:pPr>
      <w:r w:rsidRPr="00A60756">
        <w:rPr>
          <w:color w:val="000000"/>
        </w:rPr>
        <w:t>Strategic Shifts</w:t>
      </w:r>
    </w:p>
    <w:p w:rsidR="00FC5590" w:rsidRPr="00A60756" w:rsidRDefault="00FC5590" w:rsidP="007471A8">
      <w:pPr>
        <w:numPr>
          <w:ilvl w:val="0"/>
          <w:numId w:val="17"/>
        </w:numPr>
        <w:contextualSpacing/>
        <w:rPr>
          <w:color w:val="000000"/>
        </w:rPr>
      </w:pPr>
      <w:r w:rsidRPr="00A60756">
        <w:rPr>
          <w:color w:val="000000"/>
        </w:rPr>
        <w:t>Strategy Map</w:t>
      </w:r>
    </w:p>
    <w:p w:rsidR="00FC5590" w:rsidRDefault="00FC5590" w:rsidP="007471A8">
      <w:pPr>
        <w:numPr>
          <w:ilvl w:val="0"/>
          <w:numId w:val="17"/>
        </w:numPr>
        <w:contextualSpacing/>
        <w:rPr>
          <w:color w:val="000000"/>
        </w:rPr>
      </w:pPr>
      <w:r w:rsidRPr="00A60756">
        <w:rPr>
          <w:color w:val="000000"/>
        </w:rPr>
        <w:t>Balanced Scorecard/SMS Profile</w:t>
      </w:r>
    </w:p>
    <w:p w:rsidR="00FC5590" w:rsidRPr="00A60756" w:rsidRDefault="00FC5590" w:rsidP="007471A8">
      <w:pPr>
        <w:numPr>
          <w:ilvl w:val="0"/>
          <w:numId w:val="17"/>
        </w:numPr>
        <w:contextualSpacing/>
        <w:rPr>
          <w:color w:val="000000"/>
        </w:rPr>
      </w:pPr>
      <w:r>
        <w:rPr>
          <w:color w:val="000000"/>
        </w:rPr>
        <w:t>Strategic Initiatives</w:t>
      </w:r>
    </w:p>
    <w:p w:rsidR="00FC5590" w:rsidRPr="00A60756" w:rsidRDefault="00FC5590" w:rsidP="007471A8">
      <w:pPr>
        <w:ind w:left="216"/>
        <w:contextualSpacing/>
        <w:rPr>
          <w:color w:val="000000"/>
          <w:highlight w:val="yellow"/>
          <w:u w:val="single"/>
        </w:rPr>
      </w:pPr>
    </w:p>
    <w:p w:rsidR="00FC5590" w:rsidRPr="00A60756" w:rsidRDefault="00FC5590" w:rsidP="007471A8">
      <w:pPr>
        <w:contextualSpacing/>
        <w:rPr>
          <w:color w:val="000000"/>
          <w:u w:val="single"/>
        </w:rPr>
      </w:pPr>
      <w:r w:rsidRPr="00A60756">
        <w:rPr>
          <w:color w:val="000000"/>
          <w:u w:val="single"/>
        </w:rPr>
        <w:t>Strategic Shifts</w:t>
      </w:r>
    </w:p>
    <w:p w:rsidR="00FC5590" w:rsidRPr="00A60756" w:rsidRDefault="00FC5590" w:rsidP="007471A8">
      <w:pPr>
        <w:contextualSpacing/>
      </w:pPr>
      <w:r w:rsidRPr="00A60756">
        <w:rPr>
          <w:color w:val="000000"/>
        </w:rPr>
        <w:t>The FBI’s strategic shifts, shown below, consist of a set of focus areas selected by FBI leadership, along with the perceived present state (on the left) and intended future state (on the right) for each area.  While the focus areas are not designed to be all-encompassing, they represent the key dimensions in which the organization needs to change in order to achieve its mission.  The areas are often a combination of organizational, cultural, and technological changes that FBI leadership has identified as necessary to address over the next five years in order to realize the Bureau’s vision.</w:t>
      </w:r>
      <w:r>
        <w:rPr>
          <w:color w:val="000000"/>
        </w:rPr>
        <w:t xml:space="preserve"> The strategic shifts were initially identified and defined in 2006. </w:t>
      </w:r>
      <w:r w:rsidR="00282541">
        <w:rPr>
          <w:color w:val="000000"/>
        </w:rPr>
        <w:t xml:space="preserve"> Five years later, i</w:t>
      </w:r>
      <w:r>
        <w:rPr>
          <w:color w:val="000000"/>
        </w:rPr>
        <w:t>n 2011, FBI management assessed the Bureau’s progress on each shift and re-defined the strategic shifts, as shown below.</w:t>
      </w:r>
      <w:r w:rsidRPr="00A60756">
        <w:rPr>
          <w:color w:val="000000"/>
        </w:rPr>
        <w:t xml:space="preserve">   </w:t>
      </w:r>
    </w:p>
    <w:p w:rsidR="00FC5590" w:rsidRPr="00736456" w:rsidRDefault="00FC5590" w:rsidP="007471A8">
      <w:pPr>
        <w:contextualSpacing/>
        <w:rPr>
          <w:color w:val="000000"/>
        </w:rPr>
      </w:pPr>
      <w:r w:rsidRPr="00736456">
        <w:rPr>
          <w:color w:val="000000"/>
        </w:rPr>
        <w:t> </w:t>
      </w:r>
    </w:p>
    <w:p w:rsidR="00FC5590" w:rsidRPr="00CB4D2B" w:rsidRDefault="00FC5590" w:rsidP="007471A8">
      <w:pPr>
        <w:contextualSpacing/>
        <w:rPr>
          <w:color w:val="000000"/>
        </w:rPr>
      </w:pPr>
      <w:r w:rsidRPr="00337C2C">
        <w:rPr>
          <w:noProof/>
          <w:color w:val="000000"/>
        </w:rPr>
        <w:lastRenderedPageBreak/>
        <w:drawing>
          <wp:anchor distT="0" distB="0" distL="114300" distR="114300" simplePos="0" relativeHeight="251707392" behindDoc="0" locked="0" layoutInCell="1" allowOverlap="1">
            <wp:simplePos x="710166" y="691116"/>
            <wp:positionH relativeFrom="margin">
              <wp:align>center</wp:align>
            </wp:positionH>
            <wp:positionV relativeFrom="margin">
              <wp:align>top</wp:align>
            </wp:positionV>
            <wp:extent cx="5945815" cy="3710763"/>
            <wp:effectExtent l="19050" t="0" r="0" b="0"/>
            <wp:wrapSquare wrapText="bothSides"/>
            <wp:docPr id="4" name="Picture 4" descr="FY12 Shifts.png"/>
            <wp:cNvGraphicFramePr/>
            <a:graphic xmlns:a="http://schemas.openxmlformats.org/drawingml/2006/main">
              <a:graphicData uri="http://schemas.openxmlformats.org/drawingml/2006/picture">
                <pic:pic xmlns:pic="http://schemas.openxmlformats.org/drawingml/2006/picture">
                  <pic:nvPicPr>
                    <pic:cNvPr id="26629" name="Picture 1066" descr="FY12 Shifts.png"/>
                    <pic:cNvPicPr>
                      <a:picLocks noChangeAspect="1"/>
                    </pic:cNvPicPr>
                  </pic:nvPicPr>
                  <pic:blipFill>
                    <a:blip r:embed="rId11" cstate="print"/>
                    <a:srcRect/>
                    <a:stretch>
                      <a:fillRect/>
                    </a:stretch>
                  </pic:blipFill>
                  <pic:spPr bwMode="auto">
                    <a:xfrm>
                      <a:off x="0" y="0"/>
                      <a:ext cx="5945815" cy="3710763"/>
                    </a:xfrm>
                    <a:prstGeom prst="rect">
                      <a:avLst/>
                    </a:prstGeom>
                    <a:noFill/>
                    <a:ln w="9525">
                      <a:noFill/>
                      <a:miter lim="800000"/>
                      <a:headEnd/>
                      <a:tailEnd/>
                    </a:ln>
                  </pic:spPr>
                </pic:pic>
              </a:graphicData>
            </a:graphic>
          </wp:anchor>
        </w:drawing>
      </w:r>
    </w:p>
    <w:p w:rsidR="00FC5590" w:rsidRPr="00736456" w:rsidRDefault="00FC5590" w:rsidP="00F655D6">
      <w:pPr>
        <w:contextualSpacing/>
        <w:rPr>
          <w:color w:val="000000"/>
          <w:u w:val="single"/>
        </w:rPr>
      </w:pPr>
      <w:r w:rsidRPr="00736456">
        <w:rPr>
          <w:color w:val="000000"/>
          <w:u w:val="single"/>
        </w:rPr>
        <w:t>Strategy Map</w:t>
      </w:r>
    </w:p>
    <w:p w:rsidR="00FC5590" w:rsidRPr="00736456" w:rsidRDefault="00FC5590" w:rsidP="007471A8">
      <w:pPr>
        <w:contextualSpacing/>
        <w:rPr>
          <w:color w:val="010101"/>
        </w:rPr>
      </w:pPr>
      <w:r w:rsidRPr="00736456">
        <w:rPr>
          <w:color w:val="000000"/>
        </w:rPr>
        <w:t>The FBI Strategy Map is a visual representation of the organization’s strategic objectives. These objectives are organized by four broad themes: American Public Expectations, Internal Processes, Talent and Technology, and Resources. </w:t>
      </w:r>
      <w:r w:rsidRPr="00736456">
        <w:rPr>
          <w:color w:val="010101"/>
        </w:rPr>
        <w:t xml:space="preserve"> The FBI is guided by a Strategy Map consisting of 25 strategic objectives, falling under 7 different themes, as shown below.  The Strategy Map describes the “story of the strategy” through a one-page, concise visual representation.  </w:t>
      </w:r>
    </w:p>
    <w:p w:rsidR="00FC5590" w:rsidRPr="00736456" w:rsidRDefault="00FC5590" w:rsidP="007471A8">
      <w:pPr>
        <w:contextualSpacing/>
        <w:rPr>
          <w:color w:val="010101"/>
        </w:rPr>
      </w:pPr>
    </w:p>
    <w:p w:rsidR="00FC5590" w:rsidRPr="00736456" w:rsidRDefault="00F655D6" w:rsidP="007471A8">
      <w:pPr>
        <w:contextualSpacing/>
        <w:rPr>
          <w:color w:val="010101"/>
        </w:rPr>
      </w:pPr>
      <w:r w:rsidRPr="00F655D6">
        <w:rPr>
          <w:noProof/>
        </w:rPr>
        <w:lastRenderedPageBreak/>
        <w:drawing>
          <wp:inline distT="0" distB="0" distL="0" distR="0">
            <wp:extent cx="6172200" cy="4624705"/>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72200" cy="4624705"/>
                    </a:xfrm>
                    <a:prstGeom prst="rect">
                      <a:avLst/>
                    </a:prstGeom>
                    <a:noFill/>
                    <a:ln w="9525">
                      <a:noFill/>
                      <a:miter lim="800000"/>
                      <a:headEnd/>
                      <a:tailEnd/>
                    </a:ln>
                  </pic:spPr>
                </pic:pic>
              </a:graphicData>
            </a:graphic>
          </wp:inline>
        </w:drawing>
      </w:r>
    </w:p>
    <w:p w:rsidR="00FC5590" w:rsidRPr="00736456" w:rsidRDefault="00FC5590" w:rsidP="007471A8">
      <w:pPr>
        <w:contextualSpacing/>
      </w:pPr>
      <w:r w:rsidRPr="00736456">
        <w:rPr>
          <w:color w:val="010101"/>
        </w:rPr>
        <w:t xml:space="preserve">The Strategy Map provides the ability to portray the FBI’s strategy.  The story can be told from the “top down:” </w:t>
      </w:r>
      <w:r>
        <w:rPr>
          <w:color w:val="010101"/>
        </w:rPr>
        <w:t>t</w:t>
      </w:r>
      <w:r w:rsidRPr="00736456">
        <w:rPr>
          <w:color w:val="010101"/>
        </w:rPr>
        <w:t xml:space="preserve">he FBI will achieve its mission and meet the expectations of the American public by utilizing intelligence and investigations to deter, detect, and disrupt national security threats and criminal activity.  It will support these critical operational processes by excelling at managing the organization and by maximizing partnerships with federal, state, local, and international partners.  The organization’s people and technology provide the capabilities to operate these critical internal processes.  Therefore, the FBI must optimize and align its resources in order to maximize workforce success and leverage technology and science.   </w:t>
      </w:r>
    </w:p>
    <w:p w:rsidR="00FC5590" w:rsidRPr="00736456" w:rsidRDefault="00FC5590" w:rsidP="007471A8">
      <w:pPr>
        <w:contextualSpacing/>
        <w:rPr>
          <w:color w:val="010101"/>
        </w:rPr>
      </w:pPr>
    </w:p>
    <w:p w:rsidR="00FC5590" w:rsidRPr="00736456" w:rsidRDefault="00FC5590" w:rsidP="007471A8">
      <w:pPr>
        <w:contextualSpacing/>
      </w:pPr>
      <w:r w:rsidRPr="00736456">
        <w:rPr>
          <w:color w:val="010101"/>
        </w:rPr>
        <w:t xml:space="preserve">Alternatively, the story can be told from the “bottom up:” </w:t>
      </w:r>
      <w:r>
        <w:rPr>
          <w:color w:val="010101"/>
        </w:rPr>
        <w:t>t</w:t>
      </w:r>
      <w:r w:rsidRPr="00736456">
        <w:rPr>
          <w:color w:val="010101"/>
        </w:rPr>
        <w:t xml:space="preserve">he FBI will optimize its resources in order to hire, train and retain the right people, and implement the necessary technology to support its operations.  The Bureau will manage the business effectively and leverage partnerships in order to help deter, detect, and disrupt national security threats and criminal activity.  By integrating intelligence with law enforcement, and maintaining traditional standards in other operations, the FBI will execute its mission and meet the expectations of the American people. </w:t>
      </w:r>
    </w:p>
    <w:p w:rsidR="00FC5590" w:rsidRDefault="00FC5590" w:rsidP="007471A8">
      <w:pPr>
        <w:contextualSpacing/>
        <w:rPr>
          <w:color w:val="010101"/>
          <w:u w:val="single"/>
        </w:rPr>
      </w:pPr>
    </w:p>
    <w:p w:rsidR="00A2667E" w:rsidRDefault="00A2667E" w:rsidP="007471A8">
      <w:pPr>
        <w:contextualSpacing/>
        <w:rPr>
          <w:color w:val="000000"/>
          <w:u w:val="single"/>
        </w:rPr>
      </w:pPr>
      <w:r>
        <w:rPr>
          <w:color w:val="000000"/>
          <w:u w:val="single"/>
        </w:rPr>
        <w:br w:type="page"/>
      </w:r>
    </w:p>
    <w:p w:rsidR="00FC5590" w:rsidRPr="00736456" w:rsidRDefault="00FC5590" w:rsidP="007471A8">
      <w:pPr>
        <w:contextualSpacing/>
      </w:pPr>
      <w:r w:rsidRPr="00736456">
        <w:rPr>
          <w:color w:val="000000"/>
          <w:u w:val="single"/>
        </w:rPr>
        <w:lastRenderedPageBreak/>
        <w:t>SMS Profile</w:t>
      </w:r>
      <w:r>
        <w:rPr>
          <w:color w:val="000000"/>
          <w:u w:val="single"/>
        </w:rPr>
        <w:t xml:space="preserve"> and Initiatives</w:t>
      </w:r>
    </w:p>
    <w:p w:rsidR="00FC5590" w:rsidRPr="00736456" w:rsidRDefault="00FC5590" w:rsidP="007471A8">
      <w:pPr>
        <w:contextualSpacing/>
        <w:rPr>
          <w:color w:val="000000"/>
        </w:rPr>
      </w:pPr>
      <w:r w:rsidRPr="00736456">
        <w:rPr>
          <w:color w:val="000000"/>
        </w:rPr>
        <w:t xml:space="preserve">The SMS profile serves as the framework to translate strategy into a list of operational objectives, measures, and initiatives that drive behavior and performance.  </w:t>
      </w:r>
      <w:r w:rsidRPr="00736456">
        <w:rPr>
          <w:color w:val="010101"/>
        </w:rPr>
        <w:t xml:space="preserve">Each of the objectives identified on the Strategy Map is linked to one or more measures and each measure has a target that defines success.  In addition, key strategic initiatives are identified and tracked to ensure that any performance gaps are closed. </w:t>
      </w:r>
    </w:p>
    <w:p w:rsidR="00FC5590" w:rsidRPr="00736456" w:rsidRDefault="00FC5590" w:rsidP="007471A8">
      <w:pPr>
        <w:contextualSpacing/>
        <w:rPr>
          <w:color w:val="000000"/>
          <w:highlight w:val="yellow"/>
        </w:rPr>
      </w:pPr>
    </w:p>
    <w:p w:rsidR="00FC5590" w:rsidRPr="00736456" w:rsidRDefault="00FC5590" w:rsidP="007471A8">
      <w:pPr>
        <w:contextualSpacing/>
        <w:rPr>
          <w:color w:val="000000"/>
          <w:u w:val="single"/>
        </w:rPr>
      </w:pPr>
      <w:r w:rsidRPr="00736456">
        <w:rPr>
          <w:color w:val="000000"/>
        </w:rPr>
        <w:t xml:space="preserve">The FBI’s leadership team uses SMS to manage organizational performance by conducting regular strategy review meetings.  At these meetings, leadership reviews SMS profiles, along with information and data on SMS </w:t>
      </w:r>
      <w:r w:rsidRPr="00736456">
        <w:rPr>
          <w:rFonts w:eastAsia="SimSun"/>
          <w:color w:val="000000"/>
        </w:rPr>
        <w:t>objectives</w:t>
      </w:r>
      <w:r w:rsidRPr="00736456">
        <w:rPr>
          <w:color w:val="000000"/>
        </w:rPr>
        <w:t>, measures, and initiatives.  During these meetings, the leadership team discusses performance and makes decisions on resolving critical performance issues.</w:t>
      </w:r>
    </w:p>
    <w:p w:rsidR="00FC5590" w:rsidRPr="00736456" w:rsidRDefault="00FC5590" w:rsidP="007471A8">
      <w:pPr>
        <w:contextualSpacing/>
        <w:rPr>
          <w:color w:val="000000"/>
          <w:highlight w:val="yellow"/>
          <w:u w:val="single"/>
        </w:rPr>
      </w:pPr>
    </w:p>
    <w:p w:rsidR="00FC5590" w:rsidRPr="00736456" w:rsidRDefault="00FC5590" w:rsidP="007471A8">
      <w:pPr>
        <w:contextualSpacing/>
        <w:rPr>
          <w:color w:val="000000"/>
        </w:rPr>
      </w:pPr>
      <w:r w:rsidRPr="00736456">
        <w:rPr>
          <w:color w:val="000000"/>
        </w:rPr>
        <w:t>Ultimately, the FBI’s field offices are central to implementing the organization’s strategy.  Accordingly, in addition to these strategy review meetings, the FBI uses Strategic Performance Sessions (SPS) to obtain perspectives on key strategic issues from the field offices’ perspective.  These sessions are led by the Deputy Director and typically focus on discussions with field managers on a key area of the FBI’s strategy.  </w:t>
      </w:r>
    </w:p>
    <w:p w:rsidR="00FC5590" w:rsidRPr="00736456" w:rsidRDefault="00FC5590" w:rsidP="007471A8">
      <w:pPr>
        <w:contextualSpacing/>
        <w:rPr>
          <w:color w:val="000000"/>
          <w:highlight w:val="yellow"/>
          <w:u w:val="single"/>
        </w:rPr>
      </w:pPr>
    </w:p>
    <w:p w:rsidR="00FC5590" w:rsidRPr="00736456" w:rsidRDefault="00FC5590" w:rsidP="007471A8">
      <w:pPr>
        <w:contextualSpacing/>
        <w:rPr>
          <w:color w:val="000000"/>
        </w:rPr>
      </w:pPr>
      <w:r w:rsidRPr="00736456">
        <w:rPr>
          <w:color w:val="000000"/>
        </w:rPr>
        <w:t>The SMS is a continuous process for driving evolutionary improvements.  Reviews not only track strategic progress; they also examine what is working and not working and what needs to be adjusted.  Over time, the Strategy Map and the 25 objectives may change.  Initiatives that are not succeeding are provided with the support they need to succeed or will be eliminated, and other initiatives are added to address identified gaps.  The SMS provides the flexibility the FBI needs to stay ahead of changing threats and demographic and other trends that impact its mission.</w:t>
      </w:r>
    </w:p>
    <w:p w:rsidR="00FC5590" w:rsidRPr="00736456" w:rsidRDefault="00FC5590" w:rsidP="007471A8">
      <w:pPr>
        <w:contextualSpacing/>
        <w:rPr>
          <w:b/>
          <w:bCs/>
          <w:u w:val="single"/>
        </w:rPr>
      </w:pPr>
      <w:r w:rsidRPr="00736456" w:rsidDel="00C44D34">
        <w:rPr>
          <w:color w:val="000000"/>
        </w:rPr>
        <w:t xml:space="preserve"> </w:t>
      </w:r>
    </w:p>
    <w:p w:rsidR="00FC5590" w:rsidRPr="00736456" w:rsidRDefault="00FC5590" w:rsidP="007471A8">
      <w:pPr>
        <w:contextualSpacing/>
      </w:pPr>
      <w:r w:rsidRPr="00736456">
        <w:rPr>
          <w:b/>
          <w:bCs/>
          <w:u w:val="single"/>
        </w:rPr>
        <w:t>Intelligence-Driven Operations</w:t>
      </w:r>
      <w:r w:rsidRPr="00736456">
        <w:rPr>
          <w:b/>
          <w:bCs/>
        </w:rPr>
        <w:t>:</w:t>
      </w:r>
      <w:r w:rsidRPr="00736456">
        <w:t xml:space="preserve">  </w:t>
      </w:r>
    </w:p>
    <w:p w:rsidR="00FC5590" w:rsidRPr="00736456" w:rsidRDefault="00FC5590" w:rsidP="007471A8">
      <w:pPr>
        <w:contextualSpacing/>
      </w:pPr>
    </w:p>
    <w:p w:rsidR="00FC5590" w:rsidRPr="00736456" w:rsidRDefault="00FC5590" w:rsidP="007471A8">
      <w:pPr>
        <w:contextualSpacing/>
      </w:pPr>
      <w:r w:rsidRPr="00736456">
        <w:t xml:space="preserve">Since the events of September 11, 2001, the FBI has transformed from a law enforcement agency to a </w:t>
      </w:r>
      <w:r w:rsidRPr="00736456">
        <w:rPr>
          <w:i/>
          <w:iCs/>
        </w:rPr>
        <w:t>national security and law enforcement</w:t>
      </w:r>
      <w:r w:rsidRPr="00736456">
        <w:t xml:space="preserve"> agency.  The FBI uses intelligence to understand national security threats, and to conduct operations to dismantle or disrupt those threats.  Some examples of how the FBI uses intelligence to drive its operations include:</w:t>
      </w:r>
    </w:p>
    <w:p w:rsidR="00FC5590" w:rsidRPr="00736456" w:rsidRDefault="00FC5590" w:rsidP="007471A8">
      <w:pPr>
        <w:numPr>
          <w:ilvl w:val="0"/>
          <w:numId w:val="16"/>
        </w:numPr>
        <w:contextualSpacing/>
        <w:rPr>
          <w:rFonts w:eastAsia="SimSun"/>
          <w:lang w:eastAsia="zh-CN"/>
        </w:rPr>
      </w:pPr>
      <w:r w:rsidRPr="00736456">
        <w:rPr>
          <w:rFonts w:eastAsia="SimSun"/>
          <w:u w:val="single"/>
          <w:lang w:eastAsia="zh-CN"/>
        </w:rPr>
        <w:t>Field Intelligence Groups (FIGs)</w:t>
      </w:r>
      <w:r w:rsidRPr="00736456">
        <w:rPr>
          <w:rFonts w:eastAsia="SimSun"/>
          <w:lang w:eastAsia="zh-CN"/>
        </w:rPr>
        <w:t>: The FBI developed a standardized model for field intelligence that can be adjusted to the size and complexity of small, medium, and large offices.  There are now 56 FIGs throughout the nation.</w:t>
      </w:r>
    </w:p>
    <w:p w:rsidR="00FC5590" w:rsidRPr="00736456" w:rsidRDefault="00FC5590" w:rsidP="007471A8">
      <w:pPr>
        <w:numPr>
          <w:ilvl w:val="0"/>
          <w:numId w:val="16"/>
        </w:numPr>
        <w:contextualSpacing/>
        <w:rPr>
          <w:rFonts w:eastAsia="SimSun"/>
          <w:lang w:eastAsia="zh-CN"/>
        </w:rPr>
      </w:pPr>
      <w:r w:rsidRPr="00736456">
        <w:rPr>
          <w:rFonts w:eastAsia="SimSun"/>
          <w:u w:val="single"/>
          <w:lang w:eastAsia="zh-CN"/>
        </w:rPr>
        <w:t>Central Strategic Coordinating Components (CSCCs)</w:t>
      </w:r>
      <w:r w:rsidRPr="00736456">
        <w:rPr>
          <w:rFonts w:eastAsia="SimSun"/>
          <w:lang w:eastAsia="zh-CN"/>
        </w:rPr>
        <w:t>:  These intelligence components are embedded into the Headquarters’ operational divisions in order to ensure intelligence-driven operational strategies and provide a view of national threats.</w:t>
      </w:r>
    </w:p>
    <w:p w:rsidR="00FC5590" w:rsidRPr="00736456" w:rsidRDefault="00FC5590" w:rsidP="007471A8">
      <w:pPr>
        <w:numPr>
          <w:ilvl w:val="0"/>
          <w:numId w:val="16"/>
        </w:numPr>
        <w:contextualSpacing/>
        <w:rPr>
          <w:rFonts w:eastAsia="SimSun"/>
          <w:lang w:eastAsia="zh-CN"/>
        </w:rPr>
      </w:pPr>
      <w:r w:rsidRPr="00736456">
        <w:rPr>
          <w:rFonts w:eastAsia="SimSun"/>
          <w:u w:val="single"/>
          <w:lang w:eastAsia="zh-CN"/>
        </w:rPr>
        <w:t>The Collection Operations Requirements Environment (</w:t>
      </w:r>
      <w:smartTag w:uri="urn:schemas-microsoft-com:office:smarttags" w:element="stockticker">
        <w:r w:rsidRPr="00736456">
          <w:rPr>
            <w:rFonts w:eastAsia="SimSun"/>
            <w:u w:val="single"/>
            <w:lang w:eastAsia="zh-CN"/>
          </w:rPr>
          <w:t>CORE</w:t>
        </w:r>
      </w:smartTag>
      <w:r w:rsidRPr="00736456">
        <w:rPr>
          <w:rFonts w:eastAsia="SimSun"/>
          <w:u w:val="single"/>
          <w:lang w:eastAsia="zh-CN"/>
        </w:rPr>
        <w:t>)</w:t>
      </w:r>
      <w:r w:rsidRPr="00736456">
        <w:rPr>
          <w:rFonts w:eastAsia="SimSun"/>
          <w:lang w:eastAsia="zh-CN"/>
        </w:rPr>
        <w:t xml:space="preserve">:  </w:t>
      </w:r>
      <w:smartTag w:uri="urn:schemas-microsoft-com:office:smarttags" w:element="stockticker">
        <w:r w:rsidRPr="00736456">
          <w:rPr>
            <w:rFonts w:eastAsia="SimSun"/>
            <w:lang w:eastAsia="zh-CN"/>
          </w:rPr>
          <w:t>CORE</w:t>
        </w:r>
      </w:smartTag>
      <w:r w:rsidRPr="00736456">
        <w:rPr>
          <w:rFonts w:eastAsia="SimSun"/>
          <w:lang w:eastAsia="zh-CN"/>
        </w:rPr>
        <w:t xml:space="preserve"> is a technology solution that makes FBI and national intelligence requirements easily accessible to all field office personnel and improves information flow between operational squads and the </w:t>
      </w:r>
      <w:proofErr w:type="spellStart"/>
      <w:r w:rsidRPr="00736456">
        <w:rPr>
          <w:rFonts w:eastAsia="SimSun"/>
          <w:lang w:eastAsia="zh-CN"/>
        </w:rPr>
        <w:t>FIGs.</w:t>
      </w:r>
      <w:proofErr w:type="spellEnd"/>
      <w:r w:rsidRPr="00736456">
        <w:rPr>
          <w:rFonts w:eastAsia="SimSun"/>
          <w:lang w:eastAsia="zh-CN"/>
        </w:rPr>
        <w:t xml:space="preserve">  </w:t>
      </w:r>
    </w:p>
    <w:p w:rsidR="00F0004F" w:rsidRDefault="00F0004F" w:rsidP="007471A8">
      <w:pPr>
        <w:contextualSpacing/>
        <w:rPr>
          <w:b/>
          <w:bCs/>
          <w:u w:val="single"/>
        </w:rPr>
      </w:pPr>
    </w:p>
    <w:p w:rsidR="00FC5590" w:rsidRPr="00736456" w:rsidRDefault="00FC5590" w:rsidP="007471A8">
      <w:pPr>
        <w:contextualSpacing/>
        <w:rPr>
          <w:b/>
          <w:bCs/>
        </w:rPr>
      </w:pPr>
      <w:r w:rsidRPr="00736456">
        <w:rPr>
          <w:b/>
          <w:bCs/>
          <w:u w:val="single"/>
        </w:rPr>
        <w:t>Multi-year Planning</w:t>
      </w:r>
      <w:r w:rsidRPr="00736456">
        <w:rPr>
          <w:b/>
          <w:bCs/>
        </w:rPr>
        <w:t xml:space="preserve">:  </w:t>
      </w:r>
    </w:p>
    <w:p w:rsidR="00FC5590" w:rsidRPr="00736456" w:rsidRDefault="00FC5590" w:rsidP="007471A8">
      <w:pPr>
        <w:ind w:left="216"/>
        <w:contextualSpacing/>
      </w:pPr>
    </w:p>
    <w:p w:rsidR="00FC5590" w:rsidRPr="00736456" w:rsidRDefault="00FC5590" w:rsidP="007471A8">
      <w:pPr>
        <w:contextualSpacing/>
      </w:pPr>
      <w:r w:rsidRPr="00736456">
        <w:t>An increasing number of the FBI's programs and initiatives are multi-year in nature, and require phased development, deployment, and operations/maintenance funding.  A multi-year planning approach allows FBI management to better understand the implications of prop</w:t>
      </w:r>
      <w:r>
        <w:t>osed initiatives.</w:t>
      </w:r>
    </w:p>
    <w:p w:rsidR="00FC5590" w:rsidRPr="00736456" w:rsidRDefault="00FC5590" w:rsidP="007471A8">
      <w:pPr>
        <w:ind w:left="216"/>
        <w:contextualSpacing/>
        <w:rPr>
          <w:u w:val="single"/>
        </w:rPr>
      </w:pPr>
    </w:p>
    <w:p w:rsidR="00FC5590" w:rsidRDefault="00FC5590" w:rsidP="007471A8">
      <w:pPr>
        <w:contextualSpacing/>
      </w:pPr>
      <w:r w:rsidRPr="00736456">
        <w:t>A new</w:t>
      </w:r>
      <w:r>
        <w:t>er</w:t>
      </w:r>
      <w:r w:rsidRPr="00736456">
        <w:t xml:space="preserve"> aspect of the multi-year planning effort is the </w:t>
      </w:r>
      <w:r>
        <w:t>Corporate Capital Planning Office</w:t>
      </w:r>
      <w:r w:rsidRPr="00736456">
        <w:t xml:space="preserve">, which is currently examining the long-term needs of </w:t>
      </w:r>
      <w:r>
        <w:t>and certain large-scale capital projects</w:t>
      </w:r>
      <w:r w:rsidRPr="00736456">
        <w:t xml:space="preserve">.  </w:t>
      </w:r>
    </w:p>
    <w:p w:rsidR="00FC5590" w:rsidRPr="00201756" w:rsidRDefault="00FC5590" w:rsidP="007471A8">
      <w:pPr>
        <w:contextualSpacing/>
        <w:rPr>
          <w:b/>
        </w:rPr>
      </w:pPr>
      <w:r w:rsidRPr="00201756">
        <w:rPr>
          <w:b/>
        </w:rPr>
        <w:lastRenderedPageBreak/>
        <w:t xml:space="preserve">D.  Environmental Accountability </w:t>
      </w:r>
    </w:p>
    <w:p w:rsidR="00FC5590" w:rsidRDefault="00FC5590" w:rsidP="007471A8">
      <w:pPr>
        <w:contextualSpacing/>
      </w:pPr>
    </w:p>
    <w:p w:rsidR="00FC5590" w:rsidRPr="00ED4064" w:rsidRDefault="00FC5590" w:rsidP="007471A8">
      <w:pPr>
        <w:contextualSpacing/>
      </w:pPr>
      <w:r w:rsidRPr="00ED4064">
        <w:t xml:space="preserve">The FBI has begun developing an Organizational Environmental Management System (EMS) that will provide corporate-wide environmental protection standards to deploy to the field offices and major facilities (to include CJIS, Quantico, and </w:t>
      </w:r>
      <w:r>
        <w:t>HQ</w:t>
      </w:r>
      <w:r w:rsidRPr="00ED4064">
        <w:t xml:space="preserve">).  The organizational </w:t>
      </w:r>
      <w:r>
        <w:t>EMS will be</w:t>
      </w:r>
      <w:r w:rsidRPr="00ED4064">
        <w:t xml:space="preserve"> developed and implemented through Environmental Protection Programs (EPPs) that establish policy and procedure in major environmental programmatic areas (e.g., hazardous waste management, energy management</w:t>
      </w:r>
      <w:r w:rsidRPr="00240C64">
        <w:t xml:space="preserve">).  The first three EPPs are being developed and will be fully implemented at the end of FY 2012. </w:t>
      </w:r>
      <w:bookmarkStart w:id="1" w:name="_GoBack"/>
      <w:bookmarkEnd w:id="1"/>
      <w:r w:rsidRPr="00240C64">
        <w:t xml:space="preserve"> Individual facility and field office EMSs will follow.  An overarching environmental policy is currently being reviewed by FBI top management to serve as the guiding framework for developing, implementing, and continually improving the EMS.</w:t>
      </w:r>
      <w:r w:rsidRPr="00ED4064">
        <w:t xml:space="preserve">  </w:t>
      </w:r>
    </w:p>
    <w:p w:rsidR="00FC5590" w:rsidRPr="00ED4064" w:rsidRDefault="00FC5590" w:rsidP="007471A8">
      <w:pPr>
        <w:contextualSpacing/>
      </w:pPr>
    </w:p>
    <w:p w:rsidR="00FC5590" w:rsidRPr="00ED4064" w:rsidRDefault="00FC5590" w:rsidP="007471A8">
      <w:pPr>
        <w:contextualSpacing/>
      </w:pPr>
      <w:r w:rsidRPr="00ED4064">
        <w:t xml:space="preserve"> The FBI is revising its safety committee policy and procedures to expand the jurisdiction of our safety committees to include environmental issues.  In essence, these safety committees – which are in place within all Bureau Divisions and major facilities – will become “green teams” as well and will provide a forum for discussion of environmental issues and a mechanism for EMS implementation.</w:t>
      </w:r>
    </w:p>
    <w:p w:rsidR="00FC5590" w:rsidRPr="00ED4064" w:rsidRDefault="00FC5590" w:rsidP="007471A8">
      <w:pPr>
        <w:contextualSpacing/>
      </w:pPr>
    </w:p>
    <w:p w:rsidR="00FC5590" w:rsidRPr="00ED4064" w:rsidRDefault="00FC5590" w:rsidP="007471A8">
      <w:pPr>
        <w:contextualSpacing/>
      </w:pPr>
      <w:r w:rsidRPr="00ED4064">
        <w:t xml:space="preserve">The FBI actively participates in DOJ’s overall efforts to implement Executive Order 13514.  FBI provided data and input into the Department’s Strategic Sustainability Performance Plan (SSPP) and routinely corresponds with DOJ and the other Bureaus to determine the most efficient, effective methods to protect the environment.  </w:t>
      </w:r>
      <w:r>
        <w:t>The FBI completed its second greenhouse gas inventory for FY 2011</w:t>
      </w:r>
      <w:r w:rsidRPr="00ED4064">
        <w:t xml:space="preserve"> and the results of this inventory will provide additional input to decision makers as they determine where to target efficiency measures.</w:t>
      </w:r>
    </w:p>
    <w:p w:rsidR="00FC5590" w:rsidRPr="00ED4064" w:rsidRDefault="00FC5590" w:rsidP="007471A8">
      <w:pPr>
        <w:contextualSpacing/>
      </w:pPr>
    </w:p>
    <w:p w:rsidR="00FC5590" w:rsidRDefault="00FC5590" w:rsidP="007471A8">
      <w:pPr>
        <w:contextualSpacing/>
      </w:pPr>
      <w:r w:rsidRPr="00ED4064">
        <w:t xml:space="preserve">The FBI has developed a sustainable building policy that addresses requirements of Executive Orders 13423 and 13514, the Federal Leadership in High Performance and Sustainable Buildings Memorandum of Understanding of 2006, the Energy Policy Act of 2005, and the Energy Independence and Security Act of 2007.  The FBI's policy requires that new FBI-owned facilities </w:t>
      </w:r>
      <w:r>
        <w:t xml:space="preserve">over $25 million </w:t>
      </w:r>
      <w:r w:rsidRPr="00ED4064">
        <w:t xml:space="preserve">be designed and constructed to meet the minimum of a Leadership in Energy and Environmental Design (LEED) Certified Silver Rating in the New Construction category.  In addition, the policy - which was signed and implemented in 2008 - requires the installation of advanced metering devices and the use of recycled content or environmentally preferable products in construction of new facilities.  </w:t>
      </w:r>
      <w:r>
        <w:t>FBI is currently pursuing LEED Silver certification for the new Biometrics Technology Center at the CJIS Complex.</w:t>
      </w:r>
    </w:p>
    <w:p w:rsidR="00FC5590" w:rsidRPr="00ED4064" w:rsidRDefault="00FC5590" w:rsidP="007471A8">
      <w:pPr>
        <w:contextualSpacing/>
      </w:pPr>
    </w:p>
    <w:p w:rsidR="00FC5590" w:rsidRPr="00ED4064" w:rsidRDefault="00FC5590" w:rsidP="007471A8">
      <w:pPr>
        <w:contextualSpacing/>
      </w:pPr>
      <w:r w:rsidRPr="00ED4064">
        <w:t xml:space="preserve">The FBI's Fleet Management Program integrates environmental accountability into its operations in various ways.  The FBI is in the process of incorporating hybrid vehicles, alternative fuel vehicles (E85), and more fuel efficient vehicles (4 cylinders) into </w:t>
      </w:r>
      <w:r>
        <w:t>the</w:t>
      </w:r>
      <w:r w:rsidRPr="00ED4064">
        <w:t xml:space="preserve"> fleet.  Additionally, the FBI's Automotive Maintenance and Repair Facilities incorporate environmental accountability through various programs.  These facilities use re-refined motor oil for a majority of the vehicles serviced and recycle all used oil.  Automotive facilities also use air conditioning and coolant recycling machines in connection with the servicing of vehicles.  A battery exchange program is in place to ensure used batteries are returned to the vendor for proper recycling.  In addition, many facilities are reviewing the use of environmentally friendly chemicals: degreasers, hand cleaners, and general purpose cleaners, in day to day operations.  Finally, some facilities have eliminated hazardous waste entirely through pollution prevention and recycling programs. </w:t>
      </w:r>
    </w:p>
    <w:p w:rsidR="005A2338" w:rsidRDefault="005A2338" w:rsidP="007471A8">
      <w:pPr>
        <w:contextualSpacing/>
        <w:rPr>
          <w:b/>
          <w:bCs/>
        </w:rPr>
        <w:sectPr w:rsidR="005A2338" w:rsidSect="007471A8">
          <w:footerReference w:type="even" r:id="rId13"/>
          <w:footerReference w:type="default" r:id="rId14"/>
          <w:pgSz w:w="12240" w:h="15840" w:code="1"/>
          <w:pgMar w:top="1080" w:right="1080" w:bottom="1080" w:left="1080" w:header="432" w:footer="432" w:gutter="0"/>
          <w:pgNumType w:start="1"/>
          <w:cols w:space="720"/>
          <w:docGrid w:linePitch="326"/>
        </w:sectPr>
      </w:pPr>
      <w:bookmarkStart w:id="2" w:name="OLE_LINK5"/>
      <w:bookmarkStart w:id="3" w:name="OLE_LINK6"/>
    </w:p>
    <w:p w:rsidR="00092DA3" w:rsidRPr="008743C1" w:rsidRDefault="00092DA3" w:rsidP="007471A8">
      <w:pPr>
        <w:contextualSpacing/>
        <w:rPr>
          <w:b/>
          <w:bCs/>
        </w:rPr>
      </w:pPr>
      <w:bookmarkStart w:id="4" w:name="Summary_Program_Changes"/>
      <w:bookmarkEnd w:id="4"/>
      <w:r w:rsidRPr="008743C1">
        <w:rPr>
          <w:b/>
          <w:bCs/>
        </w:rPr>
        <w:lastRenderedPageBreak/>
        <w:t>II. Summary of Program Changes</w:t>
      </w:r>
    </w:p>
    <w:p w:rsidR="00092DA3" w:rsidRPr="008743C1" w:rsidRDefault="00092DA3" w:rsidP="007471A8">
      <w:pPr>
        <w:contextualSpacing/>
        <w:rPr>
          <w:b/>
          <w:bCs/>
        </w:rPr>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3600"/>
        <w:gridCol w:w="1080"/>
        <w:gridCol w:w="900"/>
        <w:gridCol w:w="1440"/>
        <w:gridCol w:w="900"/>
      </w:tblGrid>
      <w:tr w:rsidR="00092DA3" w:rsidRPr="008743C1" w:rsidTr="00F0004F">
        <w:trPr>
          <w:jc w:val="center"/>
        </w:trPr>
        <w:tc>
          <w:tcPr>
            <w:tcW w:w="3240" w:type="dxa"/>
            <w:shd w:val="clear" w:color="auto" w:fill="BFBFBF"/>
            <w:vAlign w:val="center"/>
          </w:tcPr>
          <w:p w:rsidR="00092DA3" w:rsidRPr="008743C1" w:rsidRDefault="00F53DF2" w:rsidP="007471A8">
            <w:pPr>
              <w:pStyle w:val="BodyText"/>
              <w:contextualSpacing/>
              <w:rPr>
                <w:b/>
                <w:bCs/>
                <w:szCs w:val="24"/>
              </w:rPr>
            </w:pPr>
            <w:r>
              <w:rPr>
                <w:b/>
                <w:bCs/>
                <w:szCs w:val="24"/>
              </w:rPr>
              <w:t xml:space="preserve"> </w:t>
            </w:r>
          </w:p>
        </w:tc>
        <w:tc>
          <w:tcPr>
            <w:tcW w:w="3600" w:type="dxa"/>
            <w:shd w:val="clear" w:color="auto" w:fill="BFBFBF"/>
            <w:vAlign w:val="center"/>
          </w:tcPr>
          <w:p w:rsidR="00092DA3" w:rsidRPr="008743C1" w:rsidRDefault="00092DA3" w:rsidP="007471A8">
            <w:pPr>
              <w:pStyle w:val="BodyText"/>
              <w:contextualSpacing/>
              <w:jc w:val="center"/>
              <w:rPr>
                <w:b/>
                <w:bCs/>
                <w:szCs w:val="24"/>
              </w:rPr>
            </w:pPr>
            <w:r w:rsidRPr="008743C1">
              <w:rPr>
                <w:b/>
                <w:bCs/>
                <w:szCs w:val="24"/>
              </w:rPr>
              <w:t>Description</w:t>
            </w:r>
          </w:p>
        </w:tc>
        <w:tc>
          <w:tcPr>
            <w:tcW w:w="1080" w:type="dxa"/>
            <w:shd w:val="clear" w:color="auto" w:fill="BFBFBF"/>
            <w:vAlign w:val="center"/>
          </w:tcPr>
          <w:p w:rsidR="00092DA3" w:rsidRPr="008743C1" w:rsidRDefault="00092DA3" w:rsidP="007471A8">
            <w:pPr>
              <w:pStyle w:val="BodyText"/>
              <w:contextualSpacing/>
              <w:jc w:val="center"/>
              <w:rPr>
                <w:b/>
                <w:bCs/>
                <w:szCs w:val="24"/>
              </w:rPr>
            </w:pPr>
            <w:r w:rsidRPr="008743C1">
              <w:rPr>
                <w:b/>
                <w:bCs/>
                <w:szCs w:val="24"/>
              </w:rPr>
              <w:t>Pos.</w:t>
            </w:r>
          </w:p>
        </w:tc>
        <w:tc>
          <w:tcPr>
            <w:tcW w:w="900" w:type="dxa"/>
            <w:shd w:val="clear" w:color="auto" w:fill="BFBFBF"/>
            <w:vAlign w:val="center"/>
          </w:tcPr>
          <w:p w:rsidR="00092DA3" w:rsidRPr="008743C1" w:rsidRDefault="00092DA3" w:rsidP="007471A8">
            <w:pPr>
              <w:pStyle w:val="BodyText"/>
              <w:contextualSpacing/>
              <w:jc w:val="center"/>
              <w:rPr>
                <w:b/>
                <w:bCs/>
                <w:szCs w:val="24"/>
              </w:rPr>
            </w:pPr>
            <w:smartTag w:uri="urn:schemas-microsoft-com:office:smarttags" w:element="stockticker">
              <w:r w:rsidRPr="008743C1">
                <w:rPr>
                  <w:b/>
                  <w:bCs/>
                  <w:szCs w:val="24"/>
                </w:rPr>
                <w:t>FTE</w:t>
              </w:r>
            </w:smartTag>
          </w:p>
        </w:tc>
        <w:tc>
          <w:tcPr>
            <w:tcW w:w="1440" w:type="dxa"/>
            <w:shd w:val="clear" w:color="auto" w:fill="BFBFBF"/>
            <w:vAlign w:val="center"/>
          </w:tcPr>
          <w:p w:rsidR="00092DA3" w:rsidRPr="008743C1" w:rsidRDefault="00092DA3" w:rsidP="007471A8">
            <w:pPr>
              <w:pStyle w:val="BodyText"/>
              <w:contextualSpacing/>
              <w:jc w:val="center"/>
              <w:rPr>
                <w:b/>
                <w:bCs/>
                <w:szCs w:val="24"/>
              </w:rPr>
            </w:pPr>
            <w:r w:rsidRPr="008743C1">
              <w:rPr>
                <w:b/>
                <w:bCs/>
                <w:szCs w:val="24"/>
              </w:rPr>
              <w:t>Dollars</w:t>
            </w:r>
          </w:p>
          <w:p w:rsidR="00092DA3" w:rsidRPr="008743C1" w:rsidRDefault="00092DA3" w:rsidP="007471A8">
            <w:pPr>
              <w:pStyle w:val="BodyText"/>
              <w:contextualSpacing/>
              <w:jc w:val="center"/>
              <w:rPr>
                <w:b/>
                <w:bCs/>
                <w:szCs w:val="24"/>
              </w:rPr>
            </w:pPr>
            <w:r w:rsidRPr="008743C1">
              <w:rPr>
                <w:b/>
                <w:bCs/>
                <w:szCs w:val="24"/>
              </w:rPr>
              <w:t>($000)</w:t>
            </w:r>
          </w:p>
        </w:tc>
        <w:tc>
          <w:tcPr>
            <w:tcW w:w="900" w:type="dxa"/>
            <w:shd w:val="clear" w:color="auto" w:fill="BFBFBF"/>
            <w:vAlign w:val="center"/>
          </w:tcPr>
          <w:p w:rsidR="00092DA3" w:rsidRPr="008743C1" w:rsidRDefault="00092DA3" w:rsidP="007471A8">
            <w:pPr>
              <w:contextualSpacing/>
              <w:jc w:val="center"/>
              <w:rPr>
                <w:b/>
                <w:bCs/>
              </w:rPr>
            </w:pPr>
            <w:r w:rsidRPr="008743C1">
              <w:rPr>
                <w:b/>
                <w:bCs/>
              </w:rPr>
              <w:t>Page</w:t>
            </w:r>
          </w:p>
        </w:tc>
      </w:tr>
      <w:tr w:rsidR="00092DA3" w:rsidRPr="008743C1" w:rsidTr="00F0004F">
        <w:trPr>
          <w:trHeight w:val="305"/>
          <w:jc w:val="center"/>
        </w:trPr>
        <w:tc>
          <w:tcPr>
            <w:tcW w:w="11160" w:type="dxa"/>
            <w:gridSpan w:val="6"/>
          </w:tcPr>
          <w:p w:rsidR="00092DA3" w:rsidRPr="008743C1" w:rsidRDefault="00092DA3" w:rsidP="007471A8">
            <w:pPr>
              <w:pStyle w:val="BodyText"/>
              <w:contextualSpacing/>
              <w:rPr>
                <w:b/>
                <w:bCs/>
                <w:szCs w:val="24"/>
              </w:rPr>
            </w:pPr>
            <w:r w:rsidRPr="008743C1">
              <w:rPr>
                <w:b/>
                <w:bCs/>
                <w:szCs w:val="24"/>
              </w:rPr>
              <w:t>Salaries and Expenses Enhancements</w:t>
            </w:r>
          </w:p>
        </w:tc>
      </w:tr>
      <w:tr w:rsidR="00092DA3" w:rsidRPr="008743C1" w:rsidTr="00F0004F">
        <w:trPr>
          <w:jc w:val="center"/>
        </w:trPr>
        <w:tc>
          <w:tcPr>
            <w:tcW w:w="3240" w:type="dxa"/>
          </w:tcPr>
          <w:p w:rsidR="00092DA3" w:rsidRPr="008743C1" w:rsidRDefault="00092DA3" w:rsidP="007471A8">
            <w:pPr>
              <w:pStyle w:val="BodyText"/>
              <w:contextualSpacing/>
              <w:rPr>
                <w:szCs w:val="24"/>
              </w:rPr>
            </w:pPr>
            <w:r>
              <w:rPr>
                <w:szCs w:val="24"/>
              </w:rPr>
              <w:t>Financial Fraud</w:t>
            </w:r>
          </w:p>
        </w:tc>
        <w:tc>
          <w:tcPr>
            <w:tcW w:w="3600" w:type="dxa"/>
          </w:tcPr>
          <w:p w:rsidR="00092DA3" w:rsidRPr="008743C1" w:rsidRDefault="00092DA3" w:rsidP="007471A8">
            <w:pPr>
              <w:contextualSpacing/>
            </w:pPr>
            <w:r>
              <w:t>To address high priority and high loss corporate, securities and commodities, and mortgage fraud investigations.</w:t>
            </w:r>
          </w:p>
        </w:tc>
        <w:tc>
          <w:tcPr>
            <w:tcW w:w="1080" w:type="dxa"/>
            <w:vAlign w:val="center"/>
          </w:tcPr>
          <w:p w:rsidR="00092DA3" w:rsidRPr="008743C1" w:rsidRDefault="00092DA3" w:rsidP="007471A8">
            <w:pPr>
              <w:pStyle w:val="BodyText"/>
              <w:contextualSpacing/>
              <w:jc w:val="right"/>
              <w:rPr>
                <w:szCs w:val="24"/>
              </w:rPr>
            </w:pPr>
            <w:r>
              <w:rPr>
                <w:szCs w:val="24"/>
              </w:rPr>
              <w:t>44</w:t>
            </w:r>
          </w:p>
        </w:tc>
        <w:tc>
          <w:tcPr>
            <w:tcW w:w="900" w:type="dxa"/>
            <w:vAlign w:val="center"/>
          </w:tcPr>
          <w:p w:rsidR="00092DA3" w:rsidRPr="008743C1" w:rsidRDefault="00092DA3" w:rsidP="007471A8">
            <w:pPr>
              <w:pStyle w:val="BodyText"/>
              <w:contextualSpacing/>
              <w:jc w:val="right"/>
              <w:rPr>
                <w:szCs w:val="24"/>
              </w:rPr>
            </w:pPr>
            <w:r>
              <w:rPr>
                <w:szCs w:val="24"/>
              </w:rPr>
              <w:t>22</w:t>
            </w:r>
          </w:p>
        </w:tc>
        <w:tc>
          <w:tcPr>
            <w:tcW w:w="1440" w:type="dxa"/>
            <w:vAlign w:val="center"/>
          </w:tcPr>
          <w:p w:rsidR="00092DA3" w:rsidRPr="008743C1" w:rsidRDefault="00092DA3" w:rsidP="007471A8">
            <w:pPr>
              <w:pStyle w:val="BodyText"/>
              <w:contextualSpacing/>
              <w:jc w:val="right"/>
              <w:rPr>
                <w:szCs w:val="24"/>
              </w:rPr>
            </w:pPr>
            <w:r>
              <w:rPr>
                <w:szCs w:val="24"/>
              </w:rPr>
              <w:t>$15,000</w:t>
            </w:r>
          </w:p>
        </w:tc>
        <w:tc>
          <w:tcPr>
            <w:tcW w:w="900" w:type="dxa"/>
            <w:vAlign w:val="center"/>
          </w:tcPr>
          <w:p w:rsidR="00092DA3" w:rsidRPr="008743C1" w:rsidRDefault="002D5102" w:rsidP="007471A8">
            <w:pPr>
              <w:contextualSpacing/>
              <w:jc w:val="right"/>
            </w:pPr>
            <w:r>
              <w:t>5-1</w:t>
            </w:r>
          </w:p>
        </w:tc>
      </w:tr>
      <w:tr w:rsidR="00092DA3" w:rsidRPr="008743C1" w:rsidTr="00F0004F">
        <w:trPr>
          <w:jc w:val="center"/>
        </w:trPr>
        <w:tc>
          <w:tcPr>
            <w:tcW w:w="6840" w:type="dxa"/>
            <w:gridSpan w:val="2"/>
          </w:tcPr>
          <w:p w:rsidR="00092DA3" w:rsidRPr="008743C1" w:rsidRDefault="00092DA3" w:rsidP="007471A8">
            <w:pPr>
              <w:pStyle w:val="BodyText"/>
              <w:contextualSpacing/>
              <w:rPr>
                <w:szCs w:val="24"/>
              </w:rPr>
            </w:pPr>
            <w:r w:rsidRPr="008743C1">
              <w:rPr>
                <w:b/>
                <w:bCs/>
                <w:szCs w:val="24"/>
              </w:rPr>
              <w:t>Total, Salaries and Expenses Enhancements</w:t>
            </w:r>
          </w:p>
        </w:tc>
        <w:tc>
          <w:tcPr>
            <w:tcW w:w="1080" w:type="dxa"/>
            <w:vAlign w:val="center"/>
          </w:tcPr>
          <w:p w:rsidR="00092DA3" w:rsidRPr="002E05BC" w:rsidRDefault="00092DA3" w:rsidP="007471A8">
            <w:pPr>
              <w:pStyle w:val="BodyText"/>
              <w:contextualSpacing/>
              <w:jc w:val="right"/>
              <w:rPr>
                <w:b/>
                <w:szCs w:val="24"/>
              </w:rPr>
            </w:pPr>
            <w:r w:rsidRPr="002E05BC">
              <w:rPr>
                <w:b/>
                <w:szCs w:val="24"/>
              </w:rPr>
              <w:t>44</w:t>
            </w:r>
          </w:p>
        </w:tc>
        <w:tc>
          <w:tcPr>
            <w:tcW w:w="900" w:type="dxa"/>
            <w:vAlign w:val="center"/>
          </w:tcPr>
          <w:p w:rsidR="00092DA3" w:rsidRPr="002E05BC" w:rsidRDefault="00092DA3" w:rsidP="007471A8">
            <w:pPr>
              <w:pStyle w:val="BodyText"/>
              <w:contextualSpacing/>
              <w:jc w:val="right"/>
              <w:rPr>
                <w:b/>
                <w:szCs w:val="24"/>
              </w:rPr>
            </w:pPr>
            <w:r w:rsidRPr="002E05BC">
              <w:rPr>
                <w:b/>
                <w:szCs w:val="24"/>
              </w:rPr>
              <w:t>22</w:t>
            </w:r>
          </w:p>
        </w:tc>
        <w:tc>
          <w:tcPr>
            <w:tcW w:w="1440" w:type="dxa"/>
            <w:vAlign w:val="center"/>
          </w:tcPr>
          <w:p w:rsidR="00092DA3" w:rsidRPr="002E05BC" w:rsidRDefault="00092DA3" w:rsidP="007471A8">
            <w:pPr>
              <w:pStyle w:val="BodyText"/>
              <w:contextualSpacing/>
              <w:jc w:val="right"/>
              <w:rPr>
                <w:b/>
                <w:szCs w:val="24"/>
              </w:rPr>
            </w:pPr>
            <w:r w:rsidRPr="002E05BC">
              <w:rPr>
                <w:b/>
                <w:szCs w:val="24"/>
              </w:rPr>
              <w:t>$15,000</w:t>
            </w:r>
          </w:p>
        </w:tc>
        <w:tc>
          <w:tcPr>
            <w:tcW w:w="900" w:type="dxa"/>
            <w:vAlign w:val="center"/>
          </w:tcPr>
          <w:p w:rsidR="00092DA3" w:rsidRPr="008743C1" w:rsidRDefault="00092DA3" w:rsidP="007471A8">
            <w:pPr>
              <w:contextualSpacing/>
              <w:jc w:val="right"/>
            </w:pPr>
          </w:p>
        </w:tc>
      </w:tr>
      <w:tr w:rsidR="00092DA3" w:rsidRPr="008743C1" w:rsidTr="00F0004F">
        <w:trPr>
          <w:jc w:val="center"/>
        </w:trPr>
        <w:tc>
          <w:tcPr>
            <w:tcW w:w="6840" w:type="dxa"/>
            <w:gridSpan w:val="2"/>
          </w:tcPr>
          <w:p w:rsidR="00092DA3" w:rsidRDefault="00092DA3" w:rsidP="007471A8">
            <w:pPr>
              <w:pStyle w:val="BodyText"/>
              <w:contextualSpacing/>
              <w:rPr>
                <w:b/>
                <w:bCs/>
                <w:szCs w:val="24"/>
              </w:rPr>
            </w:pPr>
          </w:p>
        </w:tc>
        <w:tc>
          <w:tcPr>
            <w:tcW w:w="1080" w:type="dxa"/>
            <w:vAlign w:val="center"/>
          </w:tcPr>
          <w:p w:rsidR="00092DA3" w:rsidRDefault="00092DA3" w:rsidP="007471A8">
            <w:pPr>
              <w:pStyle w:val="BodyText"/>
              <w:contextualSpacing/>
              <w:jc w:val="right"/>
              <w:rPr>
                <w:szCs w:val="24"/>
              </w:rPr>
            </w:pPr>
          </w:p>
        </w:tc>
        <w:tc>
          <w:tcPr>
            <w:tcW w:w="900" w:type="dxa"/>
            <w:vAlign w:val="center"/>
          </w:tcPr>
          <w:p w:rsidR="00092DA3" w:rsidRDefault="00092DA3" w:rsidP="007471A8">
            <w:pPr>
              <w:pStyle w:val="BodyText"/>
              <w:contextualSpacing/>
              <w:jc w:val="right"/>
              <w:rPr>
                <w:szCs w:val="24"/>
              </w:rPr>
            </w:pPr>
          </w:p>
        </w:tc>
        <w:tc>
          <w:tcPr>
            <w:tcW w:w="1440" w:type="dxa"/>
            <w:vAlign w:val="center"/>
          </w:tcPr>
          <w:p w:rsidR="00092DA3" w:rsidRDefault="00092DA3" w:rsidP="007471A8">
            <w:pPr>
              <w:pStyle w:val="BodyText"/>
              <w:contextualSpacing/>
              <w:jc w:val="right"/>
              <w:rPr>
                <w:szCs w:val="24"/>
              </w:rPr>
            </w:pPr>
          </w:p>
        </w:tc>
        <w:tc>
          <w:tcPr>
            <w:tcW w:w="900" w:type="dxa"/>
            <w:vAlign w:val="center"/>
          </w:tcPr>
          <w:p w:rsidR="00092DA3" w:rsidRPr="008743C1" w:rsidRDefault="00092DA3" w:rsidP="007471A8">
            <w:pPr>
              <w:contextualSpacing/>
              <w:jc w:val="right"/>
            </w:pPr>
          </w:p>
        </w:tc>
      </w:tr>
      <w:tr w:rsidR="00092DA3" w:rsidRPr="008743C1" w:rsidTr="00F0004F">
        <w:trPr>
          <w:jc w:val="center"/>
        </w:trPr>
        <w:tc>
          <w:tcPr>
            <w:tcW w:w="11160" w:type="dxa"/>
            <w:gridSpan w:val="6"/>
          </w:tcPr>
          <w:p w:rsidR="00092DA3" w:rsidRPr="008743C1" w:rsidRDefault="00092DA3" w:rsidP="007471A8">
            <w:pPr>
              <w:contextualSpacing/>
            </w:pPr>
            <w:r>
              <w:rPr>
                <w:b/>
                <w:bCs/>
              </w:rPr>
              <w:t>Salaries and Expenses Offsets</w:t>
            </w:r>
          </w:p>
        </w:tc>
      </w:tr>
      <w:tr w:rsidR="00092DA3" w:rsidRPr="008743C1" w:rsidTr="00F0004F">
        <w:trPr>
          <w:jc w:val="center"/>
        </w:trPr>
        <w:tc>
          <w:tcPr>
            <w:tcW w:w="3240" w:type="dxa"/>
          </w:tcPr>
          <w:p w:rsidR="00092DA3" w:rsidRPr="00EB1B2C" w:rsidRDefault="00092DA3" w:rsidP="007471A8">
            <w:pPr>
              <w:pStyle w:val="BodyText"/>
              <w:contextualSpacing/>
              <w:rPr>
                <w:bCs/>
                <w:szCs w:val="24"/>
              </w:rPr>
            </w:pPr>
            <w:r>
              <w:rPr>
                <w:bCs/>
                <w:szCs w:val="24"/>
              </w:rPr>
              <w:t>Administrative Efficiencies</w:t>
            </w:r>
          </w:p>
        </w:tc>
        <w:tc>
          <w:tcPr>
            <w:tcW w:w="3600" w:type="dxa"/>
          </w:tcPr>
          <w:p w:rsidR="00092DA3" w:rsidRPr="00EB1B2C" w:rsidRDefault="00092DA3" w:rsidP="007471A8">
            <w:pPr>
              <w:pStyle w:val="BodyText"/>
              <w:contextualSpacing/>
              <w:rPr>
                <w:bCs/>
                <w:szCs w:val="24"/>
              </w:rPr>
            </w:pPr>
            <w:r>
              <w:rPr>
                <w:bCs/>
                <w:szCs w:val="24"/>
              </w:rPr>
              <w:t>To reduce funding for administrative areas, including: printing, publications, travel, conferences, supplies, and general equipment.</w:t>
            </w:r>
          </w:p>
        </w:tc>
        <w:tc>
          <w:tcPr>
            <w:tcW w:w="1080" w:type="dxa"/>
            <w:vAlign w:val="center"/>
          </w:tcPr>
          <w:p w:rsidR="00092DA3" w:rsidRDefault="00092DA3" w:rsidP="007471A8">
            <w:pPr>
              <w:pStyle w:val="BodyText"/>
              <w:contextualSpacing/>
              <w:jc w:val="right"/>
              <w:rPr>
                <w:szCs w:val="24"/>
              </w:rPr>
            </w:pPr>
            <w:r>
              <w:rPr>
                <w:szCs w:val="24"/>
              </w:rPr>
              <w:t>…</w:t>
            </w:r>
          </w:p>
        </w:tc>
        <w:tc>
          <w:tcPr>
            <w:tcW w:w="900" w:type="dxa"/>
            <w:vAlign w:val="center"/>
          </w:tcPr>
          <w:p w:rsidR="00092DA3" w:rsidRDefault="00092DA3" w:rsidP="007471A8">
            <w:pPr>
              <w:pStyle w:val="BodyText"/>
              <w:contextualSpacing/>
              <w:jc w:val="right"/>
              <w:rPr>
                <w:szCs w:val="24"/>
              </w:rPr>
            </w:pPr>
            <w:r>
              <w:rPr>
                <w:szCs w:val="24"/>
              </w:rPr>
              <w:t>…</w:t>
            </w:r>
          </w:p>
        </w:tc>
        <w:tc>
          <w:tcPr>
            <w:tcW w:w="1440" w:type="dxa"/>
            <w:vAlign w:val="center"/>
          </w:tcPr>
          <w:p w:rsidR="00092DA3" w:rsidRDefault="00092DA3" w:rsidP="007471A8">
            <w:pPr>
              <w:pStyle w:val="BodyText"/>
              <w:contextualSpacing/>
              <w:jc w:val="right"/>
              <w:rPr>
                <w:szCs w:val="24"/>
              </w:rPr>
            </w:pPr>
            <w:r>
              <w:rPr>
                <w:szCs w:val="24"/>
              </w:rPr>
              <w:t>(11,158)</w:t>
            </w:r>
          </w:p>
        </w:tc>
        <w:tc>
          <w:tcPr>
            <w:tcW w:w="900" w:type="dxa"/>
            <w:vAlign w:val="center"/>
          </w:tcPr>
          <w:p w:rsidR="00092DA3" w:rsidRPr="008743C1" w:rsidRDefault="002D5102" w:rsidP="007471A8">
            <w:pPr>
              <w:contextualSpacing/>
              <w:jc w:val="right"/>
            </w:pPr>
            <w:r>
              <w:t>6-1</w:t>
            </w:r>
          </w:p>
        </w:tc>
      </w:tr>
      <w:tr w:rsidR="005842DA" w:rsidRPr="008743C1" w:rsidTr="00F0004F">
        <w:trPr>
          <w:jc w:val="center"/>
        </w:trPr>
        <w:tc>
          <w:tcPr>
            <w:tcW w:w="3240" w:type="dxa"/>
          </w:tcPr>
          <w:p w:rsidR="005842DA" w:rsidRDefault="005842DA" w:rsidP="007471A8">
            <w:pPr>
              <w:pStyle w:val="BodyText"/>
              <w:contextualSpacing/>
              <w:rPr>
                <w:bCs/>
                <w:szCs w:val="24"/>
              </w:rPr>
            </w:pPr>
            <w:r>
              <w:rPr>
                <w:bCs/>
                <w:szCs w:val="24"/>
              </w:rPr>
              <w:t>Contractor Reductions</w:t>
            </w:r>
          </w:p>
        </w:tc>
        <w:tc>
          <w:tcPr>
            <w:tcW w:w="3600" w:type="dxa"/>
          </w:tcPr>
          <w:p w:rsidR="005842DA" w:rsidRDefault="005842DA" w:rsidP="007471A8">
            <w:pPr>
              <w:pStyle w:val="BodyText"/>
              <w:contextualSpacing/>
              <w:rPr>
                <w:bCs/>
                <w:szCs w:val="24"/>
              </w:rPr>
            </w:pPr>
            <w:r>
              <w:rPr>
                <w:bCs/>
                <w:szCs w:val="24"/>
              </w:rPr>
              <w:t>To reduce non-personnel funding for national security programs.</w:t>
            </w:r>
          </w:p>
        </w:tc>
        <w:tc>
          <w:tcPr>
            <w:tcW w:w="1080" w:type="dxa"/>
            <w:vAlign w:val="center"/>
          </w:tcPr>
          <w:p w:rsidR="005842DA" w:rsidRDefault="005842DA" w:rsidP="007471A8">
            <w:pPr>
              <w:pStyle w:val="BodyText"/>
              <w:contextualSpacing/>
              <w:jc w:val="right"/>
              <w:rPr>
                <w:szCs w:val="24"/>
              </w:rPr>
            </w:pPr>
            <w:r>
              <w:rPr>
                <w:szCs w:val="24"/>
              </w:rPr>
              <w:t>…</w:t>
            </w:r>
          </w:p>
        </w:tc>
        <w:tc>
          <w:tcPr>
            <w:tcW w:w="900" w:type="dxa"/>
            <w:vAlign w:val="center"/>
          </w:tcPr>
          <w:p w:rsidR="005842DA" w:rsidRDefault="005842DA" w:rsidP="007471A8">
            <w:pPr>
              <w:pStyle w:val="BodyText"/>
              <w:contextualSpacing/>
              <w:jc w:val="right"/>
              <w:rPr>
                <w:szCs w:val="24"/>
              </w:rPr>
            </w:pPr>
            <w:r>
              <w:rPr>
                <w:szCs w:val="24"/>
              </w:rPr>
              <w:t>…</w:t>
            </w:r>
          </w:p>
        </w:tc>
        <w:tc>
          <w:tcPr>
            <w:tcW w:w="1440" w:type="dxa"/>
            <w:vAlign w:val="center"/>
          </w:tcPr>
          <w:p w:rsidR="005842DA" w:rsidRDefault="005842DA" w:rsidP="007471A8">
            <w:pPr>
              <w:pStyle w:val="BodyText"/>
              <w:contextualSpacing/>
              <w:jc w:val="right"/>
              <w:rPr>
                <w:szCs w:val="24"/>
              </w:rPr>
            </w:pPr>
            <w:r>
              <w:rPr>
                <w:szCs w:val="24"/>
              </w:rPr>
              <w:t>(7,113)</w:t>
            </w:r>
          </w:p>
        </w:tc>
        <w:tc>
          <w:tcPr>
            <w:tcW w:w="900" w:type="dxa"/>
            <w:vAlign w:val="center"/>
          </w:tcPr>
          <w:p w:rsidR="005842DA" w:rsidRPr="008743C1" w:rsidRDefault="005842DA" w:rsidP="007471A8">
            <w:pPr>
              <w:contextualSpacing/>
              <w:jc w:val="right"/>
            </w:pPr>
            <w:r>
              <w:t>6-</w:t>
            </w:r>
            <w:r w:rsidR="00A8673E">
              <w:t>3</w:t>
            </w:r>
          </w:p>
        </w:tc>
      </w:tr>
      <w:tr w:rsidR="00092DA3" w:rsidRPr="008743C1" w:rsidTr="00F0004F">
        <w:trPr>
          <w:jc w:val="center"/>
        </w:trPr>
        <w:tc>
          <w:tcPr>
            <w:tcW w:w="3240" w:type="dxa"/>
          </w:tcPr>
          <w:p w:rsidR="00092DA3" w:rsidRPr="00EB1B2C" w:rsidRDefault="00092DA3" w:rsidP="007471A8">
            <w:pPr>
              <w:pStyle w:val="BodyText"/>
              <w:contextualSpacing/>
              <w:rPr>
                <w:bCs/>
                <w:szCs w:val="24"/>
              </w:rPr>
            </w:pPr>
            <w:r>
              <w:rPr>
                <w:bCs/>
                <w:szCs w:val="24"/>
              </w:rPr>
              <w:t xml:space="preserve">Critical Incident Response </w:t>
            </w:r>
            <w:r w:rsidR="00F73E2C">
              <w:rPr>
                <w:bCs/>
                <w:szCs w:val="24"/>
              </w:rPr>
              <w:t>Group</w:t>
            </w:r>
          </w:p>
        </w:tc>
        <w:tc>
          <w:tcPr>
            <w:tcW w:w="3600" w:type="dxa"/>
          </w:tcPr>
          <w:p w:rsidR="00092DA3" w:rsidRPr="00EB1B2C" w:rsidRDefault="00092DA3" w:rsidP="007471A8">
            <w:pPr>
              <w:pStyle w:val="BodyText"/>
              <w:contextualSpacing/>
              <w:rPr>
                <w:bCs/>
                <w:szCs w:val="24"/>
              </w:rPr>
            </w:pPr>
            <w:r>
              <w:rPr>
                <w:bCs/>
                <w:szCs w:val="24"/>
              </w:rPr>
              <w:t xml:space="preserve">To reduce funding for </w:t>
            </w:r>
            <w:r w:rsidR="00F73E2C">
              <w:rPr>
                <w:bCs/>
                <w:szCs w:val="24"/>
              </w:rPr>
              <w:t>training and equipment</w:t>
            </w:r>
            <w:r>
              <w:rPr>
                <w:bCs/>
                <w:szCs w:val="24"/>
              </w:rPr>
              <w:t>.</w:t>
            </w:r>
          </w:p>
        </w:tc>
        <w:tc>
          <w:tcPr>
            <w:tcW w:w="1080" w:type="dxa"/>
            <w:vAlign w:val="center"/>
          </w:tcPr>
          <w:p w:rsidR="00092DA3" w:rsidRDefault="00092DA3" w:rsidP="007471A8">
            <w:pPr>
              <w:pStyle w:val="BodyText"/>
              <w:contextualSpacing/>
              <w:jc w:val="right"/>
              <w:rPr>
                <w:szCs w:val="24"/>
              </w:rPr>
            </w:pPr>
            <w:r>
              <w:rPr>
                <w:szCs w:val="24"/>
              </w:rPr>
              <w:t>…</w:t>
            </w:r>
          </w:p>
        </w:tc>
        <w:tc>
          <w:tcPr>
            <w:tcW w:w="900" w:type="dxa"/>
            <w:vAlign w:val="center"/>
          </w:tcPr>
          <w:p w:rsidR="00092DA3" w:rsidRDefault="00092DA3" w:rsidP="007471A8">
            <w:pPr>
              <w:pStyle w:val="BodyText"/>
              <w:contextualSpacing/>
              <w:jc w:val="right"/>
              <w:rPr>
                <w:szCs w:val="24"/>
              </w:rPr>
            </w:pPr>
            <w:r>
              <w:rPr>
                <w:szCs w:val="24"/>
              </w:rPr>
              <w:t>…</w:t>
            </w:r>
          </w:p>
        </w:tc>
        <w:tc>
          <w:tcPr>
            <w:tcW w:w="1440" w:type="dxa"/>
            <w:vAlign w:val="center"/>
          </w:tcPr>
          <w:p w:rsidR="00092DA3" w:rsidRDefault="00092DA3" w:rsidP="007471A8">
            <w:pPr>
              <w:pStyle w:val="BodyText"/>
              <w:contextualSpacing/>
              <w:jc w:val="right"/>
              <w:rPr>
                <w:szCs w:val="24"/>
              </w:rPr>
            </w:pPr>
            <w:r>
              <w:rPr>
                <w:szCs w:val="24"/>
              </w:rPr>
              <w:t>(3,417)</w:t>
            </w:r>
          </w:p>
        </w:tc>
        <w:tc>
          <w:tcPr>
            <w:tcW w:w="900" w:type="dxa"/>
            <w:vAlign w:val="center"/>
          </w:tcPr>
          <w:p w:rsidR="00092DA3" w:rsidRPr="008743C1" w:rsidRDefault="002D5102" w:rsidP="007471A8">
            <w:pPr>
              <w:contextualSpacing/>
              <w:jc w:val="right"/>
            </w:pPr>
            <w:r>
              <w:t>6-</w:t>
            </w:r>
            <w:r w:rsidR="00A8673E">
              <w:t>5</w:t>
            </w:r>
          </w:p>
        </w:tc>
      </w:tr>
      <w:tr w:rsidR="00092DA3" w:rsidRPr="008743C1" w:rsidTr="00F0004F">
        <w:trPr>
          <w:jc w:val="center"/>
        </w:trPr>
        <w:tc>
          <w:tcPr>
            <w:tcW w:w="3240" w:type="dxa"/>
          </w:tcPr>
          <w:p w:rsidR="00092DA3" w:rsidRPr="002E05BC" w:rsidRDefault="00092DA3" w:rsidP="007471A8">
            <w:pPr>
              <w:pStyle w:val="BodyText"/>
              <w:contextualSpacing/>
              <w:rPr>
                <w:bCs/>
                <w:szCs w:val="24"/>
              </w:rPr>
            </w:pPr>
            <w:r>
              <w:rPr>
                <w:bCs/>
                <w:szCs w:val="24"/>
              </w:rPr>
              <w:t>Facilities Reduction</w:t>
            </w:r>
          </w:p>
        </w:tc>
        <w:tc>
          <w:tcPr>
            <w:tcW w:w="3600" w:type="dxa"/>
          </w:tcPr>
          <w:p w:rsidR="00092DA3" w:rsidRPr="002E05BC" w:rsidRDefault="00092DA3" w:rsidP="007471A8">
            <w:pPr>
              <w:pStyle w:val="BodyText"/>
              <w:contextualSpacing/>
              <w:rPr>
                <w:bCs/>
                <w:szCs w:val="24"/>
              </w:rPr>
            </w:pPr>
            <w:r>
              <w:rPr>
                <w:bCs/>
                <w:szCs w:val="24"/>
              </w:rPr>
              <w:t>To right-size several programs that support facilities and logistics services.</w:t>
            </w:r>
          </w:p>
        </w:tc>
        <w:tc>
          <w:tcPr>
            <w:tcW w:w="1080" w:type="dxa"/>
            <w:vAlign w:val="center"/>
          </w:tcPr>
          <w:p w:rsidR="00092DA3" w:rsidRDefault="00092DA3" w:rsidP="007471A8">
            <w:pPr>
              <w:pStyle w:val="BodyText"/>
              <w:contextualSpacing/>
              <w:jc w:val="right"/>
              <w:rPr>
                <w:szCs w:val="24"/>
              </w:rPr>
            </w:pPr>
            <w:r>
              <w:rPr>
                <w:szCs w:val="24"/>
              </w:rPr>
              <w:t>…</w:t>
            </w:r>
          </w:p>
        </w:tc>
        <w:tc>
          <w:tcPr>
            <w:tcW w:w="900" w:type="dxa"/>
            <w:vAlign w:val="center"/>
          </w:tcPr>
          <w:p w:rsidR="00092DA3" w:rsidRDefault="00092DA3" w:rsidP="007471A8">
            <w:pPr>
              <w:pStyle w:val="BodyText"/>
              <w:contextualSpacing/>
              <w:jc w:val="right"/>
              <w:rPr>
                <w:szCs w:val="24"/>
              </w:rPr>
            </w:pPr>
            <w:r>
              <w:rPr>
                <w:szCs w:val="24"/>
              </w:rPr>
              <w:t>…</w:t>
            </w:r>
          </w:p>
        </w:tc>
        <w:tc>
          <w:tcPr>
            <w:tcW w:w="1440" w:type="dxa"/>
            <w:vAlign w:val="center"/>
          </w:tcPr>
          <w:p w:rsidR="00092DA3" w:rsidRDefault="00092DA3" w:rsidP="007471A8">
            <w:pPr>
              <w:pStyle w:val="BodyText"/>
              <w:contextualSpacing/>
              <w:jc w:val="right"/>
              <w:rPr>
                <w:szCs w:val="24"/>
              </w:rPr>
            </w:pPr>
            <w:r>
              <w:rPr>
                <w:szCs w:val="24"/>
              </w:rPr>
              <w:t>(22,562)</w:t>
            </w:r>
          </w:p>
        </w:tc>
        <w:tc>
          <w:tcPr>
            <w:tcW w:w="900" w:type="dxa"/>
            <w:vAlign w:val="center"/>
          </w:tcPr>
          <w:p w:rsidR="00092DA3" w:rsidRPr="008743C1" w:rsidRDefault="002D5102" w:rsidP="007471A8">
            <w:pPr>
              <w:contextualSpacing/>
              <w:jc w:val="right"/>
            </w:pPr>
            <w:r>
              <w:t>6-</w:t>
            </w:r>
            <w:r w:rsidR="00A8673E">
              <w:t>7</w:t>
            </w:r>
          </w:p>
        </w:tc>
      </w:tr>
      <w:tr w:rsidR="00092DA3" w:rsidRPr="008743C1" w:rsidTr="00F0004F">
        <w:trPr>
          <w:jc w:val="center"/>
        </w:trPr>
        <w:tc>
          <w:tcPr>
            <w:tcW w:w="3240" w:type="dxa"/>
          </w:tcPr>
          <w:p w:rsidR="00092DA3" w:rsidRPr="002E05BC" w:rsidRDefault="00092DA3" w:rsidP="007471A8">
            <w:pPr>
              <w:pStyle w:val="BodyText"/>
              <w:contextualSpacing/>
              <w:rPr>
                <w:bCs/>
                <w:szCs w:val="24"/>
              </w:rPr>
            </w:pPr>
            <w:r>
              <w:rPr>
                <w:bCs/>
                <w:szCs w:val="24"/>
              </w:rPr>
              <w:t>Information Technology (IT) Savings</w:t>
            </w:r>
          </w:p>
        </w:tc>
        <w:tc>
          <w:tcPr>
            <w:tcW w:w="3600" w:type="dxa"/>
          </w:tcPr>
          <w:p w:rsidR="00092DA3" w:rsidRPr="002E05BC" w:rsidRDefault="00092DA3" w:rsidP="007471A8">
            <w:pPr>
              <w:pStyle w:val="BodyText"/>
              <w:contextualSpacing/>
              <w:rPr>
                <w:bCs/>
                <w:szCs w:val="24"/>
              </w:rPr>
            </w:pPr>
            <w:r>
              <w:rPr>
                <w:bCs/>
                <w:szCs w:val="24"/>
              </w:rPr>
              <w:t>To continue IT efficiency efforts begun in the FY 2012 budget.</w:t>
            </w:r>
          </w:p>
        </w:tc>
        <w:tc>
          <w:tcPr>
            <w:tcW w:w="1080" w:type="dxa"/>
            <w:vAlign w:val="center"/>
          </w:tcPr>
          <w:p w:rsidR="00092DA3" w:rsidRDefault="00092DA3" w:rsidP="007471A8">
            <w:pPr>
              <w:pStyle w:val="BodyText"/>
              <w:contextualSpacing/>
              <w:jc w:val="right"/>
              <w:rPr>
                <w:szCs w:val="24"/>
              </w:rPr>
            </w:pPr>
            <w:r>
              <w:rPr>
                <w:szCs w:val="24"/>
              </w:rPr>
              <w:t>…</w:t>
            </w:r>
          </w:p>
        </w:tc>
        <w:tc>
          <w:tcPr>
            <w:tcW w:w="900" w:type="dxa"/>
            <w:vAlign w:val="center"/>
          </w:tcPr>
          <w:p w:rsidR="00092DA3" w:rsidRDefault="00092DA3" w:rsidP="007471A8">
            <w:pPr>
              <w:pStyle w:val="BodyText"/>
              <w:contextualSpacing/>
              <w:jc w:val="right"/>
              <w:rPr>
                <w:szCs w:val="24"/>
              </w:rPr>
            </w:pPr>
            <w:r>
              <w:rPr>
                <w:szCs w:val="24"/>
              </w:rPr>
              <w:t>…</w:t>
            </w:r>
          </w:p>
        </w:tc>
        <w:tc>
          <w:tcPr>
            <w:tcW w:w="1440" w:type="dxa"/>
            <w:vAlign w:val="center"/>
          </w:tcPr>
          <w:p w:rsidR="00092DA3" w:rsidRDefault="00092DA3" w:rsidP="007471A8">
            <w:pPr>
              <w:pStyle w:val="BodyText"/>
              <w:contextualSpacing/>
              <w:jc w:val="right"/>
              <w:rPr>
                <w:szCs w:val="24"/>
              </w:rPr>
            </w:pPr>
            <w:r>
              <w:rPr>
                <w:szCs w:val="24"/>
              </w:rPr>
              <w:t>(5,947)</w:t>
            </w:r>
          </w:p>
        </w:tc>
        <w:tc>
          <w:tcPr>
            <w:tcW w:w="900" w:type="dxa"/>
            <w:vAlign w:val="center"/>
          </w:tcPr>
          <w:p w:rsidR="00092DA3" w:rsidRPr="008743C1" w:rsidRDefault="002D5102" w:rsidP="007471A8">
            <w:pPr>
              <w:contextualSpacing/>
              <w:jc w:val="right"/>
            </w:pPr>
            <w:r>
              <w:t>6-</w:t>
            </w:r>
            <w:r w:rsidR="00A8673E">
              <w:t>9</w:t>
            </w:r>
          </w:p>
        </w:tc>
      </w:tr>
      <w:tr w:rsidR="00092DA3" w:rsidRPr="008743C1" w:rsidTr="00F0004F">
        <w:trPr>
          <w:jc w:val="center"/>
        </w:trPr>
        <w:tc>
          <w:tcPr>
            <w:tcW w:w="3240" w:type="dxa"/>
          </w:tcPr>
          <w:p w:rsidR="00092DA3" w:rsidRPr="002E05BC" w:rsidRDefault="00092DA3" w:rsidP="007471A8">
            <w:pPr>
              <w:pStyle w:val="BodyText"/>
              <w:contextualSpacing/>
              <w:rPr>
                <w:bCs/>
                <w:szCs w:val="24"/>
              </w:rPr>
            </w:pPr>
            <w:r>
              <w:rPr>
                <w:bCs/>
                <w:szCs w:val="24"/>
              </w:rPr>
              <w:t>National Gang Intelligence Center</w:t>
            </w:r>
          </w:p>
        </w:tc>
        <w:tc>
          <w:tcPr>
            <w:tcW w:w="3600" w:type="dxa"/>
          </w:tcPr>
          <w:p w:rsidR="00092DA3" w:rsidRPr="002E05BC" w:rsidRDefault="00092DA3" w:rsidP="007471A8">
            <w:pPr>
              <w:pStyle w:val="BodyText"/>
              <w:contextualSpacing/>
              <w:rPr>
                <w:bCs/>
                <w:szCs w:val="24"/>
              </w:rPr>
            </w:pPr>
            <w:r>
              <w:rPr>
                <w:bCs/>
                <w:szCs w:val="24"/>
              </w:rPr>
              <w:t>To close the National Gang Intelligence Center.</w:t>
            </w:r>
          </w:p>
        </w:tc>
        <w:tc>
          <w:tcPr>
            <w:tcW w:w="1080" w:type="dxa"/>
            <w:vAlign w:val="center"/>
          </w:tcPr>
          <w:p w:rsidR="00092DA3" w:rsidRDefault="00092DA3" w:rsidP="007471A8">
            <w:pPr>
              <w:pStyle w:val="BodyText"/>
              <w:contextualSpacing/>
              <w:jc w:val="right"/>
              <w:rPr>
                <w:szCs w:val="24"/>
              </w:rPr>
            </w:pPr>
            <w:r>
              <w:rPr>
                <w:szCs w:val="24"/>
              </w:rPr>
              <w:t>(15)</w:t>
            </w:r>
          </w:p>
        </w:tc>
        <w:tc>
          <w:tcPr>
            <w:tcW w:w="900" w:type="dxa"/>
            <w:vAlign w:val="center"/>
          </w:tcPr>
          <w:p w:rsidR="00092DA3" w:rsidRDefault="00092DA3" w:rsidP="007471A8">
            <w:pPr>
              <w:pStyle w:val="BodyText"/>
              <w:contextualSpacing/>
              <w:jc w:val="right"/>
              <w:rPr>
                <w:szCs w:val="24"/>
              </w:rPr>
            </w:pPr>
            <w:r>
              <w:rPr>
                <w:szCs w:val="24"/>
              </w:rPr>
              <w:t>(15)</w:t>
            </w:r>
          </w:p>
        </w:tc>
        <w:tc>
          <w:tcPr>
            <w:tcW w:w="1440" w:type="dxa"/>
            <w:vAlign w:val="center"/>
          </w:tcPr>
          <w:p w:rsidR="00092DA3" w:rsidRDefault="00092DA3" w:rsidP="007471A8">
            <w:pPr>
              <w:pStyle w:val="BodyText"/>
              <w:contextualSpacing/>
              <w:jc w:val="right"/>
              <w:rPr>
                <w:szCs w:val="24"/>
              </w:rPr>
            </w:pPr>
            <w:r>
              <w:rPr>
                <w:szCs w:val="24"/>
              </w:rPr>
              <w:t>(7,826)</w:t>
            </w:r>
          </w:p>
        </w:tc>
        <w:tc>
          <w:tcPr>
            <w:tcW w:w="900" w:type="dxa"/>
            <w:vAlign w:val="center"/>
          </w:tcPr>
          <w:p w:rsidR="00092DA3" w:rsidRPr="008743C1" w:rsidRDefault="002D5102" w:rsidP="007471A8">
            <w:pPr>
              <w:contextualSpacing/>
              <w:jc w:val="right"/>
            </w:pPr>
            <w:r>
              <w:t>6-1</w:t>
            </w:r>
            <w:r w:rsidR="00A8673E">
              <w:t>1</w:t>
            </w:r>
          </w:p>
        </w:tc>
      </w:tr>
      <w:tr w:rsidR="00092DA3" w:rsidRPr="008743C1" w:rsidTr="00F0004F">
        <w:trPr>
          <w:jc w:val="center"/>
        </w:trPr>
        <w:tc>
          <w:tcPr>
            <w:tcW w:w="3240" w:type="dxa"/>
          </w:tcPr>
          <w:p w:rsidR="00092DA3" w:rsidRDefault="00092DA3" w:rsidP="007471A8">
            <w:pPr>
              <w:pStyle w:val="BodyText"/>
              <w:contextualSpacing/>
              <w:rPr>
                <w:bCs/>
                <w:szCs w:val="24"/>
              </w:rPr>
            </w:pPr>
            <w:r>
              <w:rPr>
                <w:bCs/>
                <w:szCs w:val="24"/>
              </w:rPr>
              <w:t>Relocation Program</w:t>
            </w:r>
          </w:p>
        </w:tc>
        <w:tc>
          <w:tcPr>
            <w:tcW w:w="3600" w:type="dxa"/>
          </w:tcPr>
          <w:p w:rsidR="00092DA3" w:rsidRDefault="00092DA3" w:rsidP="007471A8">
            <w:pPr>
              <w:pStyle w:val="BodyText"/>
              <w:contextualSpacing/>
              <w:rPr>
                <w:bCs/>
                <w:szCs w:val="24"/>
              </w:rPr>
            </w:pPr>
            <w:r>
              <w:rPr>
                <w:bCs/>
                <w:szCs w:val="24"/>
              </w:rPr>
              <w:t>To reduce funding supporting employee relocations.</w:t>
            </w:r>
          </w:p>
        </w:tc>
        <w:tc>
          <w:tcPr>
            <w:tcW w:w="1080" w:type="dxa"/>
            <w:vAlign w:val="center"/>
          </w:tcPr>
          <w:p w:rsidR="00092DA3" w:rsidRDefault="00092DA3" w:rsidP="007471A8">
            <w:pPr>
              <w:pStyle w:val="BodyText"/>
              <w:contextualSpacing/>
              <w:jc w:val="right"/>
              <w:rPr>
                <w:szCs w:val="24"/>
              </w:rPr>
            </w:pPr>
            <w:r>
              <w:rPr>
                <w:szCs w:val="24"/>
              </w:rPr>
              <w:t>…</w:t>
            </w:r>
          </w:p>
        </w:tc>
        <w:tc>
          <w:tcPr>
            <w:tcW w:w="900" w:type="dxa"/>
            <w:vAlign w:val="center"/>
          </w:tcPr>
          <w:p w:rsidR="00092DA3" w:rsidRDefault="00092DA3" w:rsidP="007471A8">
            <w:pPr>
              <w:pStyle w:val="BodyText"/>
              <w:contextualSpacing/>
              <w:jc w:val="right"/>
              <w:rPr>
                <w:szCs w:val="24"/>
              </w:rPr>
            </w:pPr>
            <w:r>
              <w:rPr>
                <w:szCs w:val="24"/>
              </w:rPr>
              <w:t>…</w:t>
            </w:r>
          </w:p>
        </w:tc>
        <w:tc>
          <w:tcPr>
            <w:tcW w:w="1440" w:type="dxa"/>
            <w:vAlign w:val="center"/>
          </w:tcPr>
          <w:p w:rsidR="00092DA3" w:rsidRDefault="00092DA3" w:rsidP="007471A8">
            <w:pPr>
              <w:pStyle w:val="BodyText"/>
              <w:contextualSpacing/>
              <w:jc w:val="right"/>
              <w:rPr>
                <w:szCs w:val="24"/>
              </w:rPr>
            </w:pPr>
            <w:r>
              <w:rPr>
                <w:szCs w:val="24"/>
              </w:rPr>
              <w:t>(5,000)</w:t>
            </w:r>
          </w:p>
        </w:tc>
        <w:tc>
          <w:tcPr>
            <w:tcW w:w="900" w:type="dxa"/>
            <w:vAlign w:val="center"/>
          </w:tcPr>
          <w:p w:rsidR="00092DA3" w:rsidRPr="008743C1" w:rsidRDefault="002D5102" w:rsidP="007471A8">
            <w:pPr>
              <w:contextualSpacing/>
              <w:jc w:val="right"/>
            </w:pPr>
            <w:r>
              <w:t>6-1</w:t>
            </w:r>
            <w:r w:rsidR="00A8673E">
              <w:t>3</w:t>
            </w:r>
          </w:p>
        </w:tc>
      </w:tr>
      <w:tr w:rsidR="00092DA3" w:rsidRPr="008743C1" w:rsidTr="00F0004F">
        <w:trPr>
          <w:jc w:val="center"/>
        </w:trPr>
        <w:tc>
          <w:tcPr>
            <w:tcW w:w="6840" w:type="dxa"/>
            <w:gridSpan w:val="2"/>
          </w:tcPr>
          <w:p w:rsidR="00092DA3" w:rsidRPr="002E05BC" w:rsidRDefault="00092DA3" w:rsidP="007471A8">
            <w:pPr>
              <w:pStyle w:val="BodyText"/>
              <w:contextualSpacing/>
              <w:rPr>
                <w:b/>
                <w:bCs/>
                <w:szCs w:val="24"/>
              </w:rPr>
            </w:pPr>
            <w:r>
              <w:rPr>
                <w:b/>
                <w:bCs/>
                <w:szCs w:val="24"/>
              </w:rPr>
              <w:t>Total, Salaries and Expenses Offsets</w:t>
            </w:r>
          </w:p>
        </w:tc>
        <w:tc>
          <w:tcPr>
            <w:tcW w:w="1080" w:type="dxa"/>
            <w:vAlign w:val="center"/>
          </w:tcPr>
          <w:p w:rsidR="00092DA3" w:rsidRPr="002E05BC" w:rsidRDefault="00092DA3" w:rsidP="007471A8">
            <w:pPr>
              <w:pStyle w:val="BodyText"/>
              <w:contextualSpacing/>
              <w:jc w:val="right"/>
              <w:rPr>
                <w:b/>
                <w:szCs w:val="24"/>
              </w:rPr>
            </w:pPr>
            <w:r w:rsidRPr="002E05BC">
              <w:rPr>
                <w:b/>
                <w:szCs w:val="24"/>
              </w:rPr>
              <w:t>(15)</w:t>
            </w:r>
          </w:p>
        </w:tc>
        <w:tc>
          <w:tcPr>
            <w:tcW w:w="900" w:type="dxa"/>
            <w:vAlign w:val="center"/>
          </w:tcPr>
          <w:p w:rsidR="00092DA3" w:rsidRPr="002E05BC" w:rsidRDefault="00092DA3" w:rsidP="007471A8">
            <w:pPr>
              <w:pStyle w:val="BodyText"/>
              <w:contextualSpacing/>
              <w:jc w:val="right"/>
              <w:rPr>
                <w:b/>
                <w:szCs w:val="24"/>
              </w:rPr>
            </w:pPr>
            <w:r w:rsidRPr="002E05BC">
              <w:rPr>
                <w:b/>
                <w:szCs w:val="24"/>
              </w:rPr>
              <w:t>(15)</w:t>
            </w:r>
          </w:p>
        </w:tc>
        <w:tc>
          <w:tcPr>
            <w:tcW w:w="1440" w:type="dxa"/>
            <w:vAlign w:val="center"/>
          </w:tcPr>
          <w:p w:rsidR="00092DA3" w:rsidRPr="002E05BC" w:rsidRDefault="00092DA3" w:rsidP="007471A8">
            <w:pPr>
              <w:pStyle w:val="BodyText"/>
              <w:contextualSpacing/>
              <w:jc w:val="right"/>
              <w:rPr>
                <w:b/>
                <w:szCs w:val="24"/>
              </w:rPr>
            </w:pPr>
            <w:r w:rsidRPr="002E05BC">
              <w:rPr>
                <w:b/>
                <w:szCs w:val="24"/>
              </w:rPr>
              <w:t>($63,023)</w:t>
            </w:r>
          </w:p>
        </w:tc>
        <w:tc>
          <w:tcPr>
            <w:tcW w:w="900" w:type="dxa"/>
            <w:vAlign w:val="center"/>
          </w:tcPr>
          <w:p w:rsidR="00092DA3" w:rsidRPr="008743C1" w:rsidRDefault="00092DA3" w:rsidP="007471A8">
            <w:pPr>
              <w:contextualSpacing/>
              <w:jc w:val="right"/>
            </w:pPr>
          </w:p>
        </w:tc>
      </w:tr>
    </w:tbl>
    <w:p w:rsidR="005A2338" w:rsidRDefault="005A2338" w:rsidP="007471A8">
      <w:pPr>
        <w:pStyle w:val="BodyText"/>
        <w:contextualSpacing/>
        <w:rPr>
          <w:rFonts w:cs="Arial"/>
          <w:b/>
          <w:bCs/>
          <w:sz w:val="28"/>
          <w:szCs w:val="28"/>
        </w:rPr>
        <w:sectPr w:rsidR="005A2338" w:rsidSect="007471A8">
          <w:footerReference w:type="default" r:id="rId15"/>
          <w:pgSz w:w="12240" w:h="15840" w:code="1"/>
          <w:pgMar w:top="1080" w:right="1080" w:bottom="1080" w:left="1080" w:header="432" w:footer="432" w:gutter="0"/>
          <w:pgNumType w:start="1"/>
          <w:cols w:space="720"/>
          <w:docGrid w:linePitch="326"/>
        </w:sectPr>
      </w:pPr>
    </w:p>
    <w:p w:rsidR="00461B28" w:rsidRPr="009B2387" w:rsidRDefault="00461B28" w:rsidP="007471A8">
      <w:pPr>
        <w:pStyle w:val="BodyText"/>
        <w:contextualSpacing/>
        <w:rPr>
          <w:rFonts w:cs="Arial"/>
          <w:b/>
          <w:bCs/>
          <w:szCs w:val="24"/>
        </w:rPr>
      </w:pPr>
      <w:bookmarkStart w:id="5" w:name="SE_Approps_Language"/>
      <w:bookmarkEnd w:id="5"/>
      <w:r w:rsidRPr="009B2387">
        <w:rPr>
          <w:rFonts w:cs="Arial"/>
          <w:b/>
          <w:bCs/>
          <w:szCs w:val="24"/>
        </w:rPr>
        <w:lastRenderedPageBreak/>
        <w:t>III. Appropriations Language and Analysis of Appropriations Language</w:t>
      </w:r>
    </w:p>
    <w:p w:rsidR="00461B28" w:rsidRDefault="00461B28" w:rsidP="007471A8">
      <w:pPr>
        <w:pStyle w:val="BodyText"/>
        <w:contextualSpacing/>
        <w:rPr>
          <w:rFonts w:cs="Arial"/>
          <w:b/>
          <w:bCs/>
          <w:sz w:val="28"/>
          <w:szCs w:val="28"/>
        </w:rPr>
      </w:pPr>
    </w:p>
    <w:p w:rsidR="00461B28" w:rsidRDefault="00461B28" w:rsidP="00F0004F">
      <w:pPr>
        <w:pStyle w:val="BodyText"/>
        <w:contextualSpacing/>
        <w:rPr>
          <w:rFonts w:cs="Arial"/>
          <w:b/>
          <w:bCs/>
        </w:rPr>
      </w:pPr>
      <w:r>
        <w:rPr>
          <w:rFonts w:cs="Arial"/>
          <w:b/>
          <w:bCs/>
        </w:rPr>
        <w:t>Appropriations Language for Salaries and Expenses</w:t>
      </w:r>
      <w:bookmarkEnd w:id="2"/>
      <w:bookmarkEnd w:id="3"/>
    </w:p>
    <w:p w:rsidR="00451E8F" w:rsidRDefault="00451E8F" w:rsidP="00F0004F">
      <w:pPr>
        <w:pStyle w:val="BodyText"/>
        <w:contextualSpacing/>
        <w:rPr>
          <w:rFonts w:cs="Arial"/>
          <w:b/>
          <w:bCs/>
        </w:rPr>
      </w:pPr>
    </w:p>
    <w:p w:rsidR="00461B28" w:rsidRPr="00AF3C22" w:rsidRDefault="00461B28" w:rsidP="00F0004F">
      <w:pPr>
        <w:pStyle w:val="BodyText"/>
        <w:contextualSpacing/>
        <w:rPr>
          <w:rFonts w:cs="Arial"/>
          <w:bCs/>
        </w:rPr>
      </w:pPr>
      <w:r>
        <w:rPr>
          <w:rFonts w:cs="Arial"/>
          <w:bCs/>
        </w:rPr>
        <w:t xml:space="preserve">For necessary expenses of the Federal Bureau of Investigation for detection, investigation, and prosecution of crimes against the United States, [$8,036,991,000, of which not to exceed $150,000,000 shall remain available until expended] $8,151,021,000:  </w:t>
      </w:r>
      <w:r>
        <w:rPr>
          <w:rFonts w:cs="Arial"/>
          <w:bCs/>
          <w:i/>
        </w:rPr>
        <w:t xml:space="preserve">Provided, That not to exceed $216,900,000 shall remain available until expended: Provided further, </w:t>
      </w:r>
      <w:r w:rsidRPr="00AF3C22">
        <w:rPr>
          <w:rFonts w:cs="Arial"/>
          <w:bCs/>
        </w:rPr>
        <w:t>That not to exceed $184,500 shall be available for official reception and representation expenses.</w:t>
      </w:r>
    </w:p>
    <w:p w:rsidR="00461B28" w:rsidRDefault="00461B28" w:rsidP="00F0004F">
      <w:pPr>
        <w:pStyle w:val="BodyText"/>
        <w:contextualSpacing/>
        <w:rPr>
          <w:rFonts w:cs="Arial"/>
          <w:bCs/>
          <w:i/>
        </w:rPr>
      </w:pPr>
    </w:p>
    <w:p w:rsidR="00461B28" w:rsidRDefault="00451E8F" w:rsidP="00F0004F">
      <w:pPr>
        <w:pStyle w:val="BodyText"/>
        <w:contextualSpacing/>
        <w:jc w:val="center"/>
        <w:rPr>
          <w:rFonts w:cs="Arial"/>
          <w:bCs/>
          <w:i/>
        </w:rPr>
      </w:pPr>
      <w:r>
        <w:rPr>
          <w:rFonts w:cs="Arial"/>
          <w:bCs/>
          <w:i/>
        </w:rPr>
        <w:t>(</w:t>
      </w:r>
      <w:proofErr w:type="gramStart"/>
      <w:r w:rsidR="00F0004F">
        <w:rPr>
          <w:rFonts w:cs="Arial"/>
          <w:bCs/>
          <w:i/>
        </w:rPr>
        <w:t>cancellation</w:t>
      </w:r>
      <w:proofErr w:type="gramEnd"/>
      <w:r w:rsidR="00F0004F">
        <w:rPr>
          <w:rFonts w:cs="Arial"/>
          <w:bCs/>
          <w:i/>
        </w:rPr>
        <w:t>)</w:t>
      </w:r>
    </w:p>
    <w:p w:rsidR="00F0004F" w:rsidRPr="00F0004F" w:rsidRDefault="00F0004F" w:rsidP="00F0004F">
      <w:pPr>
        <w:pStyle w:val="BodyText"/>
        <w:contextualSpacing/>
        <w:jc w:val="center"/>
        <w:rPr>
          <w:rFonts w:cs="Arial"/>
          <w:bCs/>
          <w:i/>
        </w:rPr>
      </w:pPr>
    </w:p>
    <w:p w:rsidR="00C86147" w:rsidRPr="006675F0" w:rsidRDefault="00C86147" w:rsidP="00F0004F">
      <w:pPr>
        <w:pStyle w:val="BodyText"/>
        <w:contextualSpacing/>
        <w:rPr>
          <w:rFonts w:cs="Arial"/>
          <w:bCs/>
          <w:i/>
        </w:rPr>
      </w:pPr>
      <w:r>
        <w:rPr>
          <w:rFonts w:cs="Arial"/>
          <w:bCs/>
          <w:i/>
        </w:rPr>
        <w:t xml:space="preserve">Of the unobligated balances from prior year appropriations under this heading, $162,226,000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 </w:t>
      </w:r>
      <w:proofErr w:type="gramStart"/>
      <w:r>
        <w:rPr>
          <w:rFonts w:cs="Arial"/>
          <w:bCs/>
          <w:i/>
        </w:rPr>
        <w:t>(Department of Justice Appropriations Act, 2012.)</w:t>
      </w:r>
      <w:proofErr w:type="gramEnd"/>
    </w:p>
    <w:p w:rsidR="00C86147" w:rsidRDefault="00C86147" w:rsidP="00F0004F">
      <w:pPr>
        <w:pStyle w:val="BodyText"/>
        <w:contextualSpacing/>
        <w:rPr>
          <w:rFonts w:cs="Arial"/>
          <w:bCs/>
          <w:i/>
        </w:rPr>
      </w:pPr>
    </w:p>
    <w:p w:rsidR="00461B28" w:rsidRDefault="00461B28" w:rsidP="00F0004F">
      <w:pPr>
        <w:pStyle w:val="BodyText"/>
        <w:contextualSpacing/>
        <w:rPr>
          <w:rFonts w:cs="Arial"/>
          <w:b/>
          <w:bCs/>
        </w:rPr>
      </w:pPr>
      <w:r>
        <w:rPr>
          <w:rFonts w:cs="Arial"/>
          <w:b/>
          <w:bCs/>
        </w:rPr>
        <w:t>Analysis of Appropriations Language</w:t>
      </w:r>
    </w:p>
    <w:p w:rsidR="00461B28" w:rsidRDefault="00461B28" w:rsidP="00F0004F">
      <w:pPr>
        <w:pStyle w:val="BodyText"/>
        <w:contextualSpacing/>
        <w:rPr>
          <w:rFonts w:cs="Arial"/>
          <w:b/>
          <w:bCs/>
        </w:rPr>
      </w:pPr>
    </w:p>
    <w:p w:rsidR="00C86147" w:rsidRPr="001525BF" w:rsidRDefault="00C86147" w:rsidP="00F0004F">
      <w:pPr>
        <w:pStyle w:val="BodyText"/>
        <w:contextualSpacing/>
        <w:rPr>
          <w:b/>
          <w:bCs/>
        </w:rPr>
      </w:pPr>
      <w:r>
        <w:rPr>
          <w:rFonts w:cs="Arial"/>
          <w:bCs/>
        </w:rPr>
        <w:t>The language proposed above differs from the language included in the Budget Appendix regarding the types of balances proposed for cancellation.  The difference is due only to timing restrictions during production of these separate documents as it is the intent of both the language proposed in the Budget Appendix and the language proposed here to cancel expired balances or balances currently available.</w:t>
      </w:r>
    </w:p>
    <w:p w:rsidR="00C86147" w:rsidRDefault="00C86147" w:rsidP="00F0004F">
      <w:pPr>
        <w:contextualSpacing/>
      </w:pPr>
    </w:p>
    <w:p w:rsidR="00630F6F" w:rsidRDefault="00630F6F" w:rsidP="007471A8">
      <w:pPr>
        <w:pStyle w:val="BodyText"/>
        <w:contextualSpacing/>
        <w:rPr>
          <w:b/>
        </w:rPr>
        <w:sectPr w:rsidR="00630F6F" w:rsidSect="0036067B">
          <w:headerReference w:type="even" r:id="rId16"/>
          <w:headerReference w:type="default" r:id="rId17"/>
          <w:footerReference w:type="even" r:id="rId18"/>
          <w:footerReference w:type="default" r:id="rId19"/>
          <w:pgSz w:w="12240" w:h="15840" w:code="1"/>
          <w:pgMar w:top="1080" w:right="1080" w:bottom="1080" w:left="1080" w:header="432" w:footer="432" w:gutter="0"/>
          <w:pgNumType w:start="1"/>
          <w:cols w:space="720"/>
          <w:docGrid w:linePitch="360"/>
        </w:sectPr>
      </w:pPr>
    </w:p>
    <w:p w:rsidR="00630F6F" w:rsidRPr="009B2387" w:rsidRDefault="00630F6F" w:rsidP="007471A8">
      <w:pPr>
        <w:pStyle w:val="BodyText"/>
        <w:contextualSpacing/>
        <w:rPr>
          <w:rFonts w:cs="Arial"/>
          <w:b/>
          <w:bCs/>
          <w:szCs w:val="24"/>
        </w:rPr>
      </w:pPr>
      <w:bookmarkStart w:id="6" w:name="DU_Justifications"/>
      <w:bookmarkEnd w:id="6"/>
      <w:r w:rsidRPr="009B2387">
        <w:rPr>
          <w:rFonts w:cs="Arial"/>
          <w:b/>
          <w:bCs/>
          <w:szCs w:val="24"/>
        </w:rPr>
        <w:lastRenderedPageBreak/>
        <w:t>IV. Decision Unit Justification</w:t>
      </w:r>
    </w:p>
    <w:p w:rsidR="00630F6F" w:rsidRPr="00C0638F" w:rsidRDefault="00630F6F" w:rsidP="007471A8">
      <w:pPr>
        <w:contextualSpacing/>
        <w:rPr>
          <w:b/>
          <w:bCs/>
          <w:highlight w:val="yellow"/>
        </w:rPr>
      </w:pPr>
    </w:p>
    <w:p w:rsidR="00630F6F" w:rsidRPr="00046BA4" w:rsidRDefault="00630F6F" w:rsidP="007471A8">
      <w:pPr>
        <w:pStyle w:val="BodyText"/>
        <w:contextualSpacing/>
        <w:rPr>
          <w:b/>
          <w:bCs/>
          <w:i/>
          <w:iCs/>
        </w:rPr>
      </w:pPr>
      <w:bookmarkStart w:id="7" w:name="Intel_DU"/>
      <w:r w:rsidRPr="00046BA4">
        <w:rPr>
          <w:b/>
          <w:bCs/>
        </w:rPr>
        <w:t>A. Intelligence Decision Unit</w:t>
      </w:r>
      <w:r w:rsidRPr="00046BA4">
        <w:rPr>
          <w:b/>
          <w:bCs/>
          <w:i/>
          <w:iCs/>
        </w:rPr>
        <w:tab/>
      </w:r>
    </w:p>
    <w:bookmarkEnd w:id="7"/>
    <w:p w:rsidR="00630F6F" w:rsidRPr="00C942DE" w:rsidRDefault="00630F6F" w:rsidP="007471A8">
      <w:pPr>
        <w:pStyle w:val="BodyText"/>
        <w:contextualSpacing/>
        <w:rPr>
          <w:b/>
          <w:bCs/>
          <w:i/>
          <w:iCs/>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350"/>
        <w:gridCol w:w="1260"/>
        <w:gridCol w:w="1638"/>
      </w:tblGrid>
      <w:tr w:rsidR="00630F6F" w:rsidRPr="00C942DE" w:rsidTr="009552BF">
        <w:trPr>
          <w:jc w:val="center"/>
        </w:trPr>
        <w:tc>
          <w:tcPr>
            <w:tcW w:w="5328" w:type="dxa"/>
            <w:vAlign w:val="center"/>
          </w:tcPr>
          <w:p w:rsidR="00630F6F" w:rsidRPr="00C942DE" w:rsidRDefault="00630F6F" w:rsidP="007471A8">
            <w:pPr>
              <w:pStyle w:val="Title"/>
              <w:ind w:left="0"/>
              <w:contextualSpacing/>
              <w:jc w:val="left"/>
              <w:rPr>
                <w:i w:val="0"/>
                <w:szCs w:val="24"/>
              </w:rPr>
            </w:pPr>
            <w:r w:rsidRPr="00C942DE">
              <w:rPr>
                <w:i w:val="0"/>
                <w:szCs w:val="24"/>
              </w:rPr>
              <w:t>INTELLIGENCE DECISION UNIT TOTAL</w:t>
            </w:r>
          </w:p>
        </w:tc>
        <w:tc>
          <w:tcPr>
            <w:tcW w:w="1350" w:type="dxa"/>
            <w:vAlign w:val="center"/>
          </w:tcPr>
          <w:p w:rsidR="00630F6F" w:rsidRPr="00C942DE" w:rsidRDefault="00630F6F" w:rsidP="007471A8">
            <w:pPr>
              <w:pStyle w:val="Title"/>
              <w:ind w:left="0"/>
              <w:contextualSpacing/>
              <w:rPr>
                <w:i w:val="0"/>
                <w:szCs w:val="24"/>
              </w:rPr>
            </w:pPr>
            <w:r w:rsidRPr="00C942DE">
              <w:rPr>
                <w:i w:val="0"/>
                <w:szCs w:val="24"/>
              </w:rPr>
              <w:t xml:space="preserve">Perm. </w:t>
            </w:r>
            <w:proofErr w:type="gramStart"/>
            <w:r w:rsidRPr="00C942DE">
              <w:rPr>
                <w:i w:val="0"/>
                <w:szCs w:val="24"/>
              </w:rPr>
              <w:t>Pos.</w:t>
            </w:r>
            <w:proofErr w:type="gramEnd"/>
          </w:p>
        </w:tc>
        <w:tc>
          <w:tcPr>
            <w:tcW w:w="1260" w:type="dxa"/>
            <w:vAlign w:val="center"/>
          </w:tcPr>
          <w:p w:rsidR="00630F6F" w:rsidRPr="00C942DE" w:rsidRDefault="00630F6F" w:rsidP="007471A8">
            <w:pPr>
              <w:pStyle w:val="Title"/>
              <w:ind w:left="0"/>
              <w:contextualSpacing/>
              <w:rPr>
                <w:i w:val="0"/>
                <w:szCs w:val="24"/>
              </w:rPr>
            </w:pPr>
            <w:r w:rsidRPr="00C942DE">
              <w:rPr>
                <w:i w:val="0"/>
                <w:szCs w:val="24"/>
              </w:rPr>
              <w:t>FTE</w:t>
            </w:r>
          </w:p>
        </w:tc>
        <w:tc>
          <w:tcPr>
            <w:tcW w:w="1638" w:type="dxa"/>
            <w:vAlign w:val="center"/>
          </w:tcPr>
          <w:p w:rsidR="00630F6F" w:rsidRPr="00C942DE" w:rsidRDefault="00630F6F" w:rsidP="007471A8">
            <w:pPr>
              <w:pStyle w:val="Title"/>
              <w:ind w:left="0"/>
              <w:contextualSpacing/>
              <w:rPr>
                <w:i w:val="0"/>
                <w:szCs w:val="24"/>
              </w:rPr>
            </w:pPr>
            <w:r w:rsidRPr="00C942DE">
              <w:rPr>
                <w:i w:val="0"/>
                <w:szCs w:val="24"/>
              </w:rPr>
              <w:t>Amount ($000)</w:t>
            </w:r>
          </w:p>
        </w:tc>
      </w:tr>
      <w:tr w:rsidR="00630F6F" w:rsidRPr="00C942DE" w:rsidTr="009552BF">
        <w:trPr>
          <w:jc w:val="center"/>
        </w:trPr>
        <w:tc>
          <w:tcPr>
            <w:tcW w:w="5328" w:type="dxa"/>
          </w:tcPr>
          <w:p w:rsidR="00630F6F" w:rsidRPr="00C942DE" w:rsidRDefault="00630F6F" w:rsidP="007471A8">
            <w:pPr>
              <w:pStyle w:val="Title"/>
              <w:ind w:left="0"/>
              <w:contextualSpacing/>
              <w:jc w:val="left"/>
              <w:rPr>
                <w:b w:val="0"/>
                <w:bCs/>
                <w:i w:val="0"/>
                <w:szCs w:val="24"/>
              </w:rPr>
            </w:pPr>
            <w:r>
              <w:rPr>
                <w:b w:val="0"/>
                <w:bCs/>
                <w:i w:val="0"/>
                <w:szCs w:val="24"/>
              </w:rPr>
              <w:t xml:space="preserve">2011 Enacted </w:t>
            </w:r>
          </w:p>
        </w:tc>
        <w:tc>
          <w:tcPr>
            <w:tcW w:w="1350" w:type="dxa"/>
          </w:tcPr>
          <w:p w:rsidR="00630F6F" w:rsidRPr="00C942DE" w:rsidRDefault="00630F6F" w:rsidP="007471A8">
            <w:pPr>
              <w:pStyle w:val="Title"/>
              <w:ind w:left="0"/>
              <w:contextualSpacing/>
              <w:jc w:val="right"/>
              <w:rPr>
                <w:b w:val="0"/>
                <w:bCs/>
                <w:i w:val="0"/>
                <w:szCs w:val="24"/>
              </w:rPr>
            </w:pPr>
            <w:r>
              <w:rPr>
                <w:b w:val="0"/>
                <w:bCs/>
                <w:i w:val="0"/>
                <w:szCs w:val="24"/>
              </w:rPr>
              <w:t>6,839</w:t>
            </w:r>
          </w:p>
        </w:tc>
        <w:tc>
          <w:tcPr>
            <w:tcW w:w="1260" w:type="dxa"/>
          </w:tcPr>
          <w:p w:rsidR="00630F6F" w:rsidRPr="00C942DE" w:rsidRDefault="00630F6F" w:rsidP="007471A8">
            <w:pPr>
              <w:pStyle w:val="Title"/>
              <w:ind w:left="0"/>
              <w:contextualSpacing/>
              <w:jc w:val="right"/>
              <w:rPr>
                <w:b w:val="0"/>
                <w:bCs/>
                <w:i w:val="0"/>
                <w:szCs w:val="24"/>
              </w:rPr>
            </w:pPr>
            <w:r>
              <w:rPr>
                <w:b w:val="0"/>
                <w:bCs/>
                <w:i w:val="0"/>
                <w:szCs w:val="24"/>
              </w:rPr>
              <w:t>6,684</w:t>
            </w:r>
          </w:p>
        </w:tc>
        <w:tc>
          <w:tcPr>
            <w:tcW w:w="1638" w:type="dxa"/>
          </w:tcPr>
          <w:p w:rsidR="00630F6F" w:rsidRPr="00C942DE" w:rsidRDefault="00630F6F" w:rsidP="007471A8">
            <w:pPr>
              <w:pStyle w:val="Title"/>
              <w:ind w:left="0"/>
              <w:contextualSpacing/>
              <w:jc w:val="right"/>
              <w:rPr>
                <w:b w:val="0"/>
                <w:bCs/>
                <w:i w:val="0"/>
                <w:szCs w:val="24"/>
              </w:rPr>
            </w:pPr>
            <w:r>
              <w:rPr>
                <w:b w:val="0"/>
                <w:bCs/>
                <w:i w:val="0"/>
                <w:szCs w:val="24"/>
              </w:rPr>
              <w:t>$1,556,434</w:t>
            </w:r>
          </w:p>
        </w:tc>
      </w:tr>
      <w:tr w:rsidR="00630F6F" w:rsidRPr="00C942DE" w:rsidTr="009552BF">
        <w:trPr>
          <w:trHeight w:val="278"/>
          <w:jc w:val="center"/>
        </w:trPr>
        <w:tc>
          <w:tcPr>
            <w:tcW w:w="5328" w:type="dxa"/>
          </w:tcPr>
          <w:p w:rsidR="00630F6F" w:rsidRPr="00C942DE" w:rsidRDefault="00630F6F" w:rsidP="007471A8">
            <w:pPr>
              <w:pStyle w:val="Title"/>
              <w:ind w:left="0"/>
              <w:contextualSpacing/>
              <w:jc w:val="left"/>
              <w:rPr>
                <w:b w:val="0"/>
                <w:bCs/>
                <w:i w:val="0"/>
                <w:szCs w:val="24"/>
              </w:rPr>
            </w:pPr>
            <w:r>
              <w:rPr>
                <w:b w:val="0"/>
                <w:bCs/>
                <w:i w:val="0"/>
                <w:szCs w:val="24"/>
              </w:rPr>
              <w:t>2012</w:t>
            </w:r>
            <w:r w:rsidRPr="00C942DE">
              <w:rPr>
                <w:b w:val="0"/>
                <w:bCs/>
                <w:i w:val="0"/>
                <w:szCs w:val="24"/>
              </w:rPr>
              <w:t xml:space="preserve"> </w:t>
            </w:r>
            <w:r>
              <w:rPr>
                <w:b w:val="0"/>
                <w:bCs/>
                <w:i w:val="0"/>
                <w:szCs w:val="24"/>
              </w:rPr>
              <w:t>Enacted</w:t>
            </w:r>
          </w:p>
        </w:tc>
        <w:tc>
          <w:tcPr>
            <w:tcW w:w="1350" w:type="dxa"/>
          </w:tcPr>
          <w:p w:rsidR="00630F6F" w:rsidRPr="00CE134E" w:rsidRDefault="00630F6F" w:rsidP="007471A8">
            <w:pPr>
              <w:pStyle w:val="Title"/>
              <w:ind w:left="0"/>
              <w:contextualSpacing/>
              <w:jc w:val="right"/>
              <w:rPr>
                <w:b w:val="0"/>
                <w:bCs/>
                <w:i w:val="0"/>
                <w:szCs w:val="24"/>
              </w:rPr>
            </w:pPr>
            <w:r>
              <w:rPr>
                <w:b w:val="0"/>
                <w:bCs/>
                <w:i w:val="0"/>
                <w:szCs w:val="24"/>
              </w:rPr>
              <w:t>7,211</w:t>
            </w:r>
          </w:p>
        </w:tc>
        <w:tc>
          <w:tcPr>
            <w:tcW w:w="1260" w:type="dxa"/>
          </w:tcPr>
          <w:p w:rsidR="00630F6F" w:rsidRPr="00CE134E" w:rsidRDefault="00630F6F" w:rsidP="007471A8">
            <w:pPr>
              <w:pStyle w:val="Title"/>
              <w:ind w:left="0"/>
              <w:contextualSpacing/>
              <w:jc w:val="right"/>
              <w:rPr>
                <w:b w:val="0"/>
                <w:bCs/>
                <w:i w:val="0"/>
                <w:szCs w:val="24"/>
              </w:rPr>
            </w:pPr>
            <w:r>
              <w:rPr>
                <w:b w:val="0"/>
                <w:bCs/>
                <w:i w:val="0"/>
                <w:szCs w:val="24"/>
              </w:rPr>
              <w:t>7,055</w:t>
            </w:r>
          </w:p>
        </w:tc>
        <w:tc>
          <w:tcPr>
            <w:tcW w:w="1638" w:type="dxa"/>
          </w:tcPr>
          <w:p w:rsidR="00630F6F" w:rsidRPr="00CE134E" w:rsidRDefault="00630F6F" w:rsidP="007471A8">
            <w:pPr>
              <w:pStyle w:val="Title"/>
              <w:ind w:left="0"/>
              <w:contextualSpacing/>
              <w:jc w:val="right"/>
              <w:rPr>
                <w:b w:val="0"/>
                <w:bCs/>
                <w:i w:val="0"/>
                <w:szCs w:val="24"/>
              </w:rPr>
            </w:pPr>
            <w:r>
              <w:rPr>
                <w:b w:val="0"/>
                <w:bCs/>
                <w:i w:val="0"/>
                <w:szCs w:val="24"/>
              </w:rPr>
              <w:t>1,683,508</w:t>
            </w:r>
          </w:p>
        </w:tc>
      </w:tr>
      <w:tr w:rsidR="00630F6F" w:rsidRPr="00C942DE" w:rsidTr="009552BF">
        <w:trPr>
          <w:jc w:val="center"/>
        </w:trPr>
        <w:tc>
          <w:tcPr>
            <w:tcW w:w="5328" w:type="dxa"/>
          </w:tcPr>
          <w:p w:rsidR="00630F6F" w:rsidRPr="00C942DE" w:rsidRDefault="00630F6F" w:rsidP="007471A8">
            <w:pPr>
              <w:pStyle w:val="Title"/>
              <w:ind w:left="0"/>
              <w:contextualSpacing/>
              <w:jc w:val="left"/>
              <w:rPr>
                <w:b w:val="0"/>
                <w:bCs/>
                <w:i w:val="0"/>
                <w:szCs w:val="24"/>
              </w:rPr>
            </w:pPr>
            <w:r w:rsidRPr="00C942DE">
              <w:rPr>
                <w:b w:val="0"/>
                <w:bCs/>
                <w:i w:val="0"/>
                <w:szCs w:val="24"/>
              </w:rPr>
              <w:t>Adjustments to Base and Technical Adjustments</w:t>
            </w:r>
          </w:p>
        </w:tc>
        <w:tc>
          <w:tcPr>
            <w:tcW w:w="1350" w:type="dxa"/>
            <w:vAlign w:val="center"/>
          </w:tcPr>
          <w:p w:rsidR="00630F6F" w:rsidRPr="00C942DE" w:rsidRDefault="00630F6F" w:rsidP="007471A8">
            <w:pPr>
              <w:pStyle w:val="Title"/>
              <w:ind w:left="0"/>
              <w:contextualSpacing/>
              <w:jc w:val="right"/>
              <w:rPr>
                <w:b w:val="0"/>
                <w:bCs/>
                <w:i w:val="0"/>
                <w:szCs w:val="24"/>
              </w:rPr>
            </w:pPr>
            <w:r>
              <w:rPr>
                <w:b w:val="0"/>
                <w:bCs/>
                <w:i w:val="0"/>
                <w:szCs w:val="24"/>
              </w:rPr>
              <w:t>3</w:t>
            </w:r>
          </w:p>
        </w:tc>
        <w:tc>
          <w:tcPr>
            <w:tcW w:w="1260" w:type="dxa"/>
            <w:vAlign w:val="center"/>
          </w:tcPr>
          <w:p w:rsidR="00630F6F" w:rsidRPr="00C942DE" w:rsidRDefault="00630F6F" w:rsidP="007471A8">
            <w:pPr>
              <w:pStyle w:val="Title"/>
              <w:ind w:left="0"/>
              <w:contextualSpacing/>
              <w:jc w:val="right"/>
              <w:rPr>
                <w:b w:val="0"/>
                <w:bCs/>
                <w:i w:val="0"/>
                <w:szCs w:val="24"/>
              </w:rPr>
            </w:pPr>
            <w:r>
              <w:rPr>
                <w:b w:val="0"/>
                <w:bCs/>
                <w:i w:val="0"/>
                <w:szCs w:val="24"/>
              </w:rPr>
              <w:t>16</w:t>
            </w:r>
          </w:p>
        </w:tc>
        <w:tc>
          <w:tcPr>
            <w:tcW w:w="1638" w:type="dxa"/>
            <w:vAlign w:val="center"/>
          </w:tcPr>
          <w:p w:rsidR="00630F6F" w:rsidRPr="00C942DE" w:rsidRDefault="00630F6F" w:rsidP="007471A8">
            <w:pPr>
              <w:pStyle w:val="Title"/>
              <w:ind w:left="0"/>
              <w:contextualSpacing/>
              <w:jc w:val="right"/>
              <w:rPr>
                <w:b w:val="0"/>
                <w:bCs/>
                <w:i w:val="0"/>
                <w:szCs w:val="24"/>
              </w:rPr>
            </w:pPr>
            <w:r>
              <w:rPr>
                <w:b w:val="0"/>
                <w:bCs/>
                <w:i w:val="0"/>
                <w:szCs w:val="24"/>
              </w:rPr>
              <w:t>18,989</w:t>
            </w:r>
          </w:p>
        </w:tc>
      </w:tr>
      <w:tr w:rsidR="00630F6F" w:rsidRPr="00C942DE" w:rsidTr="009552BF">
        <w:trPr>
          <w:jc w:val="center"/>
        </w:trPr>
        <w:tc>
          <w:tcPr>
            <w:tcW w:w="5328" w:type="dxa"/>
          </w:tcPr>
          <w:p w:rsidR="00630F6F" w:rsidRPr="00C942DE" w:rsidRDefault="00630F6F" w:rsidP="007471A8">
            <w:pPr>
              <w:pStyle w:val="Title"/>
              <w:ind w:left="0"/>
              <w:contextualSpacing/>
              <w:jc w:val="left"/>
              <w:rPr>
                <w:b w:val="0"/>
                <w:bCs/>
                <w:i w:val="0"/>
                <w:szCs w:val="24"/>
              </w:rPr>
            </w:pPr>
            <w:r>
              <w:rPr>
                <w:b w:val="0"/>
                <w:bCs/>
                <w:i w:val="0"/>
                <w:szCs w:val="24"/>
              </w:rPr>
              <w:t>2013</w:t>
            </w:r>
            <w:r w:rsidRPr="00C942DE">
              <w:rPr>
                <w:b w:val="0"/>
                <w:bCs/>
                <w:i w:val="0"/>
                <w:szCs w:val="24"/>
              </w:rPr>
              <w:t xml:space="preserve"> Current Services</w:t>
            </w:r>
          </w:p>
        </w:tc>
        <w:tc>
          <w:tcPr>
            <w:tcW w:w="1350" w:type="dxa"/>
          </w:tcPr>
          <w:p w:rsidR="00630F6F" w:rsidRPr="00C942DE" w:rsidRDefault="00630F6F" w:rsidP="007471A8">
            <w:pPr>
              <w:pStyle w:val="Title"/>
              <w:ind w:left="0"/>
              <w:contextualSpacing/>
              <w:jc w:val="right"/>
              <w:rPr>
                <w:b w:val="0"/>
                <w:bCs/>
                <w:i w:val="0"/>
                <w:szCs w:val="24"/>
              </w:rPr>
            </w:pPr>
            <w:r>
              <w:rPr>
                <w:b w:val="0"/>
                <w:bCs/>
                <w:i w:val="0"/>
                <w:szCs w:val="24"/>
              </w:rPr>
              <w:t>7,214</w:t>
            </w:r>
          </w:p>
        </w:tc>
        <w:tc>
          <w:tcPr>
            <w:tcW w:w="1260" w:type="dxa"/>
          </w:tcPr>
          <w:p w:rsidR="00630F6F" w:rsidRPr="00C942DE" w:rsidRDefault="00630F6F" w:rsidP="007471A8">
            <w:pPr>
              <w:pStyle w:val="Title"/>
              <w:ind w:left="0"/>
              <w:contextualSpacing/>
              <w:jc w:val="right"/>
              <w:rPr>
                <w:b w:val="0"/>
                <w:bCs/>
                <w:i w:val="0"/>
                <w:szCs w:val="24"/>
              </w:rPr>
            </w:pPr>
            <w:r>
              <w:rPr>
                <w:b w:val="0"/>
                <w:bCs/>
                <w:i w:val="0"/>
                <w:szCs w:val="24"/>
              </w:rPr>
              <w:t>7,071</w:t>
            </w:r>
          </w:p>
        </w:tc>
        <w:tc>
          <w:tcPr>
            <w:tcW w:w="1638" w:type="dxa"/>
          </w:tcPr>
          <w:p w:rsidR="00630F6F" w:rsidRPr="00C942DE" w:rsidRDefault="00630F6F" w:rsidP="007471A8">
            <w:pPr>
              <w:pStyle w:val="Title"/>
              <w:ind w:left="0"/>
              <w:contextualSpacing/>
              <w:jc w:val="right"/>
              <w:rPr>
                <w:b w:val="0"/>
                <w:bCs/>
                <w:i w:val="0"/>
                <w:szCs w:val="24"/>
              </w:rPr>
            </w:pPr>
            <w:r>
              <w:rPr>
                <w:b w:val="0"/>
                <w:bCs/>
                <w:i w:val="0"/>
                <w:szCs w:val="24"/>
              </w:rPr>
              <w:t>1,702,497</w:t>
            </w:r>
          </w:p>
        </w:tc>
      </w:tr>
      <w:tr w:rsidR="00630F6F" w:rsidRPr="00C942DE" w:rsidTr="009552BF">
        <w:trPr>
          <w:jc w:val="center"/>
        </w:trPr>
        <w:tc>
          <w:tcPr>
            <w:tcW w:w="5328" w:type="dxa"/>
          </w:tcPr>
          <w:p w:rsidR="00630F6F" w:rsidRPr="00C942DE" w:rsidRDefault="00630F6F" w:rsidP="007471A8">
            <w:pPr>
              <w:pStyle w:val="Title"/>
              <w:ind w:left="0"/>
              <w:contextualSpacing/>
              <w:jc w:val="left"/>
              <w:rPr>
                <w:b w:val="0"/>
                <w:bCs/>
                <w:i w:val="0"/>
                <w:szCs w:val="24"/>
              </w:rPr>
            </w:pPr>
            <w:r>
              <w:rPr>
                <w:b w:val="0"/>
                <w:bCs/>
                <w:i w:val="0"/>
                <w:szCs w:val="24"/>
              </w:rPr>
              <w:t>2013</w:t>
            </w:r>
            <w:r w:rsidRPr="00C942DE">
              <w:rPr>
                <w:b w:val="0"/>
                <w:bCs/>
                <w:i w:val="0"/>
                <w:szCs w:val="24"/>
              </w:rPr>
              <w:t xml:space="preserve"> Program Increases</w:t>
            </w:r>
          </w:p>
        </w:tc>
        <w:tc>
          <w:tcPr>
            <w:tcW w:w="1350" w:type="dxa"/>
          </w:tcPr>
          <w:p w:rsidR="00630F6F" w:rsidRPr="00C942DE" w:rsidRDefault="00630F6F" w:rsidP="007471A8">
            <w:pPr>
              <w:pStyle w:val="Title"/>
              <w:ind w:left="0"/>
              <w:contextualSpacing/>
              <w:jc w:val="right"/>
              <w:rPr>
                <w:b w:val="0"/>
                <w:bCs/>
                <w:i w:val="0"/>
                <w:szCs w:val="24"/>
              </w:rPr>
            </w:pPr>
            <w:r>
              <w:rPr>
                <w:b w:val="0"/>
                <w:bCs/>
                <w:i w:val="0"/>
                <w:szCs w:val="24"/>
              </w:rPr>
              <w:t>…</w:t>
            </w:r>
          </w:p>
        </w:tc>
        <w:tc>
          <w:tcPr>
            <w:tcW w:w="1260" w:type="dxa"/>
          </w:tcPr>
          <w:p w:rsidR="00630F6F" w:rsidRPr="00C942DE" w:rsidRDefault="00630F6F" w:rsidP="007471A8">
            <w:pPr>
              <w:pStyle w:val="Title"/>
              <w:ind w:left="0"/>
              <w:contextualSpacing/>
              <w:jc w:val="right"/>
              <w:rPr>
                <w:b w:val="0"/>
                <w:bCs/>
                <w:i w:val="0"/>
                <w:szCs w:val="24"/>
              </w:rPr>
            </w:pPr>
            <w:r>
              <w:rPr>
                <w:b w:val="0"/>
                <w:bCs/>
                <w:i w:val="0"/>
                <w:szCs w:val="24"/>
              </w:rPr>
              <w:t>…</w:t>
            </w:r>
          </w:p>
        </w:tc>
        <w:tc>
          <w:tcPr>
            <w:tcW w:w="1638" w:type="dxa"/>
          </w:tcPr>
          <w:p w:rsidR="00630F6F" w:rsidRPr="00C942DE" w:rsidRDefault="00630F6F" w:rsidP="007471A8">
            <w:pPr>
              <w:pStyle w:val="Title"/>
              <w:ind w:left="0"/>
              <w:contextualSpacing/>
              <w:jc w:val="right"/>
              <w:rPr>
                <w:b w:val="0"/>
                <w:bCs/>
                <w:i w:val="0"/>
                <w:szCs w:val="24"/>
              </w:rPr>
            </w:pPr>
            <w:r>
              <w:rPr>
                <w:b w:val="0"/>
                <w:bCs/>
                <w:i w:val="0"/>
                <w:szCs w:val="24"/>
              </w:rPr>
              <w:t>1,656</w:t>
            </w:r>
          </w:p>
        </w:tc>
      </w:tr>
      <w:tr w:rsidR="00630F6F" w:rsidRPr="00C942DE" w:rsidTr="009552BF">
        <w:trPr>
          <w:jc w:val="center"/>
        </w:trPr>
        <w:tc>
          <w:tcPr>
            <w:tcW w:w="5328" w:type="dxa"/>
          </w:tcPr>
          <w:p w:rsidR="00630F6F" w:rsidRPr="00C942DE" w:rsidRDefault="00630F6F" w:rsidP="007471A8">
            <w:pPr>
              <w:pStyle w:val="Title"/>
              <w:ind w:left="0"/>
              <w:contextualSpacing/>
              <w:jc w:val="left"/>
              <w:rPr>
                <w:b w:val="0"/>
                <w:bCs/>
                <w:i w:val="0"/>
                <w:szCs w:val="24"/>
              </w:rPr>
            </w:pPr>
            <w:r>
              <w:rPr>
                <w:b w:val="0"/>
                <w:bCs/>
                <w:i w:val="0"/>
                <w:szCs w:val="24"/>
              </w:rPr>
              <w:t>2013 Program Offsets</w:t>
            </w:r>
          </w:p>
        </w:tc>
        <w:tc>
          <w:tcPr>
            <w:tcW w:w="1350" w:type="dxa"/>
          </w:tcPr>
          <w:p w:rsidR="00630F6F" w:rsidRDefault="00630F6F" w:rsidP="007471A8">
            <w:pPr>
              <w:pStyle w:val="Title"/>
              <w:ind w:left="0"/>
              <w:contextualSpacing/>
              <w:jc w:val="right"/>
              <w:rPr>
                <w:b w:val="0"/>
                <w:bCs/>
                <w:i w:val="0"/>
                <w:szCs w:val="24"/>
              </w:rPr>
            </w:pPr>
            <w:r>
              <w:rPr>
                <w:b w:val="0"/>
                <w:bCs/>
                <w:i w:val="0"/>
                <w:szCs w:val="24"/>
              </w:rPr>
              <w:t>(15)</w:t>
            </w:r>
          </w:p>
        </w:tc>
        <w:tc>
          <w:tcPr>
            <w:tcW w:w="1260" w:type="dxa"/>
          </w:tcPr>
          <w:p w:rsidR="00630F6F" w:rsidRDefault="00630F6F" w:rsidP="007471A8">
            <w:pPr>
              <w:pStyle w:val="Title"/>
              <w:ind w:left="0"/>
              <w:contextualSpacing/>
              <w:jc w:val="right"/>
              <w:rPr>
                <w:b w:val="0"/>
                <w:bCs/>
                <w:i w:val="0"/>
                <w:szCs w:val="24"/>
              </w:rPr>
            </w:pPr>
            <w:r>
              <w:rPr>
                <w:b w:val="0"/>
                <w:bCs/>
                <w:i w:val="0"/>
                <w:szCs w:val="24"/>
              </w:rPr>
              <w:t>(15)</w:t>
            </w:r>
          </w:p>
        </w:tc>
        <w:tc>
          <w:tcPr>
            <w:tcW w:w="1638" w:type="dxa"/>
          </w:tcPr>
          <w:p w:rsidR="00630F6F" w:rsidRDefault="00630F6F" w:rsidP="007471A8">
            <w:pPr>
              <w:pStyle w:val="Title"/>
              <w:ind w:left="0"/>
              <w:contextualSpacing/>
              <w:jc w:val="right"/>
              <w:rPr>
                <w:b w:val="0"/>
                <w:bCs/>
                <w:i w:val="0"/>
                <w:szCs w:val="24"/>
              </w:rPr>
            </w:pPr>
            <w:r>
              <w:rPr>
                <w:b w:val="0"/>
                <w:bCs/>
                <w:i w:val="0"/>
                <w:szCs w:val="24"/>
              </w:rPr>
              <w:t>(20,547)</w:t>
            </w:r>
          </w:p>
        </w:tc>
      </w:tr>
      <w:tr w:rsidR="00630F6F" w:rsidRPr="00C942DE" w:rsidTr="009552BF">
        <w:trPr>
          <w:jc w:val="center"/>
        </w:trPr>
        <w:tc>
          <w:tcPr>
            <w:tcW w:w="5328" w:type="dxa"/>
          </w:tcPr>
          <w:p w:rsidR="00630F6F" w:rsidRPr="00C942DE" w:rsidRDefault="00630F6F" w:rsidP="007471A8">
            <w:pPr>
              <w:pStyle w:val="Title"/>
              <w:ind w:left="0"/>
              <w:contextualSpacing/>
              <w:jc w:val="left"/>
              <w:rPr>
                <w:b w:val="0"/>
                <w:bCs/>
                <w:i w:val="0"/>
                <w:szCs w:val="24"/>
              </w:rPr>
            </w:pPr>
            <w:r>
              <w:rPr>
                <w:b w:val="0"/>
                <w:bCs/>
                <w:i w:val="0"/>
                <w:szCs w:val="24"/>
              </w:rPr>
              <w:t>2013</w:t>
            </w:r>
            <w:r w:rsidRPr="00C942DE">
              <w:rPr>
                <w:b w:val="0"/>
                <w:bCs/>
                <w:i w:val="0"/>
                <w:szCs w:val="24"/>
              </w:rPr>
              <w:t xml:space="preserve"> Request</w:t>
            </w:r>
          </w:p>
        </w:tc>
        <w:tc>
          <w:tcPr>
            <w:tcW w:w="1350" w:type="dxa"/>
          </w:tcPr>
          <w:p w:rsidR="00630F6F" w:rsidRPr="00C942DE" w:rsidRDefault="00630F6F" w:rsidP="007471A8">
            <w:pPr>
              <w:pStyle w:val="Title"/>
              <w:ind w:left="0"/>
              <w:contextualSpacing/>
              <w:jc w:val="right"/>
              <w:rPr>
                <w:b w:val="0"/>
                <w:bCs/>
                <w:i w:val="0"/>
                <w:szCs w:val="24"/>
              </w:rPr>
            </w:pPr>
            <w:r>
              <w:rPr>
                <w:b w:val="0"/>
                <w:bCs/>
                <w:i w:val="0"/>
                <w:szCs w:val="24"/>
              </w:rPr>
              <w:t>7,199</w:t>
            </w:r>
          </w:p>
        </w:tc>
        <w:tc>
          <w:tcPr>
            <w:tcW w:w="1260" w:type="dxa"/>
          </w:tcPr>
          <w:p w:rsidR="00630F6F" w:rsidRPr="00C942DE" w:rsidRDefault="00630F6F" w:rsidP="007471A8">
            <w:pPr>
              <w:pStyle w:val="Title"/>
              <w:ind w:left="0"/>
              <w:contextualSpacing/>
              <w:jc w:val="right"/>
              <w:rPr>
                <w:b w:val="0"/>
                <w:bCs/>
                <w:i w:val="0"/>
                <w:szCs w:val="24"/>
              </w:rPr>
            </w:pPr>
            <w:r>
              <w:rPr>
                <w:b w:val="0"/>
                <w:bCs/>
                <w:i w:val="0"/>
                <w:szCs w:val="24"/>
              </w:rPr>
              <w:t>7,056</w:t>
            </w:r>
          </w:p>
        </w:tc>
        <w:tc>
          <w:tcPr>
            <w:tcW w:w="1638" w:type="dxa"/>
          </w:tcPr>
          <w:p w:rsidR="00630F6F" w:rsidRPr="00C942DE" w:rsidRDefault="00630F6F" w:rsidP="007471A8">
            <w:pPr>
              <w:pStyle w:val="Title"/>
              <w:ind w:left="0"/>
              <w:contextualSpacing/>
              <w:jc w:val="right"/>
              <w:rPr>
                <w:b w:val="0"/>
                <w:bCs/>
                <w:i w:val="0"/>
                <w:szCs w:val="24"/>
              </w:rPr>
            </w:pPr>
            <w:r>
              <w:rPr>
                <w:b w:val="0"/>
                <w:bCs/>
                <w:i w:val="0"/>
                <w:szCs w:val="24"/>
              </w:rPr>
              <w:t>1,683,606</w:t>
            </w:r>
          </w:p>
        </w:tc>
      </w:tr>
      <w:tr w:rsidR="00630F6F" w:rsidRPr="00C942DE" w:rsidTr="009552BF">
        <w:trPr>
          <w:jc w:val="center"/>
        </w:trPr>
        <w:tc>
          <w:tcPr>
            <w:tcW w:w="5328" w:type="dxa"/>
            <w:shd w:val="clear" w:color="auto" w:fill="C0C0C0"/>
          </w:tcPr>
          <w:p w:rsidR="00630F6F" w:rsidRPr="004F2B26" w:rsidRDefault="00630F6F" w:rsidP="007471A8">
            <w:pPr>
              <w:pStyle w:val="Title"/>
              <w:ind w:left="0"/>
              <w:contextualSpacing/>
              <w:jc w:val="left"/>
              <w:rPr>
                <w:i w:val="0"/>
                <w:szCs w:val="24"/>
              </w:rPr>
            </w:pPr>
            <w:r>
              <w:rPr>
                <w:i w:val="0"/>
                <w:szCs w:val="24"/>
              </w:rPr>
              <w:t>Total Change 2012-2013</w:t>
            </w:r>
          </w:p>
        </w:tc>
        <w:tc>
          <w:tcPr>
            <w:tcW w:w="1350" w:type="dxa"/>
            <w:shd w:val="clear" w:color="auto" w:fill="C0C0C0"/>
          </w:tcPr>
          <w:p w:rsidR="00630F6F" w:rsidRPr="004F2B26" w:rsidRDefault="00630F6F" w:rsidP="007471A8">
            <w:pPr>
              <w:pStyle w:val="Title"/>
              <w:ind w:left="0"/>
              <w:contextualSpacing/>
              <w:jc w:val="right"/>
              <w:rPr>
                <w:i w:val="0"/>
                <w:szCs w:val="24"/>
              </w:rPr>
            </w:pPr>
            <w:r>
              <w:rPr>
                <w:i w:val="0"/>
                <w:szCs w:val="24"/>
              </w:rPr>
              <w:t>(12)</w:t>
            </w:r>
          </w:p>
        </w:tc>
        <w:tc>
          <w:tcPr>
            <w:tcW w:w="1260" w:type="dxa"/>
            <w:shd w:val="clear" w:color="auto" w:fill="C0C0C0"/>
          </w:tcPr>
          <w:p w:rsidR="00630F6F" w:rsidRPr="004F2B26" w:rsidRDefault="00630F6F" w:rsidP="007471A8">
            <w:pPr>
              <w:pStyle w:val="Title"/>
              <w:ind w:left="0"/>
              <w:contextualSpacing/>
              <w:jc w:val="right"/>
              <w:rPr>
                <w:i w:val="0"/>
                <w:szCs w:val="24"/>
              </w:rPr>
            </w:pPr>
            <w:r>
              <w:rPr>
                <w:i w:val="0"/>
                <w:szCs w:val="24"/>
              </w:rPr>
              <w:t>1</w:t>
            </w:r>
          </w:p>
        </w:tc>
        <w:tc>
          <w:tcPr>
            <w:tcW w:w="1638" w:type="dxa"/>
            <w:shd w:val="clear" w:color="auto" w:fill="C0C0C0"/>
          </w:tcPr>
          <w:p w:rsidR="00630F6F" w:rsidRPr="004F2B26" w:rsidRDefault="00630F6F" w:rsidP="007471A8">
            <w:pPr>
              <w:pStyle w:val="Title"/>
              <w:ind w:left="0"/>
              <w:contextualSpacing/>
              <w:jc w:val="right"/>
              <w:rPr>
                <w:i w:val="0"/>
                <w:szCs w:val="24"/>
              </w:rPr>
            </w:pPr>
            <w:r>
              <w:rPr>
                <w:i w:val="0"/>
                <w:szCs w:val="24"/>
              </w:rPr>
              <w:t>$98</w:t>
            </w:r>
          </w:p>
        </w:tc>
      </w:tr>
    </w:tbl>
    <w:p w:rsidR="00630F6F" w:rsidRPr="005D36C7" w:rsidRDefault="00630F6F" w:rsidP="007471A8">
      <w:pPr>
        <w:pStyle w:val="BodyText"/>
        <w:contextualSpacing/>
      </w:pPr>
      <w:r w:rsidRPr="00C942DE">
        <w:tab/>
      </w:r>
    </w:p>
    <w:p w:rsidR="00630F6F" w:rsidRPr="00C942DE" w:rsidRDefault="00630F6F" w:rsidP="007471A8">
      <w:pPr>
        <w:pStyle w:val="xl27"/>
        <w:spacing w:before="0" w:after="0"/>
        <w:contextualSpacing/>
        <w:jc w:val="both"/>
        <w:rPr>
          <w:rFonts w:ascii="Times New Roman" w:hAnsi="Times New Roman"/>
          <w:szCs w:val="24"/>
        </w:rPr>
      </w:pPr>
      <w:r w:rsidRPr="00C942DE">
        <w:rPr>
          <w:rFonts w:ascii="Times New Roman" w:hAnsi="Times New Roman"/>
          <w:szCs w:val="24"/>
        </w:rPr>
        <w:t>1. Program Description</w:t>
      </w:r>
    </w:p>
    <w:p w:rsidR="00630F6F" w:rsidRPr="00C942DE" w:rsidRDefault="00630F6F" w:rsidP="007471A8">
      <w:pPr>
        <w:contextualSpacing/>
      </w:pPr>
      <w:r w:rsidRPr="00C942DE">
        <w:t xml:space="preserve">The FBI’s Intelligence Decision Unit (IDU) is comprised of the Directorate of Intelligence (DI), including embedded intelligence functions within </w:t>
      </w:r>
      <w:r>
        <w:t xml:space="preserve">the </w:t>
      </w:r>
      <w:r w:rsidRPr="00C942DE">
        <w:t>Counterterrorism, Counterintelligence, Cyber, Criminal</w:t>
      </w:r>
      <w:r>
        <w:t xml:space="preserve"> Investigative</w:t>
      </w:r>
      <w:r w:rsidRPr="00C942DE">
        <w:t xml:space="preserve">, and Weapons of Mass Destruction Divisions; Field Intelligence Groups (FIGs); Special Technologies and Applications </w:t>
      </w:r>
      <w:r>
        <w:t>Section</w:t>
      </w:r>
      <w:r w:rsidRPr="00C942DE">
        <w:t xml:space="preserve"> (STA</w:t>
      </w:r>
      <w:r>
        <w:t>S</w:t>
      </w:r>
      <w:r w:rsidRPr="00C942DE">
        <w:t>); Terrorist Screening Center (TSC);</w:t>
      </w:r>
      <w:r w:rsidRPr="00C942DE">
        <w:rPr>
          <w:b/>
          <w:bCs/>
        </w:rPr>
        <w:t xml:space="preserve"> </w:t>
      </w:r>
      <w:r w:rsidRPr="00C942DE">
        <w:t>Infrastructure and Technology; Intelligence Training</w:t>
      </w:r>
      <w:r>
        <w:t>; Critical Incident Response Group; Laboratory Division and International Operations Division</w:t>
      </w:r>
      <w:r w:rsidRPr="00C942DE">
        <w:t>.  Additionally, to capture all resources that support these programs, a prorated share of resources from the FBI's support divisions (including Training, Laboratory, Facilities and Logistics Services, Information Technology (IT), and Human Resources) are calculated and scored to the decision unit.</w:t>
      </w:r>
    </w:p>
    <w:p w:rsidR="00630F6F" w:rsidRPr="00C942DE" w:rsidRDefault="00630F6F" w:rsidP="007471A8">
      <w:pPr>
        <w:contextualSpacing/>
        <w:jc w:val="both"/>
      </w:pPr>
    </w:p>
    <w:p w:rsidR="00630F6F" w:rsidRPr="00C942DE" w:rsidRDefault="00630F6F" w:rsidP="007471A8">
      <w:pPr>
        <w:contextualSpacing/>
        <w:rPr>
          <w:b/>
          <w:bCs/>
          <w:i/>
          <w:iCs/>
        </w:rPr>
      </w:pPr>
      <w:r w:rsidRPr="00C942DE">
        <w:rPr>
          <w:b/>
          <w:bCs/>
          <w:i/>
          <w:iCs/>
        </w:rPr>
        <w:t>Directorate of Intelligence</w:t>
      </w:r>
    </w:p>
    <w:p w:rsidR="00630F6F" w:rsidRPr="00C942DE" w:rsidRDefault="00630F6F" w:rsidP="007471A8">
      <w:pPr>
        <w:pStyle w:val="Para"/>
        <w:tabs>
          <w:tab w:val="left" w:pos="240"/>
        </w:tabs>
        <w:spacing w:after="0"/>
        <w:ind w:firstLine="0"/>
        <w:contextualSpacing/>
        <w:jc w:val="left"/>
        <w:rPr>
          <w:rFonts w:ascii="Times New Roman" w:hAnsi="Times New Roman"/>
          <w:sz w:val="24"/>
        </w:rPr>
      </w:pPr>
      <w:r w:rsidRPr="00C942DE">
        <w:rPr>
          <w:rFonts w:ascii="Times New Roman" w:hAnsi="Times New Roman"/>
          <w:sz w:val="24"/>
        </w:rPr>
        <w:t xml:space="preserve">The FBI established the DI as a dedicated and integrated intelligence service.  This action responds to executive and legislative direction as the logical next step in the evolution of the FBI’s intelligence capability.  The DI is the FBI’s core intelligence element and one of the four major organizations that comprise the National Security Branch (NSB).  </w:t>
      </w:r>
    </w:p>
    <w:p w:rsidR="00630F6F" w:rsidRPr="00C942DE" w:rsidRDefault="00630F6F" w:rsidP="007471A8">
      <w:pPr>
        <w:pStyle w:val="Para"/>
        <w:tabs>
          <w:tab w:val="left" w:pos="240"/>
        </w:tabs>
        <w:spacing w:after="0"/>
        <w:ind w:firstLine="0"/>
        <w:contextualSpacing/>
        <w:jc w:val="left"/>
        <w:rPr>
          <w:rFonts w:ascii="Times New Roman" w:hAnsi="Times New Roman"/>
          <w:sz w:val="24"/>
        </w:rPr>
      </w:pPr>
    </w:p>
    <w:p w:rsidR="00630F6F" w:rsidRDefault="00630F6F" w:rsidP="007471A8">
      <w:pPr>
        <w:contextualSpacing/>
      </w:pPr>
      <w:r w:rsidRPr="00C942DE">
        <w:t xml:space="preserve">The DI is the FBI's dedicated national intelligence workforce with delegated authorities and responsibilities for all FBI intelligence functions, including information sharing policies, from three </w:t>
      </w:r>
      <w:r>
        <w:t>Executive and Legislative</w:t>
      </w:r>
      <w:r w:rsidRPr="00C942DE">
        <w:t xml:space="preserve"> documents: a Presidential Memorandum to the Attorney General dated November 16, 2004; the Intelligence Reform and Terrorism Prevention Act (IRTPA) of 2004; and the FY 2005 Omnibus Appropriation Bill.  The Directorate carries out its functions through embedded intelligence elements at FBI He</w:t>
      </w:r>
      <w:r>
        <w:t>adquarters (FBIHQ) and in each F</w:t>
      </w:r>
      <w:r w:rsidRPr="00C942DE">
        <w:t xml:space="preserve">ield </w:t>
      </w:r>
      <w:r>
        <w:t>O</w:t>
      </w:r>
      <w:r w:rsidRPr="00C942DE">
        <w:t xml:space="preserve">ffice. </w:t>
      </w:r>
    </w:p>
    <w:p w:rsidR="00630F6F" w:rsidRPr="00C942DE" w:rsidRDefault="00630F6F" w:rsidP="007471A8">
      <w:pPr>
        <w:contextualSpacing/>
      </w:pPr>
    </w:p>
    <w:p w:rsidR="00630F6F" w:rsidRPr="00C942DE" w:rsidRDefault="00630F6F" w:rsidP="007471A8">
      <w:pPr>
        <w:contextualSpacing/>
        <w:jc w:val="both"/>
        <w:rPr>
          <w:b/>
          <w:bCs/>
          <w:i/>
          <w:iCs/>
        </w:rPr>
      </w:pPr>
      <w:r w:rsidRPr="00C942DE">
        <w:rPr>
          <w:b/>
          <w:bCs/>
          <w:i/>
          <w:iCs/>
        </w:rPr>
        <w:t xml:space="preserve">Intelligence Analysts </w:t>
      </w:r>
    </w:p>
    <w:p w:rsidR="00630F6F" w:rsidRDefault="00630F6F" w:rsidP="007471A8">
      <w:pPr>
        <w:contextualSpacing/>
      </w:pPr>
      <w:r w:rsidRPr="00A03A84">
        <w:t xml:space="preserve">The work performed by Intelligence Analysts (IAs) is essential to the FBI's ability to understand today's threats to national security and to develop a deeper understanding of tomorrow’s potential threats.  To safeguard national security, the FBI must focus significant analytic </w:t>
      </w:r>
      <w:r>
        <w:t>resources to analyze the threat,</w:t>
      </w:r>
      <w:r w:rsidRPr="00A03A84">
        <w:t xml:space="preserve"> potential courses of action, and to then place analysis in the context of ongoing intelligence and investigative operations.  </w:t>
      </w:r>
    </w:p>
    <w:p w:rsidR="00630F6F" w:rsidRDefault="00630F6F" w:rsidP="007471A8">
      <w:pPr>
        <w:contextualSpacing/>
      </w:pPr>
    </w:p>
    <w:p w:rsidR="00630F6F" w:rsidRDefault="00630F6F" w:rsidP="007471A8">
      <w:pPr>
        <w:contextualSpacing/>
      </w:pPr>
      <w:r w:rsidRPr="00A03A84">
        <w:t>The FBI’s intelligence analytic cadre</w:t>
      </w:r>
      <w:r>
        <w:t xml:space="preserve"> covers three career paths (Tactical, Collection/Reporting and Strategic)</w:t>
      </w:r>
      <w:r w:rsidRPr="00A03A84">
        <w:t xml:space="preserve"> </w:t>
      </w:r>
      <w:r>
        <w:t xml:space="preserve">and </w:t>
      </w:r>
      <w:r w:rsidRPr="00A03A84">
        <w:t xml:space="preserve">performs functions </w:t>
      </w:r>
      <w:r>
        <w:t xml:space="preserve">which </w:t>
      </w:r>
      <w:r w:rsidRPr="00A03A84">
        <w:t>includ</w:t>
      </w:r>
      <w:r>
        <w:t>e:</w:t>
      </w:r>
      <w:r w:rsidRPr="00A03A84">
        <w:t xml:space="preserve"> understanding emerging threat streams to enhance domain knowledge and exploit collection opportunities</w:t>
      </w:r>
      <w:r>
        <w:t>;</w:t>
      </w:r>
      <w:r w:rsidRPr="00A03A84">
        <w:t xml:space="preserve"> enhancing collection capabilities through the </w:t>
      </w:r>
      <w:r w:rsidRPr="00A03A84">
        <w:lastRenderedPageBreak/>
        <w:t xml:space="preserve">deployment </w:t>
      </w:r>
      <w:r>
        <w:t>of</w:t>
      </w:r>
      <w:r w:rsidRPr="00A03A84">
        <w:t xml:space="preserve"> collection strategies</w:t>
      </w:r>
      <w:r>
        <w:t>;</w:t>
      </w:r>
      <w:r w:rsidRPr="00A03A84">
        <w:t xml:space="preserve"> reporting raw intelligence in a timely manner</w:t>
      </w:r>
      <w:r>
        <w:t>;</w:t>
      </w:r>
      <w:r w:rsidRPr="00A03A84">
        <w:t xml:space="preserve"> identifying human and technical source collection opportunities</w:t>
      </w:r>
      <w:r>
        <w:t>;</w:t>
      </w:r>
      <w:r w:rsidRPr="00A03A84">
        <w:t xml:space="preserve"> performing domain analysis in the field to articulate the existence of a threat in the </w:t>
      </w:r>
      <w:r>
        <w:t xml:space="preserve">Field Offices’ </w:t>
      </w:r>
      <w:r w:rsidRPr="00A03A84">
        <w:t>area of responsibility</w:t>
      </w:r>
      <w:r>
        <w:t>;</w:t>
      </w:r>
      <w:r w:rsidRPr="00A03A84">
        <w:t xml:space="preserve"> performing strategic analysis at FBIHQ to ascertain the ability to collect against a national threat</w:t>
      </w:r>
      <w:r>
        <w:t>;</w:t>
      </w:r>
      <w:r w:rsidRPr="00A03A84">
        <w:t xml:space="preserve"> serving as a bridge between intelligence and operations</w:t>
      </w:r>
      <w:r>
        <w:t>;</w:t>
      </w:r>
      <w:r w:rsidRPr="00A03A84">
        <w:t xml:space="preserve"> performing confidential human source validation</w:t>
      </w:r>
      <w:r>
        <w:t>;</w:t>
      </w:r>
      <w:r w:rsidRPr="00A03A84">
        <w:t xml:space="preserve"> and recommending collection exploitation opportunities at all levels.  The products generated by intelligence analysis</w:t>
      </w:r>
      <w:r w:rsidRPr="003D3C39">
        <w:t xml:space="preserve"> drive FBI investigative and operational strategies by ensuring they are based on an enterprise-wide understanding of the current and future threat environments.  </w:t>
      </w:r>
    </w:p>
    <w:p w:rsidR="00630F6F" w:rsidRPr="003D3C39" w:rsidRDefault="00630F6F" w:rsidP="007471A8">
      <w:pPr>
        <w:contextualSpacing/>
        <w:jc w:val="both"/>
      </w:pPr>
    </w:p>
    <w:p w:rsidR="00630F6F" w:rsidRPr="00C942DE" w:rsidRDefault="00630F6F" w:rsidP="007471A8">
      <w:pPr>
        <w:contextualSpacing/>
        <w:jc w:val="both"/>
        <w:rPr>
          <w:b/>
          <w:bCs/>
          <w:i/>
          <w:iCs/>
        </w:rPr>
      </w:pPr>
      <w:r w:rsidRPr="00C942DE">
        <w:rPr>
          <w:b/>
          <w:bCs/>
          <w:i/>
          <w:iCs/>
        </w:rPr>
        <w:t>Field Intelligence Groups</w:t>
      </w:r>
      <w:r>
        <w:rPr>
          <w:b/>
          <w:bCs/>
          <w:i/>
          <w:iCs/>
        </w:rPr>
        <w:t xml:space="preserve"> (FIGs)</w:t>
      </w:r>
      <w:r w:rsidRPr="00C942DE">
        <w:rPr>
          <w:b/>
          <w:bCs/>
          <w:i/>
          <w:iCs/>
        </w:rPr>
        <w:t xml:space="preserve"> </w:t>
      </w:r>
    </w:p>
    <w:p w:rsidR="00630F6F" w:rsidRPr="00C942DE" w:rsidRDefault="00630F6F" w:rsidP="007471A8">
      <w:pPr>
        <w:pStyle w:val="Para"/>
        <w:tabs>
          <w:tab w:val="left" w:pos="240"/>
        </w:tabs>
        <w:spacing w:after="0"/>
        <w:ind w:firstLine="0"/>
        <w:contextualSpacing/>
        <w:jc w:val="left"/>
        <w:rPr>
          <w:rFonts w:ascii="Times New Roman" w:hAnsi="Times New Roman"/>
          <w:sz w:val="24"/>
        </w:rPr>
      </w:pPr>
      <w:r w:rsidRPr="00C942DE">
        <w:rPr>
          <w:rFonts w:ascii="Times New Roman" w:hAnsi="Times New Roman"/>
          <w:sz w:val="24"/>
        </w:rPr>
        <w:t xml:space="preserve">FIGs are the centralized intelligence components in the field that are crucial to the integration of the intelligence cycle (requirements, collection, analysis and dissemination) into field operations.  In accordance with FBI policy </w:t>
      </w:r>
      <w:r w:rsidR="00A93E1F">
        <w:rPr>
          <w:rFonts w:ascii="Times New Roman" w:hAnsi="Times New Roman"/>
          <w:sz w:val="24"/>
        </w:rPr>
        <w:t>and</w:t>
      </w:r>
      <w:r w:rsidRPr="00C942DE">
        <w:rPr>
          <w:rFonts w:ascii="Times New Roman" w:hAnsi="Times New Roman"/>
          <w:sz w:val="24"/>
        </w:rPr>
        <w:t xml:space="preserve"> guidance to the field, </w:t>
      </w:r>
      <w:r>
        <w:rPr>
          <w:rFonts w:ascii="Times New Roman" w:hAnsi="Times New Roman"/>
          <w:sz w:val="24"/>
        </w:rPr>
        <w:t xml:space="preserve">it is the responsibility of the </w:t>
      </w:r>
      <w:r w:rsidRPr="00C942DE">
        <w:rPr>
          <w:rFonts w:ascii="Times New Roman" w:hAnsi="Times New Roman"/>
          <w:sz w:val="24"/>
        </w:rPr>
        <w:t xml:space="preserve">FIG </w:t>
      </w:r>
      <w:r>
        <w:rPr>
          <w:rFonts w:ascii="Times New Roman" w:hAnsi="Times New Roman"/>
          <w:sz w:val="24"/>
        </w:rPr>
        <w:t>to</w:t>
      </w:r>
      <w:r w:rsidRPr="00C942DE">
        <w:rPr>
          <w:rFonts w:ascii="Times New Roman" w:hAnsi="Times New Roman"/>
          <w:sz w:val="24"/>
        </w:rPr>
        <w:t xml:space="preserve"> coordinat</w:t>
      </w:r>
      <w:r>
        <w:rPr>
          <w:rFonts w:ascii="Times New Roman" w:hAnsi="Times New Roman"/>
          <w:sz w:val="24"/>
        </w:rPr>
        <w:t>e</w:t>
      </w:r>
      <w:r w:rsidRPr="00C942DE">
        <w:rPr>
          <w:rFonts w:ascii="Times New Roman" w:hAnsi="Times New Roman"/>
          <w:sz w:val="24"/>
        </w:rPr>
        <w:t>, guid</w:t>
      </w:r>
      <w:r>
        <w:rPr>
          <w:rFonts w:ascii="Times New Roman" w:hAnsi="Times New Roman"/>
          <w:sz w:val="24"/>
        </w:rPr>
        <w:t>e</w:t>
      </w:r>
      <w:r w:rsidRPr="00C942DE">
        <w:rPr>
          <w:rFonts w:ascii="Times New Roman" w:hAnsi="Times New Roman"/>
          <w:sz w:val="24"/>
        </w:rPr>
        <w:t xml:space="preserve">, and support the </w:t>
      </w:r>
      <w:r>
        <w:rPr>
          <w:rFonts w:ascii="Times New Roman" w:hAnsi="Times New Roman"/>
          <w:sz w:val="24"/>
        </w:rPr>
        <w:t>Field O</w:t>
      </w:r>
      <w:r w:rsidRPr="00C942DE">
        <w:rPr>
          <w:rFonts w:ascii="Times New Roman" w:hAnsi="Times New Roman"/>
          <w:sz w:val="24"/>
        </w:rPr>
        <w:t xml:space="preserve">ffice’s </w:t>
      </w:r>
      <w:r>
        <w:rPr>
          <w:rFonts w:ascii="Times New Roman" w:hAnsi="Times New Roman"/>
          <w:sz w:val="24"/>
        </w:rPr>
        <w:t xml:space="preserve">operational </w:t>
      </w:r>
      <w:r w:rsidRPr="00C942DE">
        <w:rPr>
          <w:rFonts w:ascii="Times New Roman" w:hAnsi="Times New Roman"/>
          <w:sz w:val="24"/>
        </w:rPr>
        <w:t>activities through the five core intelligence functions</w:t>
      </w:r>
      <w:r>
        <w:rPr>
          <w:rFonts w:ascii="Times New Roman" w:hAnsi="Times New Roman"/>
          <w:sz w:val="24"/>
        </w:rPr>
        <w:t>.  These functions are: domain m</w:t>
      </w:r>
      <w:r w:rsidRPr="00C942DE">
        <w:rPr>
          <w:rFonts w:ascii="Times New Roman" w:hAnsi="Times New Roman"/>
          <w:sz w:val="24"/>
        </w:rPr>
        <w:t>anagement</w:t>
      </w:r>
      <w:r>
        <w:rPr>
          <w:rFonts w:ascii="Times New Roman" w:hAnsi="Times New Roman"/>
          <w:sz w:val="24"/>
        </w:rPr>
        <w:t>;</w:t>
      </w:r>
      <w:r w:rsidRPr="00C942DE">
        <w:rPr>
          <w:rFonts w:ascii="Times New Roman" w:hAnsi="Times New Roman"/>
          <w:sz w:val="24"/>
        </w:rPr>
        <w:t xml:space="preserve"> </w:t>
      </w:r>
      <w:r>
        <w:rPr>
          <w:rFonts w:ascii="Times New Roman" w:hAnsi="Times New Roman"/>
          <w:sz w:val="24"/>
        </w:rPr>
        <w:t>c</w:t>
      </w:r>
      <w:r w:rsidRPr="00C942DE">
        <w:rPr>
          <w:rFonts w:ascii="Times New Roman" w:hAnsi="Times New Roman"/>
          <w:sz w:val="24"/>
        </w:rPr>
        <w:t xml:space="preserve">ollection </w:t>
      </w:r>
      <w:r>
        <w:rPr>
          <w:rFonts w:ascii="Times New Roman" w:hAnsi="Times New Roman"/>
          <w:sz w:val="24"/>
        </w:rPr>
        <w:t>m</w:t>
      </w:r>
      <w:r w:rsidRPr="00C942DE">
        <w:rPr>
          <w:rFonts w:ascii="Times New Roman" w:hAnsi="Times New Roman"/>
          <w:sz w:val="24"/>
        </w:rPr>
        <w:t>anagement</w:t>
      </w:r>
      <w:r>
        <w:rPr>
          <w:rFonts w:ascii="Times New Roman" w:hAnsi="Times New Roman"/>
          <w:sz w:val="24"/>
        </w:rPr>
        <w:t>; r</w:t>
      </w:r>
      <w:r w:rsidRPr="00C942DE">
        <w:rPr>
          <w:rFonts w:ascii="Times New Roman" w:hAnsi="Times New Roman"/>
          <w:sz w:val="24"/>
        </w:rPr>
        <w:t>equirements-based (sometimes non-case) collection – including human intelligence (HUMINT)</w:t>
      </w:r>
      <w:r>
        <w:rPr>
          <w:rFonts w:ascii="Times New Roman" w:hAnsi="Times New Roman"/>
          <w:sz w:val="24"/>
        </w:rPr>
        <w:t>;</w:t>
      </w:r>
      <w:r w:rsidRPr="00C942DE">
        <w:rPr>
          <w:rFonts w:ascii="Times New Roman" w:hAnsi="Times New Roman"/>
          <w:sz w:val="24"/>
        </w:rPr>
        <w:t xml:space="preserve"> </w:t>
      </w:r>
      <w:r>
        <w:rPr>
          <w:rFonts w:ascii="Times New Roman" w:hAnsi="Times New Roman"/>
          <w:sz w:val="24"/>
        </w:rPr>
        <w:t>t</w:t>
      </w:r>
      <w:r w:rsidRPr="00C942DE">
        <w:rPr>
          <w:rFonts w:ascii="Times New Roman" w:hAnsi="Times New Roman"/>
          <w:sz w:val="24"/>
        </w:rPr>
        <w:t>actical intelligence</w:t>
      </w:r>
      <w:r>
        <w:rPr>
          <w:rFonts w:ascii="Times New Roman" w:hAnsi="Times New Roman"/>
          <w:sz w:val="24"/>
        </w:rPr>
        <w:t>;</w:t>
      </w:r>
      <w:r w:rsidRPr="00C942DE">
        <w:rPr>
          <w:rFonts w:ascii="Times New Roman" w:hAnsi="Times New Roman"/>
          <w:sz w:val="24"/>
        </w:rPr>
        <w:t xml:space="preserve"> and </w:t>
      </w:r>
      <w:r>
        <w:rPr>
          <w:rFonts w:ascii="Times New Roman" w:hAnsi="Times New Roman"/>
          <w:sz w:val="24"/>
        </w:rPr>
        <w:t>i</w:t>
      </w:r>
      <w:r w:rsidRPr="00C942DE">
        <w:rPr>
          <w:rFonts w:ascii="Times New Roman" w:hAnsi="Times New Roman"/>
          <w:sz w:val="24"/>
        </w:rPr>
        <w:t xml:space="preserve">ntelligence </w:t>
      </w:r>
      <w:r>
        <w:rPr>
          <w:rFonts w:ascii="Times New Roman" w:hAnsi="Times New Roman"/>
          <w:sz w:val="24"/>
        </w:rPr>
        <w:t>p</w:t>
      </w:r>
      <w:r w:rsidRPr="00C942DE">
        <w:rPr>
          <w:rFonts w:ascii="Times New Roman" w:hAnsi="Times New Roman"/>
          <w:sz w:val="24"/>
        </w:rPr>
        <w:t xml:space="preserve">roduction and dissemination.  All five of the core intelligence functions require the FIG to work seamlessly with the operational squads in order to be successful. </w:t>
      </w:r>
    </w:p>
    <w:p w:rsidR="00630F6F" w:rsidRPr="00C942DE" w:rsidRDefault="00630F6F" w:rsidP="007471A8">
      <w:pPr>
        <w:pStyle w:val="Para"/>
        <w:tabs>
          <w:tab w:val="left" w:pos="240"/>
        </w:tabs>
        <w:spacing w:after="0"/>
        <w:ind w:firstLine="0"/>
        <w:contextualSpacing/>
        <w:jc w:val="left"/>
        <w:rPr>
          <w:rFonts w:ascii="Times New Roman" w:hAnsi="Times New Roman"/>
          <w:sz w:val="24"/>
        </w:rPr>
      </w:pPr>
    </w:p>
    <w:p w:rsidR="00630F6F" w:rsidRPr="00C942DE" w:rsidRDefault="00630F6F" w:rsidP="007471A8">
      <w:pPr>
        <w:pStyle w:val="Para"/>
        <w:tabs>
          <w:tab w:val="left" w:pos="240"/>
        </w:tabs>
        <w:spacing w:after="0"/>
        <w:ind w:firstLine="0"/>
        <w:contextualSpacing/>
        <w:jc w:val="left"/>
        <w:rPr>
          <w:rFonts w:ascii="Times New Roman" w:hAnsi="Times New Roman"/>
          <w:b/>
          <w:bCs/>
          <w:i/>
          <w:iCs/>
          <w:sz w:val="24"/>
        </w:rPr>
      </w:pPr>
      <w:r w:rsidRPr="00C942DE">
        <w:rPr>
          <w:rFonts w:ascii="Times New Roman" w:hAnsi="Times New Roman"/>
          <w:b/>
          <w:bCs/>
          <w:i/>
          <w:iCs/>
          <w:sz w:val="24"/>
        </w:rPr>
        <w:t xml:space="preserve">FIG </w:t>
      </w:r>
      <w:r>
        <w:rPr>
          <w:rFonts w:ascii="Times New Roman" w:hAnsi="Times New Roman"/>
          <w:b/>
          <w:bCs/>
          <w:i/>
          <w:iCs/>
          <w:sz w:val="24"/>
        </w:rPr>
        <w:t xml:space="preserve">Special </w:t>
      </w:r>
      <w:r w:rsidRPr="00C942DE">
        <w:rPr>
          <w:rFonts w:ascii="Times New Roman" w:hAnsi="Times New Roman"/>
          <w:b/>
          <w:bCs/>
          <w:i/>
          <w:iCs/>
          <w:sz w:val="24"/>
        </w:rPr>
        <w:t>Agents</w:t>
      </w:r>
    </w:p>
    <w:p w:rsidR="00630F6F" w:rsidRDefault="00630F6F" w:rsidP="007471A8">
      <w:pPr>
        <w:pStyle w:val="Para"/>
        <w:tabs>
          <w:tab w:val="left" w:pos="240"/>
        </w:tabs>
        <w:spacing w:after="0"/>
        <w:ind w:firstLine="0"/>
        <w:contextualSpacing/>
        <w:jc w:val="left"/>
        <w:rPr>
          <w:rFonts w:ascii="Times New Roman" w:hAnsi="Times New Roman"/>
          <w:sz w:val="24"/>
        </w:rPr>
      </w:pPr>
      <w:r w:rsidRPr="00C942DE">
        <w:rPr>
          <w:rFonts w:ascii="Times New Roman" w:hAnsi="Times New Roman"/>
          <w:sz w:val="24"/>
        </w:rPr>
        <w:t xml:space="preserve">FIG </w:t>
      </w:r>
      <w:r>
        <w:rPr>
          <w:rFonts w:ascii="Times New Roman" w:hAnsi="Times New Roman"/>
          <w:sz w:val="24"/>
        </w:rPr>
        <w:t xml:space="preserve">Special </w:t>
      </w:r>
      <w:r w:rsidRPr="00C942DE">
        <w:rPr>
          <w:rFonts w:ascii="Times New Roman" w:hAnsi="Times New Roman"/>
          <w:sz w:val="24"/>
        </w:rPr>
        <w:t>Agents</w:t>
      </w:r>
      <w:r>
        <w:rPr>
          <w:rFonts w:ascii="Times New Roman" w:hAnsi="Times New Roman"/>
          <w:sz w:val="24"/>
        </w:rPr>
        <w:t xml:space="preserve"> (SAs)</w:t>
      </w:r>
      <w:r w:rsidRPr="00C942DE">
        <w:rPr>
          <w:rFonts w:ascii="Times New Roman" w:hAnsi="Times New Roman"/>
          <w:sz w:val="24"/>
        </w:rPr>
        <w:t xml:space="preserve"> are required to perform one or more of the following primary functions: intelligence collection, collection management</w:t>
      </w:r>
      <w:r>
        <w:rPr>
          <w:rFonts w:ascii="Times New Roman" w:hAnsi="Times New Roman"/>
          <w:sz w:val="24"/>
        </w:rPr>
        <w:t>, C</w:t>
      </w:r>
      <w:r w:rsidRPr="00C942DE">
        <w:rPr>
          <w:rFonts w:ascii="Times New Roman" w:hAnsi="Times New Roman"/>
          <w:sz w:val="24"/>
        </w:rPr>
        <w:t xml:space="preserve">onfidential </w:t>
      </w:r>
      <w:r>
        <w:rPr>
          <w:rFonts w:ascii="Times New Roman" w:hAnsi="Times New Roman"/>
          <w:sz w:val="24"/>
        </w:rPr>
        <w:t>H</w:t>
      </w:r>
      <w:r w:rsidRPr="00C942DE">
        <w:rPr>
          <w:rFonts w:ascii="Times New Roman" w:hAnsi="Times New Roman"/>
          <w:sz w:val="24"/>
        </w:rPr>
        <w:t xml:space="preserve">uman </w:t>
      </w:r>
      <w:r>
        <w:rPr>
          <w:rFonts w:ascii="Times New Roman" w:hAnsi="Times New Roman"/>
          <w:sz w:val="24"/>
        </w:rPr>
        <w:t>S</w:t>
      </w:r>
      <w:r w:rsidRPr="00C942DE">
        <w:rPr>
          <w:rFonts w:ascii="Times New Roman" w:hAnsi="Times New Roman"/>
          <w:sz w:val="24"/>
        </w:rPr>
        <w:t>ource</w:t>
      </w:r>
      <w:r>
        <w:rPr>
          <w:rFonts w:ascii="Times New Roman" w:hAnsi="Times New Roman"/>
          <w:sz w:val="24"/>
        </w:rPr>
        <w:t xml:space="preserve"> (CHS)</w:t>
      </w:r>
      <w:r w:rsidRPr="00C942DE">
        <w:rPr>
          <w:rFonts w:ascii="Times New Roman" w:hAnsi="Times New Roman"/>
          <w:sz w:val="24"/>
        </w:rPr>
        <w:t xml:space="preserve"> coordination,</w:t>
      </w:r>
      <w:r>
        <w:rPr>
          <w:rFonts w:ascii="Times New Roman" w:hAnsi="Times New Roman"/>
          <w:sz w:val="24"/>
        </w:rPr>
        <w:t xml:space="preserve"> </w:t>
      </w:r>
      <w:r w:rsidRPr="00A03A84">
        <w:rPr>
          <w:rFonts w:ascii="Times New Roman" w:hAnsi="Times New Roman"/>
          <w:sz w:val="24"/>
        </w:rPr>
        <w:t xml:space="preserve">focused source recruitment, source development and validation, and intelligence and partner relations.  FIG </w:t>
      </w:r>
      <w:r>
        <w:rPr>
          <w:rFonts w:ascii="Times New Roman" w:hAnsi="Times New Roman"/>
          <w:sz w:val="24"/>
        </w:rPr>
        <w:t>SAs’</w:t>
      </w:r>
      <w:r w:rsidRPr="00A03A84">
        <w:rPr>
          <w:rFonts w:ascii="Times New Roman" w:hAnsi="Times New Roman"/>
          <w:sz w:val="24"/>
        </w:rPr>
        <w:t xml:space="preserve"> intelligence collection activities include maintaining a CHS base and conducting threat assessments.  </w:t>
      </w:r>
    </w:p>
    <w:p w:rsidR="00630F6F" w:rsidRDefault="00630F6F" w:rsidP="007471A8">
      <w:pPr>
        <w:pStyle w:val="Para"/>
        <w:tabs>
          <w:tab w:val="left" w:pos="240"/>
        </w:tabs>
        <w:spacing w:after="0"/>
        <w:ind w:firstLine="0"/>
        <w:contextualSpacing/>
        <w:jc w:val="left"/>
        <w:rPr>
          <w:rFonts w:ascii="Times New Roman" w:hAnsi="Times New Roman"/>
          <w:sz w:val="24"/>
        </w:rPr>
      </w:pPr>
    </w:p>
    <w:p w:rsidR="00630F6F" w:rsidRPr="00C942DE" w:rsidRDefault="00630F6F" w:rsidP="007471A8">
      <w:pPr>
        <w:pStyle w:val="Para"/>
        <w:tabs>
          <w:tab w:val="left" w:pos="240"/>
        </w:tabs>
        <w:spacing w:after="0"/>
        <w:ind w:firstLine="0"/>
        <w:contextualSpacing/>
        <w:jc w:val="left"/>
        <w:rPr>
          <w:rFonts w:ascii="Times New Roman" w:hAnsi="Times New Roman"/>
          <w:sz w:val="24"/>
        </w:rPr>
      </w:pPr>
      <w:r w:rsidRPr="00A03A84">
        <w:rPr>
          <w:rFonts w:ascii="Times New Roman" w:hAnsi="Times New Roman"/>
          <w:sz w:val="24"/>
        </w:rPr>
        <w:t xml:space="preserve">All </w:t>
      </w:r>
      <w:r>
        <w:rPr>
          <w:rFonts w:ascii="Times New Roman" w:hAnsi="Times New Roman"/>
          <w:sz w:val="24"/>
        </w:rPr>
        <w:t>SAs</w:t>
      </w:r>
      <w:r w:rsidRPr="00A03A84">
        <w:rPr>
          <w:rFonts w:ascii="Times New Roman" w:hAnsi="Times New Roman"/>
          <w:sz w:val="24"/>
        </w:rPr>
        <w:t xml:space="preserve"> assigned to the FIG work closely with </w:t>
      </w:r>
      <w:r>
        <w:rPr>
          <w:rFonts w:ascii="Times New Roman" w:hAnsi="Times New Roman"/>
          <w:sz w:val="24"/>
        </w:rPr>
        <w:t>IAs</w:t>
      </w:r>
      <w:r w:rsidRPr="00A03A84">
        <w:rPr>
          <w:rFonts w:ascii="Times New Roman" w:hAnsi="Times New Roman"/>
          <w:sz w:val="24"/>
        </w:rPr>
        <w:t xml:space="preserve"> to report observations indicating new trends in the local environment, collect key intelligence based upon the </w:t>
      </w:r>
      <w:r>
        <w:rPr>
          <w:rFonts w:ascii="Times New Roman" w:hAnsi="Times New Roman"/>
          <w:sz w:val="24"/>
        </w:rPr>
        <w:t>FBI</w:t>
      </w:r>
      <w:r w:rsidRPr="00A03A84">
        <w:rPr>
          <w:rFonts w:ascii="Times New Roman" w:hAnsi="Times New Roman"/>
          <w:sz w:val="24"/>
        </w:rPr>
        <w:t xml:space="preserve">’s priority threat or vulnerabilities, and to spot areas and targets for source recruitment.  FIG </w:t>
      </w:r>
      <w:r>
        <w:rPr>
          <w:rFonts w:ascii="Times New Roman" w:hAnsi="Times New Roman"/>
          <w:sz w:val="24"/>
        </w:rPr>
        <w:t>SA</w:t>
      </w:r>
      <w:r w:rsidRPr="00A03A84">
        <w:rPr>
          <w:rFonts w:ascii="Times New Roman" w:hAnsi="Times New Roman"/>
          <w:sz w:val="24"/>
        </w:rPr>
        <w:t>s serve to facilitate the handling of cross-programmatic intelligence information obtained from CHS debriefings.</w:t>
      </w:r>
      <w:r>
        <w:rPr>
          <w:rFonts w:ascii="Times New Roman" w:hAnsi="Times New Roman"/>
          <w:sz w:val="24"/>
        </w:rPr>
        <w:t xml:space="preserve">  </w:t>
      </w:r>
      <w:r w:rsidRPr="00C942DE">
        <w:rPr>
          <w:rFonts w:ascii="Times New Roman" w:hAnsi="Times New Roman"/>
          <w:sz w:val="24"/>
        </w:rPr>
        <w:t xml:space="preserve">To do this effectively, HUMINT collectors </w:t>
      </w:r>
      <w:r>
        <w:rPr>
          <w:rFonts w:ascii="Times New Roman" w:hAnsi="Times New Roman"/>
          <w:sz w:val="24"/>
        </w:rPr>
        <w:t xml:space="preserve">(or Special Agents) </w:t>
      </w:r>
      <w:r w:rsidRPr="00C942DE">
        <w:rPr>
          <w:rFonts w:ascii="Times New Roman" w:hAnsi="Times New Roman"/>
          <w:sz w:val="24"/>
        </w:rPr>
        <w:t xml:space="preserve">on the FIG must </w:t>
      </w:r>
      <w:r>
        <w:rPr>
          <w:rFonts w:ascii="Times New Roman" w:hAnsi="Times New Roman"/>
          <w:sz w:val="24"/>
        </w:rPr>
        <w:t xml:space="preserve">maintain close and constant communication </w:t>
      </w:r>
      <w:r w:rsidRPr="00C942DE">
        <w:rPr>
          <w:rFonts w:ascii="Times New Roman" w:hAnsi="Times New Roman"/>
          <w:sz w:val="24"/>
        </w:rPr>
        <w:t xml:space="preserve">with other collectors </w:t>
      </w:r>
      <w:r>
        <w:rPr>
          <w:rFonts w:ascii="Times New Roman" w:hAnsi="Times New Roman"/>
          <w:sz w:val="24"/>
        </w:rPr>
        <w:t xml:space="preserve">(Special Agents) </w:t>
      </w:r>
      <w:r w:rsidRPr="00C942DE">
        <w:rPr>
          <w:rFonts w:ascii="Times New Roman" w:hAnsi="Times New Roman"/>
          <w:sz w:val="24"/>
        </w:rPr>
        <w:t xml:space="preserve">and embedded IAs on investigative squads in order to augment their collection abilities beyond reporting on the squad’s investigations. </w:t>
      </w:r>
    </w:p>
    <w:p w:rsidR="00630F6F" w:rsidRDefault="00630F6F" w:rsidP="007471A8">
      <w:pPr>
        <w:contextualSpacing/>
        <w:jc w:val="both"/>
        <w:rPr>
          <w:b/>
          <w:bCs/>
          <w:i/>
          <w:iCs/>
        </w:rPr>
      </w:pPr>
    </w:p>
    <w:p w:rsidR="00630F6F" w:rsidRPr="00C942DE" w:rsidRDefault="00630F6F" w:rsidP="007471A8">
      <w:pPr>
        <w:contextualSpacing/>
        <w:jc w:val="both"/>
        <w:rPr>
          <w:b/>
          <w:bCs/>
          <w:i/>
          <w:iCs/>
        </w:rPr>
      </w:pPr>
      <w:r w:rsidRPr="00C942DE">
        <w:rPr>
          <w:b/>
          <w:bCs/>
          <w:i/>
          <w:iCs/>
        </w:rPr>
        <w:t>Foreign Language Program</w:t>
      </w:r>
      <w:r>
        <w:rPr>
          <w:b/>
          <w:bCs/>
          <w:i/>
          <w:iCs/>
        </w:rPr>
        <w:t xml:space="preserve"> (FLP)</w:t>
      </w:r>
    </w:p>
    <w:p w:rsidR="00630F6F" w:rsidRDefault="00630F6F" w:rsidP="007471A8">
      <w:pPr>
        <w:contextualSpacing/>
      </w:pPr>
      <w:r>
        <w:t xml:space="preserve">The mission of the FLP is to provide quality language solutions, analysis, and cultural expertise to the FBI and its partners.  </w:t>
      </w:r>
      <w:r w:rsidRPr="00C942DE">
        <w:t>The FBI’s success at protecting the U.S. from future terrorist attacks, countering foreign intelligence operations and espionage, and dismantling transnational organized criminal enterprises is increasingly depend</w:t>
      </w:r>
      <w:r>
        <w:t>e</w:t>
      </w:r>
      <w:r w:rsidRPr="00C942DE">
        <w:t xml:space="preserve">nt upon </w:t>
      </w:r>
      <w:r>
        <w:t xml:space="preserve">maximizing the usage and deployment of its linguist workforce, language tools, and technology in line with critical intelligence, investigative, and management priorities.  As of December 2011, the FBI workforce has certified capabilities in 114 languages and dialects in a distributed environment spanning 107 FBI domestic and overseas locations.  </w:t>
      </w:r>
      <w:r w:rsidRPr="00C942DE">
        <w:t>The FLP promulgates policies and compliance requirements</w:t>
      </w:r>
      <w:r>
        <w:t xml:space="preserve"> to ensure true fidelity of the finished English-language intelligence product.</w:t>
      </w:r>
      <w:r w:rsidRPr="00C942DE">
        <w:t xml:space="preserve"> </w:t>
      </w:r>
      <w:r>
        <w:t xml:space="preserve"> Further, the FLP develops the foreign language skills of the FBI employees through on-going language testing, assessments and multi-tiered training strategies designed to build and sustain a high performance intelligence workforce.   </w:t>
      </w:r>
      <w:r w:rsidRPr="00C942DE">
        <w:t xml:space="preserve"> </w:t>
      </w:r>
    </w:p>
    <w:p w:rsidR="00630F6F" w:rsidRDefault="00630F6F" w:rsidP="007471A8">
      <w:pPr>
        <w:contextualSpacing/>
      </w:pPr>
    </w:p>
    <w:p w:rsidR="00F0004F" w:rsidRDefault="00F0004F">
      <w:pPr>
        <w:rPr>
          <w:b/>
          <w:bCs/>
          <w:i/>
          <w:iCs/>
        </w:rPr>
      </w:pPr>
      <w:r>
        <w:rPr>
          <w:b/>
          <w:bCs/>
          <w:i/>
          <w:iCs/>
        </w:rPr>
        <w:br w:type="page"/>
      </w:r>
    </w:p>
    <w:p w:rsidR="00630F6F" w:rsidRPr="00C942DE" w:rsidRDefault="00630F6F" w:rsidP="007471A8">
      <w:pPr>
        <w:contextualSpacing/>
        <w:jc w:val="both"/>
        <w:rPr>
          <w:b/>
          <w:bCs/>
          <w:i/>
          <w:iCs/>
        </w:rPr>
      </w:pPr>
      <w:r w:rsidRPr="00C942DE">
        <w:rPr>
          <w:b/>
          <w:bCs/>
          <w:i/>
          <w:iCs/>
        </w:rPr>
        <w:lastRenderedPageBreak/>
        <w:t xml:space="preserve">Language Analysis </w:t>
      </w:r>
    </w:p>
    <w:p w:rsidR="00630F6F" w:rsidRPr="00C942DE" w:rsidRDefault="00630F6F" w:rsidP="007471A8">
      <w:pPr>
        <w:contextualSpacing/>
      </w:pPr>
      <w:r w:rsidRPr="00C942DE">
        <w:t xml:space="preserve">Nearly every major FBI investigation now has a foreign language component and the demand for highly qualified linguists and foreign language and culture training continues to increase.  Language </w:t>
      </w:r>
      <w:r>
        <w:t>a</w:t>
      </w:r>
      <w:r w:rsidRPr="00C942DE">
        <w:t xml:space="preserve">nalysis is a critical process in the FBI’s effort to acquire </w:t>
      </w:r>
      <w:r>
        <w:t xml:space="preserve">and accurately process </w:t>
      </w:r>
      <w:r w:rsidRPr="00C942DE">
        <w:t>real-time, actionable intelligence to detect and prevent foreign-originated terrorist attacks against the U.S.  The FBI’s language analysis capabilities promptly address all of its highest priority</w:t>
      </w:r>
      <w:r>
        <w:t xml:space="preserve"> counterterrorism</w:t>
      </w:r>
      <w:r w:rsidRPr="00C942DE">
        <w:t xml:space="preserve"> intelligence translation requirements, often within 24</w:t>
      </w:r>
      <w:r>
        <w:t xml:space="preserve"> hours.  Language Analysts</w:t>
      </w:r>
      <w:r w:rsidRPr="00C942DE">
        <w:t xml:space="preserve"> also play a significant role in the FBI’s </w:t>
      </w:r>
      <w:r>
        <w:t>counterintelligence</w:t>
      </w:r>
      <w:r w:rsidRPr="00C942DE">
        <w:t xml:space="preserve"> and criminal investigative missions.  </w:t>
      </w:r>
    </w:p>
    <w:p w:rsidR="00630F6F" w:rsidRDefault="00630F6F" w:rsidP="007471A8">
      <w:pPr>
        <w:contextualSpacing/>
        <w:jc w:val="both"/>
        <w:rPr>
          <w:b/>
          <w:bCs/>
        </w:rPr>
      </w:pPr>
    </w:p>
    <w:p w:rsidR="00630F6F" w:rsidRPr="00C942DE" w:rsidRDefault="00630F6F" w:rsidP="007471A8">
      <w:pPr>
        <w:contextualSpacing/>
        <w:jc w:val="both"/>
        <w:rPr>
          <w:b/>
          <w:bCs/>
          <w:i/>
          <w:iCs/>
        </w:rPr>
      </w:pPr>
      <w:r w:rsidRPr="00C942DE">
        <w:rPr>
          <w:b/>
          <w:bCs/>
          <w:i/>
          <w:iCs/>
        </w:rPr>
        <w:t xml:space="preserve">National Virtual Translation Center </w:t>
      </w:r>
    </w:p>
    <w:p w:rsidR="00630F6F" w:rsidRPr="00C942DE" w:rsidRDefault="00630F6F" w:rsidP="007471A8">
      <w:pPr>
        <w:contextualSpacing/>
      </w:pPr>
      <w:r w:rsidRPr="00C942DE">
        <w:t xml:space="preserve">The National Virtual Translation Center (NVTC) was established under the authority of Section 907 of the USA </w:t>
      </w:r>
      <w:r>
        <w:t>Patriot</w:t>
      </w:r>
      <w:r w:rsidRPr="00C942DE">
        <w:t xml:space="preserve"> Act to provide accurate and timely translations </w:t>
      </w:r>
      <w:r>
        <w:t xml:space="preserve">for the U.S. Intelligence Community (USIC) in support of national security.  </w:t>
      </w:r>
      <w:r w:rsidRPr="00C942DE">
        <w:t>On February 11, 2003, the Director of Central Intelligence awarded executive agency authority of the NVTC to the FBI.  The NVTC is</w:t>
      </w:r>
      <w:r>
        <w:t xml:space="preserve"> one of the </w:t>
      </w:r>
      <w:r w:rsidRPr="00C942DE">
        <w:t>Office</w:t>
      </w:r>
      <w:r w:rsidR="00055264">
        <w:t>s</w:t>
      </w:r>
      <w:r w:rsidRPr="00C942DE">
        <w:t xml:space="preserve"> of the Director of National Intelligence</w:t>
      </w:r>
      <w:r>
        <w:t>’s</w:t>
      </w:r>
      <w:r w:rsidRPr="00C942DE">
        <w:t xml:space="preserve"> (ODNI) </w:t>
      </w:r>
      <w:r>
        <w:t>multi-agency centers, and receives its operational guidance and oversight from the ODNI.  The NVTC’s mission (unique within the U.S. Government) is to provide translation services to all IC agencies and Department of Defense intelligence elements, using a translation workflow management system that virtually connects NVTC program staff, translators, and customers.  NVTC translators also support law enforcement organizations, but cannot appear in court in connection with any case.  NVTC actively researches and tests advanced translation technologies to insert into its translation workflow so that NVTC translators can work more rapidly and efficiently, and collaborate with IC partners to capture and share knowledge and data obtained through the application of these technologies.</w:t>
      </w:r>
    </w:p>
    <w:p w:rsidR="00630F6F" w:rsidRPr="00C942DE" w:rsidRDefault="00630F6F" w:rsidP="007471A8">
      <w:pPr>
        <w:contextualSpacing/>
        <w:rPr>
          <w:b/>
          <w:bCs/>
          <w:i/>
          <w:iCs/>
        </w:rPr>
      </w:pPr>
    </w:p>
    <w:p w:rsidR="00630F6F" w:rsidRPr="00C942DE" w:rsidRDefault="00630F6F" w:rsidP="007471A8">
      <w:pPr>
        <w:contextualSpacing/>
        <w:rPr>
          <w:b/>
          <w:bCs/>
          <w:i/>
          <w:iCs/>
        </w:rPr>
      </w:pPr>
      <w:r w:rsidRPr="00C942DE">
        <w:rPr>
          <w:b/>
          <w:bCs/>
          <w:i/>
          <w:iCs/>
        </w:rPr>
        <w:t>Intelligence Training</w:t>
      </w:r>
    </w:p>
    <w:p w:rsidR="00630F6F" w:rsidRDefault="00630F6F" w:rsidP="007471A8">
      <w:pPr>
        <w:pStyle w:val="Para"/>
        <w:tabs>
          <w:tab w:val="left" w:pos="240"/>
        </w:tabs>
        <w:spacing w:after="0"/>
        <w:ind w:firstLine="0"/>
        <w:contextualSpacing/>
        <w:jc w:val="left"/>
        <w:rPr>
          <w:rFonts w:ascii="Times New Roman" w:hAnsi="Times New Roman"/>
          <w:color w:val="000000"/>
          <w:sz w:val="24"/>
        </w:rPr>
      </w:pPr>
      <w:r w:rsidRPr="00C942DE">
        <w:rPr>
          <w:rFonts w:ascii="Times New Roman" w:hAnsi="Times New Roman"/>
          <w:sz w:val="24"/>
        </w:rPr>
        <w:t xml:space="preserve">The FBI strives to ensure that its training programs leverage intelligence training expertise not only within the FBI, but also within the IC, academia, and industry to ensure the best intelligence training and educational opportunities are available to the FBI workforce.  </w:t>
      </w:r>
      <w:r>
        <w:rPr>
          <w:rFonts w:ascii="Times New Roman" w:hAnsi="Times New Roman"/>
          <w:sz w:val="24"/>
        </w:rPr>
        <w:t xml:space="preserve">The FBI’s </w:t>
      </w:r>
      <w:r w:rsidRPr="00C942DE">
        <w:rPr>
          <w:rFonts w:ascii="Times New Roman" w:hAnsi="Times New Roman"/>
          <w:sz w:val="24"/>
        </w:rPr>
        <w:t xml:space="preserve">training </w:t>
      </w:r>
      <w:r>
        <w:rPr>
          <w:rFonts w:ascii="Times New Roman" w:hAnsi="Times New Roman"/>
          <w:sz w:val="24"/>
        </w:rPr>
        <w:t xml:space="preserve">program </w:t>
      </w:r>
      <w:r w:rsidRPr="00C942DE">
        <w:rPr>
          <w:rFonts w:ascii="Times New Roman" w:hAnsi="Times New Roman"/>
          <w:sz w:val="24"/>
        </w:rPr>
        <w:t>also facilitates the identification of adjunct faculty, communicates relevant training and educational opportunities available outside the FBI and permits opportunities for research related to intelligence analysis</w:t>
      </w:r>
      <w:r w:rsidRPr="00064822">
        <w:rPr>
          <w:rFonts w:ascii="Times New Roman" w:hAnsi="Times New Roman"/>
          <w:sz w:val="24"/>
        </w:rPr>
        <w:t xml:space="preserve">.  The FBI </w:t>
      </w:r>
      <w:r>
        <w:rPr>
          <w:rFonts w:ascii="Times New Roman" w:hAnsi="Times New Roman"/>
          <w:sz w:val="24"/>
        </w:rPr>
        <w:t>“</w:t>
      </w:r>
      <w:r w:rsidRPr="00064822">
        <w:rPr>
          <w:rFonts w:ascii="Times New Roman" w:hAnsi="Times New Roman"/>
          <w:sz w:val="24"/>
        </w:rPr>
        <w:t>Dual Mission from Day One</w:t>
      </w:r>
      <w:r>
        <w:rPr>
          <w:rFonts w:ascii="Times New Roman" w:hAnsi="Times New Roman"/>
          <w:sz w:val="24"/>
        </w:rPr>
        <w:t>”</w:t>
      </w:r>
      <w:r w:rsidRPr="00064822">
        <w:rPr>
          <w:rFonts w:ascii="Times New Roman" w:hAnsi="Times New Roman"/>
          <w:sz w:val="24"/>
        </w:rPr>
        <w:t xml:space="preserve"> initiative was established</w:t>
      </w:r>
      <w:r w:rsidR="00F73E2C">
        <w:rPr>
          <w:rFonts w:ascii="Times New Roman" w:hAnsi="Times New Roman"/>
          <w:sz w:val="24"/>
        </w:rPr>
        <w:t xml:space="preserve"> in FY 2012</w:t>
      </w:r>
      <w:r w:rsidRPr="00064822">
        <w:rPr>
          <w:rFonts w:ascii="Times New Roman" w:hAnsi="Times New Roman"/>
          <w:sz w:val="24"/>
        </w:rPr>
        <w:t xml:space="preserve"> </w:t>
      </w:r>
      <w:r>
        <w:rPr>
          <w:rFonts w:ascii="Times New Roman" w:hAnsi="Times New Roman"/>
          <w:sz w:val="24"/>
        </w:rPr>
        <w:t xml:space="preserve">by DI and Training Division </w:t>
      </w:r>
      <w:r w:rsidRPr="00064822">
        <w:rPr>
          <w:rFonts w:ascii="Times New Roman" w:hAnsi="Times New Roman"/>
          <w:sz w:val="24"/>
        </w:rPr>
        <w:t xml:space="preserve">to provide clear expectations within the workforce that the responsibilities of the intelligence mission assume the same stature as that of the law enforcement mission.  This will be developed by ensuring New Agent Trainees, IAs, Linguists, and Surveillance Personnel are introduced to these responsibilities from </w:t>
      </w:r>
      <w:r>
        <w:rPr>
          <w:rFonts w:ascii="Times New Roman" w:hAnsi="Times New Roman"/>
          <w:sz w:val="24"/>
        </w:rPr>
        <w:t>“</w:t>
      </w:r>
      <w:r w:rsidRPr="00064822">
        <w:rPr>
          <w:rFonts w:ascii="Times New Roman" w:hAnsi="Times New Roman"/>
          <w:sz w:val="24"/>
        </w:rPr>
        <w:t>Day One</w:t>
      </w:r>
      <w:r>
        <w:rPr>
          <w:rFonts w:ascii="Times New Roman" w:hAnsi="Times New Roman"/>
          <w:sz w:val="24"/>
        </w:rPr>
        <w:t>”</w:t>
      </w:r>
      <w:r w:rsidRPr="00064822">
        <w:rPr>
          <w:rFonts w:ascii="Times New Roman" w:hAnsi="Times New Roman"/>
          <w:sz w:val="24"/>
        </w:rPr>
        <w:t xml:space="preserve"> in the FBI and continuously reinforced throughout the organization. </w:t>
      </w:r>
      <w:r>
        <w:rPr>
          <w:rFonts w:ascii="Times New Roman" w:hAnsi="Times New Roman"/>
          <w:sz w:val="24"/>
        </w:rPr>
        <w:t xml:space="preserve"> </w:t>
      </w:r>
      <w:r w:rsidRPr="00064822">
        <w:rPr>
          <w:rFonts w:ascii="Times New Roman" w:hAnsi="Times New Roman"/>
          <w:color w:val="000000"/>
          <w:sz w:val="24"/>
        </w:rPr>
        <w:t xml:space="preserve">FBI </w:t>
      </w:r>
      <w:r w:rsidRPr="00C942DE">
        <w:rPr>
          <w:rFonts w:ascii="Times New Roman" w:hAnsi="Times New Roman"/>
          <w:color w:val="000000"/>
          <w:sz w:val="24"/>
        </w:rPr>
        <w:t>Agents</w:t>
      </w:r>
      <w:r>
        <w:rPr>
          <w:rFonts w:ascii="Times New Roman" w:hAnsi="Times New Roman"/>
          <w:color w:val="000000"/>
          <w:sz w:val="24"/>
        </w:rPr>
        <w:t>,</w:t>
      </w:r>
      <w:r w:rsidRPr="00C942DE">
        <w:rPr>
          <w:rFonts w:ascii="Times New Roman" w:hAnsi="Times New Roman"/>
          <w:color w:val="000000"/>
          <w:sz w:val="24"/>
        </w:rPr>
        <w:t xml:space="preserve"> IAs</w:t>
      </w:r>
      <w:r>
        <w:rPr>
          <w:rFonts w:ascii="Times New Roman" w:hAnsi="Times New Roman"/>
          <w:color w:val="000000"/>
          <w:sz w:val="24"/>
        </w:rPr>
        <w:t xml:space="preserve"> and Linguists </w:t>
      </w:r>
      <w:r w:rsidRPr="00C942DE">
        <w:rPr>
          <w:rFonts w:ascii="Times New Roman" w:hAnsi="Times New Roman"/>
          <w:color w:val="000000"/>
          <w:sz w:val="24"/>
        </w:rPr>
        <w:t xml:space="preserve">receive specialized training designed to better equip them with doctrine and tradecraft necessary to conduct the intelligence-driven mission of the FBI.  Improving and expanding the FBI’s training capacity will allow the FBI to conduct its intelligence-driven mission and to make a greater contribution to the USIC. </w:t>
      </w:r>
    </w:p>
    <w:p w:rsidR="00630F6F" w:rsidRDefault="00630F6F" w:rsidP="007471A8">
      <w:pPr>
        <w:pStyle w:val="Para"/>
        <w:tabs>
          <w:tab w:val="left" w:pos="240"/>
        </w:tabs>
        <w:spacing w:after="0"/>
        <w:ind w:firstLine="0"/>
        <w:contextualSpacing/>
        <w:jc w:val="left"/>
        <w:rPr>
          <w:rFonts w:ascii="Times New Roman" w:hAnsi="Times New Roman"/>
          <w:color w:val="000000"/>
          <w:sz w:val="24"/>
        </w:rPr>
      </w:pPr>
    </w:p>
    <w:p w:rsidR="00630F6F" w:rsidRDefault="00630F6F" w:rsidP="007471A8">
      <w:pPr>
        <w:pStyle w:val="Para"/>
        <w:tabs>
          <w:tab w:val="left" w:pos="240"/>
        </w:tabs>
        <w:spacing w:after="0"/>
        <w:ind w:firstLine="0"/>
        <w:contextualSpacing/>
        <w:jc w:val="left"/>
        <w:rPr>
          <w:rFonts w:ascii="Times New Roman" w:hAnsi="Times New Roman"/>
          <w:color w:val="000000"/>
          <w:sz w:val="24"/>
        </w:rPr>
      </w:pPr>
      <w:r w:rsidRPr="00C942DE">
        <w:rPr>
          <w:rFonts w:ascii="Times New Roman" w:hAnsi="Times New Roman"/>
          <w:color w:val="000000"/>
          <w:sz w:val="24"/>
        </w:rPr>
        <w:t xml:space="preserve">In an effort to train the intelligence workforce and to build a cadre of highly skilled intelligence professionals, the FBI </w:t>
      </w:r>
      <w:r>
        <w:rPr>
          <w:rFonts w:ascii="Times New Roman" w:hAnsi="Times New Roman"/>
          <w:color w:val="000000"/>
          <w:sz w:val="24"/>
        </w:rPr>
        <w:t xml:space="preserve">has </w:t>
      </w:r>
      <w:r w:rsidRPr="00A03A84">
        <w:rPr>
          <w:rFonts w:ascii="Times New Roman" w:hAnsi="Times New Roman"/>
          <w:sz w:val="24"/>
        </w:rPr>
        <w:t>developed</w:t>
      </w:r>
      <w:r>
        <w:rPr>
          <w:rFonts w:ascii="Times New Roman" w:hAnsi="Times New Roman"/>
          <w:sz w:val="24"/>
        </w:rPr>
        <w:t xml:space="preserve">, in addition to the Intelligence Career Path for Special Agents, </w:t>
      </w:r>
      <w:r w:rsidRPr="00A03A84">
        <w:rPr>
          <w:rFonts w:ascii="Times New Roman" w:hAnsi="Times New Roman"/>
          <w:sz w:val="24"/>
        </w:rPr>
        <w:t xml:space="preserve">three distinct career paths </w:t>
      </w:r>
      <w:r>
        <w:rPr>
          <w:rFonts w:ascii="Times New Roman" w:hAnsi="Times New Roman"/>
          <w:sz w:val="24"/>
        </w:rPr>
        <w:t xml:space="preserve">(Strategic, Tactical, Collection/Reporting) </w:t>
      </w:r>
      <w:r w:rsidRPr="00A03A84">
        <w:rPr>
          <w:rFonts w:ascii="Times New Roman" w:hAnsi="Times New Roman"/>
          <w:sz w:val="24"/>
        </w:rPr>
        <w:t>for IAs</w:t>
      </w:r>
      <w:r>
        <w:rPr>
          <w:rFonts w:ascii="Times New Roman" w:hAnsi="Times New Roman"/>
          <w:sz w:val="24"/>
        </w:rPr>
        <w:t xml:space="preserve">.  These career paths will </w:t>
      </w:r>
      <w:r w:rsidRPr="00C942DE">
        <w:rPr>
          <w:rFonts w:ascii="Times New Roman" w:hAnsi="Times New Roman"/>
          <w:color w:val="000000"/>
          <w:sz w:val="24"/>
        </w:rPr>
        <w:t xml:space="preserve">ensure the FBI </w:t>
      </w:r>
      <w:r>
        <w:rPr>
          <w:rFonts w:ascii="Times New Roman" w:hAnsi="Times New Roman"/>
          <w:color w:val="000000"/>
          <w:sz w:val="24"/>
        </w:rPr>
        <w:t xml:space="preserve">National Intelligence Workforce (NIW) </w:t>
      </w:r>
      <w:r w:rsidRPr="00C942DE">
        <w:rPr>
          <w:rFonts w:ascii="Times New Roman" w:hAnsi="Times New Roman"/>
          <w:color w:val="000000"/>
          <w:sz w:val="24"/>
        </w:rPr>
        <w:t xml:space="preserve">personnel receive the training, experiences, and </w:t>
      </w:r>
      <w:r>
        <w:rPr>
          <w:rFonts w:ascii="Times New Roman" w:hAnsi="Times New Roman"/>
          <w:color w:val="000000"/>
          <w:sz w:val="24"/>
        </w:rPr>
        <w:t xml:space="preserve">opportunities for </w:t>
      </w:r>
      <w:r w:rsidRPr="00C942DE">
        <w:rPr>
          <w:rFonts w:ascii="Times New Roman" w:hAnsi="Times New Roman"/>
          <w:color w:val="000000"/>
          <w:sz w:val="24"/>
        </w:rPr>
        <w:t>joint duty assignments appropriate for their position</w:t>
      </w:r>
      <w:r>
        <w:rPr>
          <w:rFonts w:ascii="Times New Roman" w:hAnsi="Times New Roman"/>
          <w:color w:val="000000"/>
          <w:sz w:val="24"/>
        </w:rPr>
        <w:t xml:space="preserve"> and</w:t>
      </w:r>
      <w:r w:rsidRPr="00C942DE">
        <w:rPr>
          <w:rFonts w:ascii="Times New Roman" w:hAnsi="Times New Roman"/>
          <w:color w:val="000000"/>
          <w:sz w:val="24"/>
        </w:rPr>
        <w:t xml:space="preserve"> stage of development.  The FBI is re-designing its </w:t>
      </w:r>
      <w:r>
        <w:rPr>
          <w:rFonts w:ascii="Times New Roman" w:hAnsi="Times New Roman"/>
          <w:color w:val="000000"/>
          <w:sz w:val="24"/>
        </w:rPr>
        <w:t xml:space="preserve">intelligence </w:t>
      </w:r>
      <w:r w:rsidRPr="00C942DE">
        <w:rPr>
          <w:rFonts w:ascii="Times New Roman" w:hAnsi="Times New Roman"/>
          <w:color w:val="000000"/>
          <w:sz w:val="24"/>
        </w:rPr>
        <w:t xml:space="preserve">training curriculum to </w:t>
      </w:r>
      <w:r>
        <w:rPr>
          <w:rFonts w:ascii="Times New Roman" w:hAnsi="Times New Roman"/>
          <w:color w:val="000000"/>
          <w:sz w:val="24"/>
        </w:rPr>
        <w:t xml:space="preserve">align with </w:t>
      </w:r>
      <w:r w:rsidRPr="00C942DE">
        <w:rPr>
          <w:rFonts w:ascii="Times New Roman" w:hAnsi="Times New Roman"/>
          <w:color w:val="000000"/>
          <w:sz w:val="24"/>
        </w:rPr>
        <w:t>career path</w:t>
      </w:r>
      <w:r>
        <w:rPr>
          <w:rFonts w:ascii="Times New Roman" w:hAnsi="Times New Roman"/>
          <w:color w:val="000000"/>
          <w:sz w:val="24"/>
        </w:rPr>
        <w:t>s</w:t>
      </w:r>
      <w:r w:rsidRPr="00C942DE">
        <w:rPr>
          <w:rFonts w:ascii="Times New Roman" w:hAnsi="Times New Roman"/>
          <w:color w:val="000000"/>
          <w:sz w:val="24"/>
        </w:rPr>
        <w:t xml:space="preserve"> to ensure </w:t>
      </w:r>
      <w:r>
        <w:rPr>
          <w:rFonts w:ascii="Times New Roman" w:hAnsi="Times New Roman"/>
          <w:color w:val="000000"/>
          <w:sz w:val="24"/>
        </w:rPr>
        <w:t>all</w:t>
      </w:r>
      <w:r w:rsidRPr="00C942DE">
        <w:rPr>
          <w:rFonts w:ascii="Times New Roman" w:hAnsi="Times New Roman"/>
          <w:color w:val="000000"/>
          <w:sz w:val="24"/>
        </w:rPr>
        <w:t xml:space="preserve"> </w:t>
      </w:r>
      <w:r>
        <w:rPr>
          <w:rFonts w:ascii="Times New Roman" w:hAnsi="Times New Roman"/>
          <w:color w:val="000000"/>
          <w:sz w:val="24"/>
        </w:rPr>
        <w:t>NIW</w:t>
      </w:r>
      <w:r w:rsidRPr="00C942DE">
        <w:rPr>
          <w:rFonts w:ascii="Times New Roman" w:hAnsi="Times New Roman"/>
          <w:color w:val="000000"/>
          <w:sz w:val="24"/>
        </w:rPr>
        <w:t xml:space="preserve"> personnel have the training necessary to analyze and </w:t>
      </w:r>
      <w:r>
        <w:rPr>
          <w:rFonts w:ascii="Times New Roman" w:hAnsi="Times New Roman"/>
          <w:color w:val="000000"/>
          <w:sz w:val="24"/>
        </w:rPr>
        <w:t>mitigate</w:t>
      </w:r>
      <w:r w:rsidRPr="00C942DE">
        <w:rPr>
          <w:rFonts w:ascii="Times New Roman" w:hAnsi="Times New Roman"/>
          <w:color w:val="000000"/>
          <w:sz w:val="24"/>
        </w:rPr>
        <w:t xml:space="preserve"> current and future threats to the U.S. Homeland.</w:t>
      </w:r>
    </w:p>
    <w:p w:rsidR="00630F6F" w:rsidRPr="009465F6" w:rsidRDefault="00630F6F" w:rsidP="007471A8">
      <w:pPr>
        <w:pStyle w:val="Para"/>
        <w:tabs>
          <w:tab w:val="left" w:pos="240"/>
        </w:tabs>
        <w:spacing w:after="0"/>
        <w:ind w:firstLine="0"/>
        <w:contextualSpacing/>
        <w:jc w:val="left"/>
        <w:rPr>
          <w:rFonts w:ascii="Times New Roman" w:hAnsi="Times New Roman"/>
          <w:sz w:val="24"/>
        </w:rPr>
      </w:pPr>
    </w:p>
    <w:p w:rsidR="00630F6F" w:rsidRPr="009E60FB" w:rsidRDefault="00630F6F" w:rsidP="007471A8">
      <w:pPr>
        <w:contextualSpacing/>
        <w:jc w:val="both"/>
        <w:rPr>
          <w:b/>
          <w:bCs/>
          <w:i/>
          <w:iCs/>
          <w:lang w:val="fr-FR"/>
        </w:rPr>
      </w:pPr>
      <w:r w:rsidRPr="009E60FB">
        <w:rPr>
          <w:b/>
          <w:bCs/>
          <w:i/>
          <w:iCs/>
          <w:lang w:val="fr-FR"/>
        </w:rPr>
        <w:lastRenderedPageBreak/>
        <w:t>Communications Exploitation Section (CXS)</w:t>
      </w:r>
    </w:p>
    <w:p w:rsidR="00630F6F" w:rsidRPr="009E60FB" w:rsidRDefault="00630F6F" w:rsidP="007471A8">
      <w:pPr>
        <w:contextualSpacing/>
      </w:pPr>
      <w:r w:rsidRPr="009E60FB">
        <w:t xml:space="preserve">CXS leads law enforcement and intelligence efforts in the U.S. to detect, penetrate, and dismantle existing and emerging terrorists and their activities by exploiting their communications.  Efforts include targeting terrorists’ use of </w:t>
      </w:r>
      <w:r w:rsidR="00055264">
        <w:t xml:space="preserve">the </w:t>
      </w:r>
      <w:r w:rsidRPr="009E60FB">
        <w:t>Internet and On-line forums, as well as exploiting terrorists’ use of digital media.</w:t>
      </w:r>
    </w:p>
    <w:p w:rsidR="00630F6F" w:rsidRPr="00C942DE" w:rsidRDefault="00630F6F" w:rsidP="007471A8">
      <w:pPr>
        <w:contextualSpacing/>
      </w:pPr>
    </w:p>
    <w:p w:rsidR="00630F6F" w:rsidRPr="009E60FB" w:rsidRDefault="00630F6F" w:rsidP="007471A8">
      <w:pPr>
        <w:contextualSpacing/>
        <w:rPr>
          <w:b/>
          <w:bCs/>
          <w:i/>
          <w:iCs/>
        </w:rPr>
      </w:pPr>
      <w:r w:rsidRPr="009E60FB">
        <w:rPr>
          <w:b/>
          <w:bCs/>
          <w:i/>
          <w:iCs/>
        </w:rPr>
        <w:t>Foreign Terrorist Tracking Task Force (FTTTF)</w:t>
      </w:r>
    </w:p>
    <w:p w:rsidR="00630F6F" w:rsidRDefault="00630F6F" w:rsidP="007471A8">
      <w:pPr>
        <w:contextualSpacing/>
      </w:pPr>
      <w:r w:rsidRPr="009E60FB">
        <w:t xml:space="preserve">The FTTTF assists in locating, tracking, and removing foreign terrorists and their supporters from the </w:t>
      </w:r>
      <w:r w:rsidR="00C90C45">
        <w:t>U.S</w:t>
      </w:r>
      <w:r w:rsidR="00055264">
        <w:t>.</w:t>
      </w:r>
      <w:r w:rsidRPr="009E60FB">
        <w:t xml:space="preserve">  FTTTF utilizes specialized analytical techniques, technologies, and data analysis to enhance terrorist identification, tracking, and risk assessments.</w:t>
      </w:r>
    </w:p>
    <w:p w:rsidR="0059762C" w:rsidRDefault="0059762C" w:rsidP="007471A8">
      <w:pPr>
        <w:contextualSpacing/>
      </w:pPr>
    </w:p>
    <w:p w:rsidR="0059762C" w:rsidRPr="0059762C" w:rsidRDefault="0059762C" w:rsidP="007471A8">
      <w:pPr>
        <w:contextualSpacing/>
        <w:rPr>
          <w:b/>
          <w:i/>
        </w:rPr>
      </w:pPr>
      <w:r>
        <w:rPr>
          <w:b/>
          <w:i/>
        </w:rPr>
        <w:t>Domestic Communications Assistance Center (DCAC)</w:t>
      </w:r>
    </w:p>
    <w:p w:rsidR="0059762C" w:rsidRDefault="0059762C" w:rsidP="007471A8">
      <w:pPr>
        <w:contextualSpacing/>
      </w:pPr>
      <w:r>
        <w:t xml:space="preserve">The Domestic Communications Assistance Center (DCAC) is a federal, state, and local partnership seeking to enhance electronic surveillance capabilities for the entire law enforcement community while also protecting privacy and civil liberties.  Electronic surveillance not only provides otherwise unobtainable evidence of criminal activity, but also helps law enforcement authorities to prevent crimes and save lives.  However, due to changes in the volume and complexity of today’s communications services and technologies, a growing number of federal, state, and local law enforcement agencies face increasing challenges to their ability to access, intercept, collect, and process wire or electronic communications to which they are lawfully authorized.  The DCAC will serve as a hub for the management of knowledge and technical expertise regarding lawful electronic surveillance, facilitate the sharing of solutions and know-how among federal, state, and local law enforcement agencies, improve relations with industry, and strengthen compliance with the Communications Assistance for Law Enforcement Act (CALEA).  A primary impetus for the DCAC is state and local law enforcement’s lack of resources to address their respective needs.  Substantial technological, </w:t>
      </w:r>
      <w:proofErr w:type="gramStart"/>
      <w:r>
        <w:t>operational,</w:t>
      </w:r>
      <w:proofErr w:type="gramEnd"/>
      <w:r>
        <w:t xml:space="preserve"> and cost-saving efficiencies for state and local law enforcement can be obtained through a unified DCAC approach to closely interrelated electronic surveillance endeavors, such as distribution of processing tools, training, and industry liaison.  In addition, such a uniform approach would be welcomed by service providers who prefer to standardize and centralize electronic surveillance technical, operational, and administrative interactions with law enforcement to the greatest extent possible.</w:t>
      </w:r>
    </w:p>
    <w:p w:rsidR="0059762C" w:rsidRPr="009E60FB" w:rsidRDefault="0059762C" w:rsidP="007471A8">
      <w:pPr>
        <w:contextualSpacing/>
      </w:pPr>
    </w:p>
    <w:p w:rsidR="00630F6F" w:rsidRDefault="00630F6F" w:rsidP="007471A8">
      <w:pPr>
        <w:contextualSpacing/>
      </w:pPr>
      <w:r>
        <w:rPr>
          <w:b/>
          <w:bCs/>
          <w:i/>
          <w:iCs/>
        </w:rPr>
        <w:t>Terrorist Screening Center (TSC)</w:t>
      </w:r>
    </w:p>
    <w:p w:rsidR="00630F6F" w:rsidRDefault="00630F6F" w:rsidP="007471A8">
      <w:pPr>
        <w:contextualSpacing/>
      </w:pPr>
      <w:r>
        <w:t>The TSC consolidates and coordinates the U.S. Government’s approach to terrorist screening and facilitates the sharing of terrorism information to protect our Nation and foreign partners.  In order to identify, prevent, deter, and disrupt potential terrorist activity, the TSC’s main objective is to maintain a thorough, accurate, and current database of known and suspected terrorists (KST) and to share this information with law enforcement, intelligence, screening, and regulatory agencies at the Federal, state, local, territorial, tribal, and international levels.  This effort includes direct support for the FBI, Department of Justice, Department of Homeland Security, Department of State, the ODNI, the Intelligence Community, and other major Federal law enforcement, screening, and regulatory agencies.  The TSC accomplishes this mission through a unique, interagency business model that incorporates information technology and information sharing, as well as operational and analytical expertise from its interagency specialists.  In FY 2011, the TSC assisted its partners in positively identifying 20,126 known or suspected terrorists.</w:t>
      </w:r>
    </w:p>
    <w:p w:rsidR="00630F6F" w:rsidRPr="00C942DE" w:rsidRDefault="00630F6F" w:rsidP="007471A8">
      <w:pPr>
        <w:contextualSpacing/>
      </w:pPr>
    </w:p>
    <w:p w:rsidR="00630F6F" w:rsidRPr="00C942DE" w:rsidRDefault="00630F6F" w:rsidP="007471A8">
      <w:pPr>
        <w:contextualSpacing/>
        <w:rPr>
          <w:b/>
          <w:bCs/>
          <w:i/>
          <w:iCs/>
        </w:rPr>
      </w:pPr>
      <w:r w:rsidRPr="00C942DE">
        <w:rPr>
          <w:b/>
          <w:bCs/>
          <w:i/>
          <w:iCs/>
        </w:rPr>
        <w:t>Special Tech</w:t>
      </w:r>
      <w:r>
        <w:rPr>
          <w:b/>
          <w:bCs/>
          <w:i/>
          <w:iCs/>
        </w:rPr>
        <w:t>nologies and Applications Office Section</w:t>
      </w:r>
      <w:r w:rsidRPr="00C942DE">
        <w:rPr>
          <w:b/>
          <w:bCs/>
          <w:i/>
          <w:iCs/>
        </w:rPr>
        <w:t xml:space="preserve"> (STA</w:t>
      </w:r>
      <w:r>
        <w:rPr>
          <w:b/>
          <w:bCs/>
          <w:i/>
          <w:iCs/>
        </w:rPr>
        <w:t>S</w:t>
      </w:r>
      <w:r w:rsidRPr="00C942DE">
        <w:rPr>
          <w:b/>
          <w:bCs/>
          <w:i/>
          <w:iCs/>
        </w:rPr>
        <w:t>)</w:t>
      </w:r>
    </w:p>
    <w:p w:rsidR="00630F6F" w:rsidRPr="00C942DE" w:rsidRDefault="00630F6F" w:rsidP="007471A8">
      <w:pPr>
        <w:contextualSpacing/>
        <w:rPr>
          <w:u w:val="single"/>
        </w:rPr>
      </w:pPr>
      <w:r w:rsidRPr="00C942DE">
        <w:t>The mission of STA</w:t>
      </w:r>
      <w:r>
        <w:t>S</w:t>
      </w:r>
      <w:r w:rsidRPr="00C942DE">
        <w:t xml:space="preserve"> is to provide the FBI's investigative and intelligence priorities with technical analysis capability through innovative techniques, tools, and systems.  STA</w:t>
      </w:r>
      <w:r>
        <w:t>S</w:t>
      </w:r>
      <w:r w:rsidRPr="00C942DE">
        <w:t xml:space="preserve"> develops and maintains systems that store </w:t>
      </w:r>
      <w:r>
        <w:t>electronic data lawfully obtained or developed by the FBI</w:t>
      </w:r>
      <w:r w:rsidRPr="0090756C">
        <w:t xml:space="preserve"> </w:t>
      </w:r>
      <w:r w:rsidRPr="00C942DE">
        <w:t>and provide</w:t>
      </w:r>
      <w:r>
        <w:t>s</w:t>
      </w:r>
      <w:r w:rsidRPr="00C942DE">
        <w:t xml:space="preserve"> </w:t>
      </w:r>
      <w:r>
        <w:t xml:space="preserve">Agents, IAs, </w:t>
      </w:r>
      <w:r>
        <w:lastRenderedPageBreak/>
        <w:t xml:space="preserve">and linguists </w:t>
      </w:r>
      <w:r w:rsidRPr="00C942DE">
        <w:t>access</w:t>
      </w:r>
      <w:r>
        <w:t xml:space="preserve"> to that data for the purpose of developing actionable information through the aid of analytic software applications</w:t>
      </w:r>
      <w:r w:rsidRPr="00C942DE">
        <w:t>.</w:t>
      </w:r>
    </w:p>
    <w:p w:rsidR="00630F6F" w:rsidRDefault="00630F6F" w:rsidP="007471A8">
      <w:pPr>
        <w:contextualSpacing/>
        <w:rPr>
          <w:b/>
          <w:bCs/>
        </w:rPr>
      </w:pPr>
    </w:p>
    <w:p w:rsidR="00630F6F" w:rsidRPr="00C942DE" w:rsidRDefault="00630F6F" w:rsidP="007471A8">
      <w:pPr>
        <w:contextualSpacing/>
        <w:rPr>
          <w:b/>
          <w:bCs/>
          <w:i/>
          <w:iCs/>
        </w:rPr>
      </w:pPr>
      <w:r w:rsidRPr="00C942DE">
        <w:rPr>
          <w:b/>
          <w:bCs/>
          <w:i/>
          <w:iCs/>
        </w:rPr>
        <w:t>Infrastructure and Technology</w:t>
      </w:r>
    </w:p>
    <w:p w:rsidR="00630F6F" w:rsidRPr="00C942DE" w:rsidRDefault="00630F6F" w:rsidP="007471A8">
      <w:pPr>
        <w:pStyle w:val="Para"/>
        <w:tabs>
          <w:tab w:val="left" w:pos="240"/>
        </w:tabs>
        <w:spacing w:after="0"/>
        <w:ind w:firstLine="0"/>
        <w:contextualSpacing/>
        <w:jc w:val="left"/>
        <w:rPr>
          <w:rFonts w:ascii="Times New Roman" w:hAnsi="Times New Roman"/>
          <w:sz w:val="24"/>
        </w:rPr>
      </w:pPr>
      <w:r w:rsidRPr="00C942DE">
        <w:rPr>
          <w:rFonts w:ascii="Times New Roman" w:hAnsi="Times New Roman"/>
          <w:sz w:val="24"/>
        </w:rPr>
        <w:t xml:space="preserve">The </w:t>
      </w:r>
      <w:r>
        <w:rPr>
          <w:rFonts w:ascii="Times New Roman" w:hAnsi="Times New Roman"/>
          <w:sz w:val="24"/>
        </w:rPr>
        <w:t>IDU</w:t>
      </w:r>
      <w:r w:rsidRPr="00C942DE">
        <w:rPr>
          <w:rFonts w:ascii="Times New Roman" w:hAnsi="Times New Roman"/>
          <w:sz w:val="24"/>
        </w:rPr>
        <w:t xml:space="preserve"> includes funding for several efforts that are critical enablers for FBI Intelligence Career Service (ICS) Agents, IAs, Language Analysts, and Physical Surveillance Specialists (PSSs).  These efforts help to manage, process, share, and protect classified and unclassified information critical to national security.  Taken together, these efforts form a comprehensive system of security and efficiency.  The secure, or classified, side of the comprehensive system includes secure workspaces, or Sensitive Compartmented Information Facilities (SCIFs); a secure information sharing capability through the Sensitive Compartmented Information Operations Network (SCION), the FBI’s TOP SECRET (TS)/Sensitive Compartmented Information (SCI)-certified data network; and Intelligence IT, which are the tools used by FBI intelligence personnel to perform their duties.  The unclassified side of the comprehensive system includes the FBI’s ability to share unclassified information with other federal, state, and local governments and other partners through the Criminal Justice Information Services’ Law Enforcement Online (LEO) system and </w:t>
      </w:r>
      <w:proofErr w:type="spellStart"/>
      <w:r w:rsidRPr="00C942DE">
        <w:rPr>
          <w:rFonts w:ascii="Times New Roman" w:hAnsi="Times New Roman"/>
          <w:sz w:val="24"/>
        </w:rPr>
        <w:t>UNet</w:t>
      </w:r>
      <w:proofErr w:type="spellEnd"/>
      <w:r w:rsidRPr="00C942DE">
        <w:rPr>
          <w:rFonts w:ascii="Times New Roman" w:hAnsi="Times New Roman"/>
          <w:sz w:val="24"/>
        </w:rPr>
        <w:t xml:space="preserve">, the FBI’s unclassified connection to the Internet.  </w:t>
      </w:r>
    </w:p>
    <w:p w:rsidR="00630F6F" w:rsidRPr="00C942DE" w:rsidRDefault="00630F6F" w:rsidP="007471A8">
      <w:pPr>
        <w:contextualSpacing/>
        <w:rPr>
          <w:b/>
          <w:bCs/>
        </w:rPr>
      </w:pPr>
      <w:r w:rsidRPr="00C942DE" w:rsidDel="00F761C0">
        <w:rPr>
          <w:b/>
          <w:bCs/>
        </w:rPr>
        <w:t xml:space="preserve"> </w:t>
      </w:r>
    </w:p>
    <w:p w:rsidR="00630F6F" w:rsidRPr="00C942DE" w:rsidRDefault="00630F6F" w:rsidP="007471A8">
      <w:pPr>
        <w:contextualSpacing/>
        <w:rPr>
          <w:b/>
          <w:bCs/>
          <w:i/>
          <w:iCs/>
        </w:rPr>
      </w:pPr>
      <w:r w:rsidRPr="00C942DE">
        <w:rPr>
          <w:b/>
          <w:bCs/>
          <w:i/>
          <w:iCs/>
        </w:rPr>
        <w:t>Sensitive Compartmented Information Facilities (SCIF)</w:t>
      </w:r>
    </w:p>
    <w:p w:rsidR="00630F6F" w:rsidRPr="00C942DE" w:rsidRDefault="00630F6F" w:rsidP="007471A8">
      <w:pPr>
        <w:contextualSpacing/>
        <w:rPr>
          <w:b/>
          <w:bCs/>
        </w:rPr>
      </w:pPr>
      <w:r w:rsidRPr="00C942DE">
        <w:t xml:space="preserve">A SCIF is an accredited room, group of rooms, floors, or buildings where National Security Professionals (NSPs) collect, process, exploit, analyze, disseminate, and/or store Sensitive Compartmented Information.  SCIFs are outfitted with Information Technology, telecommunications, general office machines, and requisite infrastructure to process unclassified through Top Secret information.  SCIFs are afforded intrusion detection and access control systems to prevent the entry of unauthorized personnel. </w:t>
      </w:r>
    </w:p>
    <w:p w:rsidR="00630F6F" w:rsidRPr="00C942DE" w:rsidRDefault="00630F6F" w:rsidP="007471A8">
      <w:pPr>
        <w:contextualSpacing/>
        <w:rPr>
          <w:b/>
          <w:bCs/>
        </w:rPr>
      </w:pPr>
    </w:p>
    <w:p w:rsidR="00630F6F" w:rsidRPr="00C942DE" w:rsidRDefault="00630F6F" w:rsidP="007471A8">
      <w:pPr>
        <w:contextualSpacing/>
        <w:rPr>
          <w:b/>
          <w:bCs/>
          <w:i/>
          <w:iCs/>
        </w:rPr>
      </w:pPr>
      <w:r w:rsidRPr="00C942DE">
        <w:rPr>
          <w:b/>
          <w:bCs/>
          <w:i/>
          <w:iCs/>
        </w:rPr>
        <w:t>Sensitive Compartmented Information Operations Network (SCION)</w:t>
      </w:r>
    </w:p>
    <w:p w:rsidR="00630F6F" w:rsidRPr="00C942DE" w:rsidRDefault="00630F6F" w:rsidP="007471A8">
      <w:pPr>
        <w:contextualSpacing/>
      </w:pPr>
      <w:r w:rsidRPr="00C942DE">
        <w:t>SCION is a compartmented network for Top Secret information which is administered by employing increased security measures, enforcing user accountability, and enhancing information assurance methodology.</w:t>
      </w:r>
    </w:p>
    <w:p w:rsidR="00630F6F" w:rsidRDefault="00630F6F" w:rsidP="007471A8">
      <w:pPr>
        <w:contextualSpacing/>
      </w:pPr>
    </w:p>
    <w:p w:rsidR="00630F6F" w:rsidRDefault="00630F6F" w:rsidP="007471A8">
      <w:pPr>
        <w:contextualSpacing/>
      </w:pPr>
    </w:p>
    <w:p w:rsidR="00630F6F" w:rsidRDefault="00630F6F" w:rsidP="007471A8">
      <w:pPr>
        <w:contextualSpacing/>
        <w:rPr>
          <w:b/>
        </w:rPr>
        <w:sectPr w:rsidR="00630F6F" w:rsidSect="0036067B">
          <w:footerReference w:type="even" r:id="rId20"/>
          <w:footerReference w:type="default" r:id="rId21"/>
          <w:pgSz w:w="12240" w:h="15840" w:code="1"/>
          <w:pgMar w:top="1080" w:right="1080" w:bottom="1080" w:left="1080" w:header="432" w:footer="432" w:gutter="0"/>
          <w:pgNumType w:start="1"/>
          <w:cols w:space="720"/>
          <w:docGrid w:linePitch="360"/>
        </w:sectPr>
      </w:pPr>
    </w:p>
    <w:tbl>
      <w:tblPr>
        <w:tblpPr w:leftFromText="180" w:rightFromText="180" w:vertAnchor="text" w:horzAnchor="margin" w:tblpXSpec="center" w:tblpY="-325"/>
        <w:tblOverlap w:val="never"/>
        <w:tblW w:w="13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1" w:type="dxa"/>
          <w:right w:w="81" w:type="dxa"/>
        </w:tblCellMar>
        <w:tblLook w:val="0000"/>
      </w:tblPr>
      <w:tblGrid>
        <w:gridCol w:w="1620"/>
        <w:gridCol w:w="2510"/>
        <w:gridCol w:w="937"/>
        <w:gridCol w:w="937"/>
        <w:gridCol w:w="937"/>
        <w:gridCol w:w="937"/>
        <w:gridCol w:w="937"/>
        <w:gridCol w:w="937"/>
        <w:gridCol w:w="937"/>
        <w:gridCol w:w="937"/>
        <w:gridCol w:w="937"/>
        <w:gridCol w:w="937"/>
      </w:tblGrid>
      <w:tr w:rsidR="00F0004F" w:rsidRPr="00537201" w:rsidTr="00886A25">
        <w:trPr>
          <w:cantSplit/>
          <w:trHeight w:val="389"/>
          <w:jc w:val="center"/>
        </w:trPr>
        <w:tc>
          <w:tcPr>
            <w:tcW w:w="13500" w:type="dxa"/>
            <w:gridSpan w:val="12"/>
            <w:shd w:val="clear" w:color="auto" w:fill="FFFFCC"/>
            <w:vAlign w:val="center"/>
          </w:tcPr>
          <w:p w:rsidR="00F0004F" w:rsidRPr="00630216" w:rsidRDefault="00F0004F" w:rsidP="00F0004F">
            <w:pPr>
              <w:contextualSpacing/>
              <w:jc w:val="center"/>
              <w:rPr>
                <w:b/>
                <w:bCs/>
                <w:color w:val="000000"/>
                <w:sz w:val="20"/>
                <w:szCs w:val="20"/>
              </w:rPr>
            </w:pPr>
            <w:r w:rsidRPr="00537201">
              <w:rPr>
                <w:b/>
                <w:bCs/>
                <w:color w:val="000000"/>
                <w:sz w:val="22"/>
                <w:szCs w:val="22"/>
              </w:rPr>
              <w:lastRenderedPageBreak/>
              <w:br w:type="page"/>
            </w:r>
            <w:r w:rsidRPr="00537201">
              <w:rPr>
                <w:b/>
                <w:bCs/>
                <w:color w:val="000000"/>
                <w:sz w:val="22"/>
                <w:szCs w:val="22"/>
              </w:rPr>
              <w:br w:type="page"/>
            </w:r>
            <w:r w:rsidRPr="00630216">
              <w:rPr>
                <w:b/>
                <w:bCs/>
                <w:color w:val="000000"/>
                <w:sz w:val="20"/>
                <w:szCs w:val="20"/>
              </w:rPr>
              <w:t>PERFORMANCE/RESOURCES TABLE</w:t>
            </w:r>
          </w:p>
        </w:tc>
      </w:tr>
      <w:tr w:rsidR="00F0004F" w:rsidRPr="00537201" w:rsidTr="00F0004F">
        <w:trPr>
          <w:cantSplit/>
          <w:trHeight w:val="77"/>
          <w:jc w:val="center"/>
        </w:trPr>
        <w:tc>
          <w:tcPr>
            <w:tcW w:w="13500" w:type="dxa"/>
            <w:gridSpan w:val="12"/>
            <w:shd w:val="clear" w:color="auto" w:fill="auto"/>
            <w:vAlign w:val="center"/>
          </w:tcPr>
          <w:p w:rsidR="00F0004F" w:rsidRPr="00537201" w:rsidRDefault="00F0004F" w:rsidP="00F0004F">
            <w:pPr>
              <w:contextualSpacing/>
              <w:rPr>
                <w:color w:val="000000"/>
                <w:sz w:val="18"/>
                <w:szCs w:val="18"/>
              </w:rPr>
            </w:pPr>
            <w:r w:rsidRPr="00537201">
              <w:rPr>
                <w:b/>
                <w:bCs/>
                <w:color w:val="000000"/>
                <w:sz w:val="18"/>
                <w:szCs w:val="18"/>
              </w:rPr>
              <w:t xml:space="preserve">Decision Unit: </w:t>
            </w:r>
            <w:r w:rsidRPr="00537201">
              <w:rPr>
                <w:color w:val="000000"/>
                <w:sz w:val="18"/>
                <w:szCs w:val="18"/>
              </w:rPr>
              <w:t>Intelligence</w:t>
            </w:r>
          </w:p>
        </w:tc>
      </w:tr>
      <w:tr w:rsidR="00F0004F" w:rsidRPr="00537201" w:rsidTr="00F0004F">
        <w:trPr>
          <w:cantSplit/>
          <w:trHeight w:val="389"/>
          <w:jc w:val="center"/>
        </w:trPr>
        <w:tc>
          <w:tcPr>
            <w:tcW w:w="13500" w:type="dxa"/>
            <w:gridSpan w:val="12"/>
            <w:shd w:val="clear" w:color="auto" w:fill="auto"/>
            <w:vAlign w:val="center"/>
          </w:tcPr>
          <w:p w:rsidR="00F0004F" w:rsidRPr="00537201" w:rsidRDefault="00F0004F" w:rsidP="00F0004F">
            <w:pPr>
              <w:contextualSpacing/>
              <w:rPr>
                <w:color w:val="000000"/>
                <w:sz w:val="18"/>
                <w:szCs w:val="18"/>
              </w:rPr>
            </w:pPr>
            <w:r w:rsidRPr="00537201">
              <w:rPr>
                <w:b/>
                <w:bCs/>
                <w:color w:val="000000"/>
                <w:sz w:val="18"/>
                <w:szCs w:val="18"/>
              </w:rPr>
              <w:t xml:space="preserve">DOJ Strategic Goal/Objective:  </w:t>
            </w:r>
            <w:r w:rsidRPr="00537201">
              <w:rPr>
                <w:color w:val="000000"/>
                <w:sz w:val="18"/>
                <w:szCs w:val="18"/>
              </w:rPr>
              <w:t xml:space="preserve">Goal </w:t>
            </w:r>
            <w:r>
              <w:rPr>
                <w:color w:val="000000"/>
                <w:sz w:val="18"/>
                <w:szCs w:val="18"/>
              </w:rPr>
              <w:t>1</w:t>
            </w:r>
            <w:r w:rsidRPr="00537201">
              <w:rPr>
                <w:color w:val="000000"/>
                <w:sz w:val="18"/>
                <w:szCs w:val="18"/>
              </w:rPr>
              <w:t xml:space="preserve">:  Prevent Terrorism and Promote the Nation’s Security </w:t>
            </w:r>
            <w:r>
              <w:rPr>
                <w:color w:val="000000"/>
                <w:sz w:val="18"/>
                <w:szCs w:val="18"/>
              </w:rPr>
              <w:t xml:space="preserve">Consistent with the Rule of Law </w:t>
            </w:r>
            <w:r w:rsidRPr="00537201">
              <w:rPr>
                <w:color w:val="000000"/>
                <w:sz w:val="18"/>
                <w:szCs w:val="18"/>
              </w:rPr>
              <w:t>(</w:t>
            </w:r>
            <w:r>
              <w:rPr>
                <w:color w:val="000000"/>
                <w:sz w:val="18"/>
                <w:szCs w:val="18"/>
              </w:rPr>
              <w:t>O</w:t>
            </w:r>
            <w:r w:rsidRPr="00537201">
              <w:rPr>
                <w:color w:val="000000"/>
                <w:sz w:val="18"/>
                <w:szCs w:val="18"/>
              </w:rPr>
              <w:t>bjectives</w:t>
            </w:r>
            <w:r>
              <w:rPr>
                <w:color w:val="000000"/>
                <w:sz w:val="18"/>
                <w:szCs w:val="18"/>
              </w:rPr>
              <w:t xml:space="preserve"> 1.1 and 1.3</w:t>
            </w:r>
            <w:proofErr w:type="gramStart"/>
            <w:r w:rsidRPr="00537201">
              <w:rPr>
                <w:color w:val="000000"/>
                <w:sz w:val="18"/>
                <w:szCs w:val="18"/>
              </w:rPr>
              <w:t>)</w:t>
            </w:r>
            <w:r>
              <w:rPr>
                <w:color w:val="000000"/>
                <w:sz w:val="18"/>
                <w:szCs w:val="18"/>
              </w:rPr>
              <w:t xml:space="preserve"> ,</w:t>
            </w:r>
            <w:proofErr w:type="gramEnd"/>
            <w:r>
              <w:rPr>
                <w:color w:val="000000"/>
                <w:sz w:val="18"/>
                <w:szCs w:val="18"/>
              </w:rPr>
              <w:t xml:space="preserve"> </w:t>
            </w:r>
            <w:r w:rsidRPr="00537201">
              <w:rPr>
                <w:color w:val="000000"/>
                <w:sz w:val="18"/>
                <w:szCs w:val="18"/>
              </w:rPr>
              <w:t xml:space="preserve">Goal </w:t>
            </w:r>
            <w:r>
              <w:rPr>
                <w:color w:val="000000"/>
                <w:sz w:val="18"/>
                <w:szCs w:val="18"/>
              </w:rPr>
              <w:t>2</w:t>
            </w:r>
            <w:r w:rsidRPr="00537201">
              <w:rPr>
                <w:color w:val="000000"/>
                <w:sz w:val="18"/>
                <w:szCs w:val="18"/>
              </w:rPr>
              <w:t xml:space="preserve">:  </w:t>
            </w:r>
            <w:r>
              <w:rPr>
                <w:color w:val="000000"/>
                <w:sz w:val="18"/>
                <w:szCs w:val="18"/>
              </w:rPr>
              <w:t>Prevent Crime, Protect the Rights of the American People, and Enforce Federal Law</w:t>
            </w:r>
            <w:r w:rsidRPr="00537201">
              <w:rPr>
                <w:color w:val="000000"/>
                <w:sz w:val="18"/>
                <w:szCs w:val="18"/>
              </w:rPr>
              <w:t xml:space="preserve"> (</w:t>
            </w:r>
            <w:r>
              <w:rPr>
                <w:color w:val="000000"/>
                <w:sz w:val="18"/>
                <w:szCs w:val="18"/>
              </w:rPr>
              <w:t>O</w:t>
            </w:r>
            <w:r w:rsidRPr="00537201">
              <w:rPr>
                <w:color w:val="000000"/>
                <w:sz w:val="18"/>
                <w:szCs w:val="18"/>
              </w:rPr>
              <w:t>bjectives</w:t>
            </w:r>
            <w:r>
              <w:rPr>
                <w:color w:val="000000"/>
                <w:sz w:val="18"/>
                <w:szCs w:val="18"/>
              </w:rPr>
              <w:t xml:space="preserve"> 2.1-2.5</w:t>
            </w:r>
            <w:r w:rsidRPr="00537201">
              <w:rPr>
                <w:color w:val="000000"/>
                <w:sz w:val="18"/>
                <w:szCs w:val="18"/>
              </w:rPr>
              <w:t>)</w:t>
            </w:r>
            <w:r>
              <w:rPr>
                <w:color w:val="000000"/>
                <w:sz w:val="18"/>
                <w:szCs w:val="18"/>
              </w:rPr>
              <w:t>,  and Goal 3: Ensure and Support the Fair, Impartial, Efficient, and Transparent Administration of Justice at the Federal, State, Local, Tribal and International Levels (Objective 3.1).</w:t>
            </w:r>
          </w:p>
        </w:tc>
      </w:tr>
      <w:tr w:rsidR="00F0004F" w:rsidRPr="00537201" w:rsidTr="00886A25">
        <w:trPr>
          <w:cantSplit/>
          <w:trHeight w:val="443"/>
          <w:jc w:val="center"/>
        </w:trPr>
        <w:tc>
          <w:tcPr>
            <w:tcW w:w="4130" w:type="dxa"/>
            <w:gridSpan w:val="2"/>
            <w:vMerge w:val="restart"/>
            <w:shd w:val="clear" w:color="auto" w:fill="auto"/>
            <w:vAlign w:val="center"/>
          </w:tcPr>
          <w:p w:rsidR="00F0004F" w:rsidRPr="00537201" w:rsidRDefault="00F0004F" w:rsidP="00F0004F">
            <w:pPr>
              <w:contextualSpacing/>
              <w:jc w:val="center"/>
              <w:rPr>
                <w:color w:val="000000"/>
                <w:sz w:val="18"/>
                <w:szCs w:val="18"/>
              </w:rPr>
            </w:pPr>
            <w:r w:rsidRPr="00537201">
              <w:rPr>
                <w:b/>
                <w:bCs/>
                <w:color w:val="000000"/>
                <w:sz w:val="18"/>
                <w:szCs w:val="18"/>
              </w:rPr>
              <w:t>WORKLOAD/ RESOURCES</w:t>
            </w:r>
          </w:p>
        </w:tc>
        <w:tc>
          <w:tcPr>
            <w:tcW w:w="1874" w:type="dxa"/>
            <w:gridSpan w:val="2"/>
            <w:tcBorders>
              <w:bottom w:val="single" w:sz="4" w:space="0" w:color="000000"/>
            </w:tcBorders>
            <w:shd w:val="clear" w:color="auto" w:fill="auto"/>
            <w:vAlign w:val="center"/>
          </w:tcPr>
          <w:p w:rsidR="00F0004F" w:rsidRPr="00537201" w:rsidRDefault="00F0004F" w:rsidP="00F0004F">
            <w:pPr>
              <w:contextualSpacing/>
              <w:jc w:val="center"/>
              <w:rPr>
                <w:b/>
                <w:bCs/>
                <w:sz w:val="16"/>
                <w:szCs w:val="16"/>
              </w:rPr>
            </w:pPr>
            <w:r w:rsidRPr="00C07527">
              <w:rPr>
                <w:b/>
                <w:bCs/>
                <w:sz w:val="16"/>
                <w:szCs w:val="16"/>
              </w:rPr>
              <w:t>Final Target</w:t>
            </w:r>
          </w:p>
        </w:tc>
        <w:tc>
          <w:tcPr>
            <w:tcW w:w="1874" w:type="dxa"/>
            <w:gridSpan w:val="2"/>
            <w:tcBorders>
              <w:bottom w:val="single" w:sz="4" w:space="0" w:color="000000"/>
            </w:tcBorders>
            <w:shd w:val="clear" w:color="auto" w:fill="auto"/>
            <w:vAlign w:val="center"/>
          </w:tcPr>
          <w:p w:rsidR="00F0004F" w:rsidRPr="00440991" w:rsidRDefault="00F0004F" w:rsidP="00F0004F">
            <w:pPr>
              <w:contextualSpacing/>
              <w:jc w:val="center"/>
              <w:rPr>
                <w:b/>
                <w:bCs/>
                <w:sz w:val="16"/>
                <w:szCs w:val="16"/>
              </w:rPr>
            </w:pPr>
            <w:r w:rsidRPr="00440991">
              <w:rPr>
                <w:b/>
                <w:bCs/>
                <w:sz w:val="16"/>
                <w:szCs w:val="16"/>
              </w:rPr>
              <w:t>Actual</w:t>
            </w:r>
          </w:p>
        </w:tc>
        <w:tc>
          <w:tcPr>
            <w:tcW w:w="1874" w:type="dxa"/>
            <w:gridSpan w:val="2"/>
            <w:tcBorders>
              <w:bottom w:val="single" w:sz="4" w:space="0" w:color="000000"/>
            </w:tcBorders>
            <w:shd w:val="clear" w:color="auto" w:fill="auto"/>
            <w:vAlign w:val="center"/>
          </w:tcPr>
          <w:p w:rsidR="00F0004F" w:rsidRPr="003A622B" w:rsidRDefault="00F0004F" w:rsidP="00F0004F">
            <w:pPr>
              <w:contextualSpacing/>
              <w:jc w:val="center"/>
              <w:rPr>
                <w:b/>
                <w:bCs/>
                <w:sz w:val="16"/>
                <w:szCs w:val="16"/>
              </w:rPr>
            </w:pPr>
            <w:r w:rsidRPr="003A622B">
              <w:rPr>
                <w:b/>
                <w:bCs/>
                <w:sz w:val="16"/>
                <w:szCs w:val="16"/>
              </w:rPr>
              <w:t xml:space="preserve">Projected                 </w:t>
            </w:r>
          </w:p>
        </w:tc>
        <w:tc>
          <w:tcPr>
            <w:tcW w:w="1874" w:type="dxa"/>
            <w:gridSpan w:val="2"/>
            <w:tcBorders>
              <w:bottom w:val="single" w:sz="4" w:space="0" w:color="000000"/>
            </w:tcBorders>
            <w:shd w:val="clear" w:color="auto" w:fill="auto"/>
            <w:vAlign w:val="center"/>
          </w:tcPr>
          <w:p w:rsidR="00F0004F" w:rsidRPr="003A622B" w:rsidRDefault="00F0004F" w:rsidP="00F0004F">
            <w:pPr>
              <w:contextualSpacing/>
              <w:jc w:val="center"/>
              <w:rPr>
                <w:b/>
                <w:bCs/>
                <w:sz w:val="16"/>
                <w:szCs w:val="16"/>
              </w:rPr>
            </w:pPr>
            <w:r w:rsidRPr="003A622B">
              <w:rPr>
                <w:b/>
                <w:bCs/>
                <w:sz w:val="16"/>
                <w:szCs w:val="16"/>
              </w:rPr>
              <w:t xml:space="preserve">Changes                      </w:t>
            </w:r>
          </w:p>
        </w:tc>
        <w:tc>
          <w:tcPr>
            <w:tcW w:w="1874" w:type="dxa"/>
            <w:gridSpan w:val="2"/>
            <w:tcBorders>
              <w:bottom w:val="single" w:sz="4" w:space="0" w:color="000000"/>
            </w:tcBorders>
            <w:shd w:val="clear" w:color="auto" w:fill="auto"/>
            <w:vAlign w:val="center"/>
          </w:tcPr>
          <w:p w:rsidR="00F0004F" w:rsidRPr="003A622B" w:rsidRDefault="00F0004F" w:rsidP="00F0004F">
            <w:pPr>
              <w:contextualSpacing/>
              <w:jc w:val="center"/>
              <w:rPr>
                <w:sz w:val="16"/>
                <w:szCs w:val="16"/>
              </w:rPr>
            </w:pPr>
            <w:r w:rsidRPr="003A622B">
              <w:rPr>
                <w:b/>
                <w:bCs/>
                <w:sz w:val="16"/>
                <w:szCs w:val="16"/>
              </w:rPr>
              <w:t xml:space="preserve">Requested (Total) </w:t>
            </w:r>
          </w:p>
        </w:tc>
      </w:tr>
      <w:tr w:rsidR="00F0004F" w:rsidRPr="00537201" w:rsidTr="00886A25">
        <w:trPr>
          <w:cantSplit/>
          <w:trHeight w:val="692"/>
          <w:jc w:val="center"/>
        </w:trPr>
        <w:tc>
          <w:tcPr>
            <w:tcW w:w="4130" w:type="dxa"/>
            <w:gridSpan w:val="2"/>
            <w:vMerge/>
            <w:shd w:val="clear" w:color="auto" w:fill="auto"/>
          </w:tcPr>
          <w:p w:rsidR="00F0004F" w:rsidRPr="00537201" w:rsidRDefault="00F0004F" w:rsidP="00F0004F">
            <w:pPr>
              <w:contextualSpacing/>
              <w:jc w:val="both"/>
              <w:rPr>
                <w:color w:val="000000"/>
                <w:sz w:val="18"/>
                <w:szCs w:val="18"/>
              </w:rPr>
            </w:pPr>
          </w:p>
        </w:tc>
        <w:tc>
          <w:tcPr>
            <w:tcW w:w="1874" w:type="dxa"/>
            <w:gridSpan w:val="2"/>
            <w:tcBorders>
              <w:bottom w:val="single" w:sz="4" w:space="0" w:color="000000"/>
            </w:tcBorders>
            <w:shd w:val="clear" w:color="auto" w:fill="FFAC99"/>
            <w:vAlign w:val="center"/>
          </w:tcPr>
          <w:p w:rsidR="00F0004F" w:rsidRPr="00537201" w:rsidRDefault="00F0004F" w:rsidP="00F0004F">
            <w:pPr>
              <w:contextualSpacing/>
              <w:jc w:val="center"/>
              <w:rPr>
                <w:b/>
                <w:bCs/>
                <w:sz w:val="16"/>
                <w:szCs w:val="16"/>
              </w:rPr>
            </w:pPr>
            <w:r w:rsidRPr="00C07527">
              <w:rPr>
                <w:b/>
                <w:bCs/>
                <w:sz w:val="16"/>
                <w:szCs w:val="16"/>
              </w:rPr>
              <w:t xml:space="preserve">FY </w:t>
            </w:r>
            <w:r>
              <w:rPr>
                <w:b/>
                <w:bCs/>
                <w:sz w:val="16"/>
                <w:szCs w:val="16"/>
              </w:rPr>
              <w:t>2011</w:t>
            </w:r>
          </w:p>
        </w:tc>
        <w:tc>
          <w:tcPr>
            <w:tcW w:w="1874" w:type="dxa"/>
            <w:gridSpan w:val="2"/>
            <w:tcBorders>
              <w:bottom w:val="single" w:sz="4" w:space="0" w:color="000000"/>
            </w:tcBorders>
            <w:shd w:val="clear" w:color="auto" w:fill="FFAC99"/>
            <w:vAlign w:val="center"/>
          </w:tcPr>
          <w:p w:rsidR="00F0004F" w:rsidRPr="00537201" w:rsidRDefault="00F0004F" w:rsidP="00F0004F">
            <w:pPr>
              <w:contextualSpacing/>
              <w:jc w:val="center"/>
              <w:rPr>
                <w:b/>
                <w:bCs/>
                <w:sz w:val="16"/>
                <w:szCs w:val="16"/>
              </w:rPr>
            </w:pPr>
            <w:r w:rsidRPr="00C07527">
              <w:rPr>
                <w:b/>
                <w:bCs/>
                <w:sz w:val="16"/>
                <w:szCs w:val="16"/>
              </w:rPr>
              <w:t xml:space="preserve">FY </w:t>
            </w:r>
            <w:r>
              <w:rPr>
                <w:b/>
                <w:bCs/>
                <w:sz w:val="16"/>
                <w:szCs w:val="16"/>
              </w:rPr>
              <w:t>2011</w:t>
            </w:r>
          </w:p>
        </w:tc>
        <w:tc>
          <w:tcPr>
            <w:tcW w:w="1874" w:type="dxa"/>
            <w:gridSpan w:val="2"/>
            <w:tcBorders>
              <w:bottom w:val="single" w:sz="4" w:space="0" w:color="000000"/>
            </w:tcBorders>
            <w:shd w:val="clear" w:color="auto" w:fill="FFAC99"/>
            <w:vAlign w:val="center"/>
          </w:tcPr>
          <w:p w:rsidR="00F0004F" w:rsidRDefault="00F0004F" w:rsidP="00F0004F">
            <w:pPr>
              <w:contextualSpacing/>
              <w:jc w:val="center"/>
              <w:rPr>
                <w:rFonts w:asciiTheme="majorHAnsi" w:hAnsiTheme="majorHAnsi" w:cstheme="majorBidi"/>
                <w:b/>
                <w:bCs/>
                <w:i/>
                <w:iCs/>
                <w:color w:val="4F81BD" w:themeColor="accent1"/>
                <w:sz w:val="16"/>
                <w:szCs w:val="16"/>
              </w:rPr>
            </w:pPr>
            <w:r>
              <w:rPr>
                <w:b/>
                <w:bCs/>
                <w:sz w:val="16"/>
                <w:szCs w:val="16"/>
              </w:rPr>
              <w:t>FY 2012 Projected</w:t>
            </w:r>
          </w:p>
        </w:tc>
        <w:tc>
          <w:tcPr>
            <w:tcW w:w="1874" w:type="dxa"/>
            <w:gridSpan w:val="2"/>
            <w:tcBorders>
              <w:bottom w:val="single" w:sz="4" w:space="0" w:color="000000"/>
            </w:tcBorders>
            <w:shd w:val="clear" w:color="auto" w:fill="FFAC99"/>
            <w:vAlign w:val="center"/>
          </w:tcPr>
          <w:p w:rsidR="00F0004F" w:rsidRDefault="00F0004F" w:rsidP="00F0004F">
            <w:pPr>
              <w:contextualSpacing/>
              <w:jc w:val="center"/>
              <w:rPr>
                <w:b/>
                <w:bCs/>
                <w:sz w:val="16"/>
                <w:szCs w:val="16"/>
              </w:rPr>
            </w:pPr>
            <w:r w:rsidRPr="00C07527">
              <w:rPr>
                <w:b/>
                <w:bCs/>
                <w:sz w:val="16"/>
                <w:szCs w:val="16"/>
              </w:rPr>
              <w:t>Curre</w:t>
            </w:r>
            <w:r>
              <w:rPr>
                <w:b/>
                <w:bCs/>
                <w:sz w:val="16"/>
                <w:szCs w:val="16"/>
              </w:rPr>
              <w:t xml:space="preserve">nt Services Adjustments &amp; </w:t>
            </w:r>
          </w:p>
          <w:p w:rsidR="00F0004F" w:rsidRPr="00537201" w:rsidRDefault="00F0004F" w:rsidP="00F0004F">
            <w:pPr>
              <w:contextualSpacing/>
              <w:jc w:val="center"/>
              <w:rPr>
                <w:b/>
                <w:bCs/>
                <w:sz w:val="16"/>
                <w:szCs w:val="16"/>
              </w:rPr>
            </w:pPr>
            <w:r>
              <w:rPr>
                <w:b/>
                <w:bCs/>
                <w:sz w:val="16"/>
                <w:szCs w:val="16"/>
              </w:rPr>
              <w:t>FY</w:t>
            </w:r>
            <w:r w:rsidR="00D107D4">
              <w:rPr>
                <w:b/>
                <w:bCs/>
                <w:sz w:val="16"/>
                <w:szCs w:val="16"/>
              </w:rPr>
              <w:t xml:space="preserve"> </w:t>
            </w:r>
            <w:r>
              <w:rPr>
                <w:b/>
                <w:bCs/>
                <w:sz w:val="16"/>
                <w:szCs w:val="16"/>
              </w:rPr>
              <w:t>2013</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874" w:type="dxa"/>
            <w:gridSpan w:val="2"/>
            <w:tcBorders>
              <w:bottom w:val="single" w:sz="4" w:space="0" w:color="000000"/>
            </w:tcBorders>
            <w:shd w:val="clear" w:color="auto" w:fill="FFAC99"/>
            <w:vAlign w:val="center"/>
          </w:tcPr>
          <w:p w:rsidR="00F0004F" w:rsidRPr="00537201" w:rsidRDefault="00F0004F" w:rsidP="00F0004F">
            <w:pPr>
              <w:contextualSpacing/>
              <w:jc w:val="center"/>
              <w:rPr>
                <w:b/>
                <w:bCs/>
                <w:sz w:val="16"/>
                <w:szCs w:val="16"/>
              </w:rPr>
            </w:pPr>
            <w:r w:rsidRPr="00C07527">
              <w:rPr>
                <w:b/>
                <w:bCs/>
                <w:sz w:val="16"/>
                <w:szCs w:val="16"/>
              </w:rPr>
              <w:t>FY 20</w:t>
            </w:r>
            <w:r>
              <w:rPr>
                <w:b/>
                <w:bCs/>
                <w:sz w:val="16"/>
                <w:szCs w:val="16"/>
              </w:rPr>
              <w:t>13</w:t>
            </w:r>
            <w:r w:rsidRPr="00C07527">
              <w:rPr>
                <w:b/>
                <w:bCs/>
                <w:sz w:val="16"/>
                <w:szCs w:val="16"/>
              </w:rPr>
              <w:t xml:space="preserve"> Request</w:t>
            </w:r>
          </w:p>
        </w:tc>
      </w:tr>
      <w:tr w:rsidR="00F0004F" w:rsidRPr="00E80CBA" w:rsidTr="00886A25">
        <w:trPr>
          <w:cantSplit/>
          <w:trHeight w:val="110"/>
          <w:jc w:val="center"/>
        </w:trPr>
        <w:tc>
          <w:tcPr>
            <w:tcW w:w="4130" w:type="dxa"/>
            <w:gridSpan w:val="2"/>
            <w:vMerge w:val="restart"/>
            <w:shd w:val="clear" w:color="auto" w:fill="auto"/>
            <w:vAlign w:val="center"/>
          </w:tcPr>
          <w:p w:rsidR="00F0004F" w:rsidRPr="00E80CBA" w:rsidRDefault="00F0004F" w:rsidP="00F0004F">
            <w:pPr>
              <w:contextualSpacing/>
              <w:rPr>
                <w:color w:val="000000"/>
                <w:sz w:val="16"/>
                <w:szCs w:val="16"/>
              </w:rPr>
            </w:pPr>
            <w:r w:rsidRPr="00E80CBA">
              <w:rPr>
                <w:b/>
                <w:bCs/>
                <w:color w:val="000000"/>
                <w:sz w:val="16"/>
                <w:szCs w:val="16"/>
              </w:rPr>
              <w:t xml:space="preserve">Total Costs and </w:t>
            </w:r>
            <w:smartTag w:uri="urn:schemas-microsoft-com:office:smarttags" w:element="stockticker">
              <w:r w:rsidRPr="00E80CBA">
                <w:rPr>
                  <w:b/>
                  <w:bCs/>
                  <w:color w:val="000000"/>
                  <w:sz w:val="16"/>
                  <w:szCs w:val="16"/>
                </w:rPr>
                <w:t>FTE</w:t>
              </w:r>
            </w:smartTag>
          </w:p>
        </w:tc>
        <w:tc>
          <w:tcPr>
            <w:tcW w:w="937" w:type="dxa"/>
            <w:shd w:val="clear" w:color="auto" w:fill="FFFFCC"/>
            <w:vAlign w:val="center"/>
          </w:tcPr>
          <w:p w:rsidR="00F0004F" w:rsidRPr="00E80CBA" w:rsidRDefault="00F0004F" w:rsidP="00F0004F">
            <w:pPr>
              <w:contextualSpacing/>
              <w:jc w:val="center"/>
              <w:rPr>
                <w:b/>
                <w:bCs/>
                <w:color w:val="000000"/>
                <w:sz w:val="16"/>
                <w:szCs w:val="16"/>
              </w:rPr>
            </w:pPr>
            <w:smartTag w:uri="urn:schemas-microsoft-com:office:smarttags" w:element="stockticker">
              <w:r w:rsidRPr="00E80CBA">
                <w:rPr>
                  <w:b/>
                  <w:bCs/>
                  <w:color w:val="000000"/>
                  <w:sz w:val="16"/>
                  <w:szCs w:val="16"/>
                </w:rPr>
                <w:t>FTE</w:t>
              </w:r>
            </w:smartTag>
          </w:p>
        </w:tc>
        <w:tc>
          <w:tcPr>
            <w:tcW w:w="937" w:type="dxa"/>
            <w:shd w:val="clear" w:color="auto" w:fill="FFFFCC"/>
            <w:vAlign w:val="center"/>
          </w:tcPr>
          <w:p w:rsidR="00F0004F" w:rsidRPr="00E80CBA" w:rsidRDefault="00F0004F" w:rsidP="00F0004F">
            <w:pPr>
              <w:contextualSpacing/>
              <w:jc w:val="center"/>
              <w:rPr>
                <w:b/>
                <w:bCs/>
                <w:color w:val="000000"/>
                <w:sz w:val="16"/>
                <w:szCs w:val="16"/>
              </w:rPr>
            </w:pPr>
            <w:r w:rsidRPr="00E80CBA">
              <w:rPr>
                <w:b/>
                <w:bCs/>
                <w:color w:val="000000"/>
                <w:sz w:val="16"/>
                <w:szCs w:val="16"/>
              </w:rPr>
              <w:t>$000</w:t>
            </w:r>
          </w:p>
        </w:tc>
        <w:tc>
          <w:tcPr>
            <w:tcW w:w="937" w:type="dxa"/>
            <w:shd w:val="clear" w:color="auto" w:fill="FFFFCC"/>
            <w:vAlign w:val="center"/>
          </w:tcPr>
          <w:p w:rsidR="00F0004F" w:rsidRPr="00E80CBA" w:rsidRDefault="00F0004F" w:rsidP="00F0004F">
            <w:pPr>
              <w:contextualSpacing/>
              <w:jc w:val="center"/>
              <w:rPr>
                <w:b/>
                <w:bCs/>
                <w:color w:val="000000"/>
                <w:sz w:val="16"/>
                <w:szCs w:val="16"/>
              </w:rPr>
            </w:pPr>
            <w:smartTag w:uri="urn:schemas-microsoft-com:office:smarttags" w:element="stockticker">
              <w:r w:rsidRPr="00E80CBA">
                <w:rPr>
                  <w:b/>
                  <w:bCs/>
                  <w:color w:val="000000"/>
                  <w:sz w:val="16"/>
                  <w:szCs w:val="16"/>
                </w:rPr>
                <w:t>FTE</w:t>
              </w:r>
            </w:smartTag>
          </w:p>
        </w:tc>
        <w:tc>
          <w:tcPr>
            <w:tcW w:w="937" w:type="dxa"/>
            <w:shd w:val="clear" w:color="auto" w:fill="FFFFCC"/>
            <w:vAlign w:val="center"/>
          </w:tcPr>
          <w:p w:rsidR="00F0004F" w:rsidRPr="00E80CBA" w:rsidRDefault="00F0004F" w:rsidP="00F0004F">
            <w:pPr>
              <w:contextualSpacing/>
              <w:jc w:val="center"/>
              <w:rPr>
                <w:b/>
                <w:bCs/>
                <w:color w:val="000000"/>
                <w:sz w:val="16"/>
                <w:szCs w:val="16"/>
              </w:rPr>
            </w:pPr>
            <w:r w:rsidRPr="00E80CBA">
              <w:rPr>
                <w:b/>
                <w:bCs/>
                <w:color w:val="000000"/>
                <w:sz w:val="16"/>
                <w:szCs w:val="16"/>
              </w:rPr>
              <w:t>$000</w:t>
            </w:r>
          </w:p>
        </w:tc>
        <w:tc>
          <w:tcPr>
            <w:tcW w:w="937" w:type="dxa"/>
            <w:shd w:val="clear" w:color="auto" w:fill="FFFFCC"/>
            <w:vAlign w:val="center"/>
          </w:tcPr>
          <w:p w:rsidR="00F0004F" w:rsidRPr="00E80CBA" w:rsidRDefault="00F0004F" w:rsidP="00F0004F">
            <w:pPr>
              <w:contextualSpacing/>
              <w:jc w:val="center"/>
              <w:rPr>
                <w:b/>
                <w:bCs/>
                <w:color w:val="000000"/>
                <w:sz w:val="16"/>
                <w:szCs w:val="16"/>
              </w:rPr>
            </w:pPr>
            <w:smartTag w:uri="urn:schemas-microsoft-com:office:smarttags" w:element="stockticker">
              <w:r w:rsidRPr="00E80CBA">
                <w:rPr>
                  <w:b/>
                  <w:bCs/>
                  <w:color w:val="000000"/>
                  <w:sz w:val="16"/>
                  <w:szCs w:val="16"/>
                </w:rPr>
                <w:t>FTE</w:t>
              </w:r>
            </w:smartTag>
          </w:p>
        </w:tc>
        <w:tc>
          <w:tcPr>
            <w:tcW w:w="937" w:type="dxa"/>
            <w:shd w:val="clear" w:color="auto" w:fill="FFFFCC"/>
            <w:vAlign w:val="center"/>
          </w:tcPr>
          <w:p w:rsidR="00F0004F" w:rsidRPr="00E80CBA" w:rsidRDefault="00F0004F" w:rsidP="00F0004F">
            <w:pPr>
              <w:contextualSpacing/>
              <w:jc w:val="center"/>
              <w:rPr>
                <w:b/>
                <w:bCs/>
                <w:color w:val="000000"/>
                <w:sz w:val="16"/>
                <w:szCs w:val="16"/>
              </w:rPr>
            </w:pPr>
            <w:r w:rsidRPr="00E80CBA">
              <w:rPr>
                <w:b/>
                <w:bCs/>
                <w:color w:val="000000"/>
                <w:sz w:val="16"/>
                <w:szCs w:val="16"/>
              </w:rPr>
              <w:t>$000</w:t>
            </w:r>
          </w:p>
        </w:tc>
        <w:tc>
          <w:tcPr>
            <w:tcW w:w="937" w:type="dxa"/>
            <w:shd w:val="clear" w:color="auto" w:fill="FFFFCC"/>
            <w:vAlign w:val="center"/>
          </w:tcPr>
          <w:p w:rsidR="00F0004F" w:rsidRPr="00E80CBA" w:rsidRDefault="00F0004F" w:rsidP="00F0004F">
            <w:pPr>
              <w:contextualSpacing/>
              <w:jc w:val="center"/>
              <w:rPr>
                <w:b/>
                <w:bCs/>
                <w:color w:val="000000"/>
                <w:sz w:val="16"/>
                <w:szCs w:val="16"/>
              </w:rPr>
            </w:pPr>
            <w:smartTag w:uri="urn:schemas-microsoft-com:office:smarttags" w:element="stockticker">
              <w:r w:rsidRPr="00E80CBA">
                <w:rPr>
                  <w:b/>
                  <w:bCs/>
                  <w:color w:val="000000"/>
                  <w:sz w:val="16"/>
                  <w:szCs w:val="16"/>
                </w:rPr>
                <w:t>FTE</w:t>
              </w:r>
            </w:smartTag>
          </w:p>
        </w:tc>
        <w:tc>
          <w:tcPr>
            <w:tcW w:w="937" w:type="dxa"/>
            <w:shd w:val="clear" w:color="auto" w:fill="FFFFCC"/>
            <w:vAlign w:val="center"/>
          </w:tcPr>
          <w:p w:rsidR="00F0004F" w:rsidRPr="00E80CBA" w:rsidRDefault="00F0004F" w:rsidP="00F0004F">
            <w:pPr>
              <w:contextualSpacing/>
              <w:jc w:val="center"/>
              <w:rPr>
                <w:b/>
                <w:bCs/>
                <w:color w:val="000000"/>
                <w:sz w:val="16"/>
                <w:szCs w:val="16"/>
              </w:rPr>
            </w:pPr>
            <w:r w:rsidRPr="00E80CBA">
              <w:rPr>
                <w:b/>
                <w:bCs/>
                <w:color w:val="000000"/>
                <w:sz w:val="16"/>
                <w:szCs w:val="16"/>
              </w:rPr>
              <w:t>$000</w:t>
            </w:r>
          </w:p>
        </w:tc>
        <w:tc>
          <w:tcPr>
            <w:tcW w:w="937" w:type="dxa"/>
            <w:shd w:val="clear" w:color="auto" w:fill="FFFFCC"/>
            <w:vAlign w:val="center"/>
          </w:tcPr>
          <w:p w:rsidR="00F0004F" w:rsidRPr="00E80CBA" w:rsidRDefault="00F0004F" w:rsidP="00F0004F">
            <w:pPr>
              <w:contextualSpacing/>
              <w:jc w:val="center"/>
              <w:rPr>
                <w:b/>
                <w:bCs/>
                <w:color w:val="000000"/>
                <w:sz w:val="16"/>
                <w:szCs w:val="16"/>
              </w:rPr>
            </w:pPr>
            <w:smartTag w:uri="urn:schemas-microsoft-com:office:smarttags" w:element="stockticker">
              <w:r w:rsidRPr="00E80CBA">
                <w:rPr>
                  <w:b/>
                  <w:bCs/>
                  <w:color w:val="000000"/>
                  <w:sz w:val="16"/>
                  <w:szCs w:val="16"/>
                </w:rPr>
                <w:t>FTE</w:t>
              </w:r>
            </w:smartTag>
          </w:p>
        </w:tc>
        <w:tc>
          <w:tcPr>
            <w:tcW w:w="937" w:type="dxa"/>
            <w:shd w:val="clear" w:color="auto" w:fill="FFFFCC"/>
            <w:vAlign w:val="center"/>
          </w:tcPr>
          <w:p w:rsidR="00F0004F" w:rsidRPr="00E80CBA" w:rsidRDefault="00F0004F" w:rsidP="00F0004F">
            <w:pPr>
              <w:contextualSpacing/>
              <w:jc w:val="center"/>
              <w:rPr>
                <w:b/>
                <w:bCs/>
                <w:color w:val="000000"/>
                <w:sz w:val="16"/>
                <w:szCs w:val="16"/>
              </w:rPr>
            </w:pPr>
            <w:r w:rsidRPr="00E80CBA">
              <w:rPr>
                <w:b/>
                <w:bCs/>
                <w:color w:val="000000"/>
                <w:sz w:val="16"/>
                <w:szCs w:val="16"/>
              </w:rPr>
              <w:t>$000</w:t>
            </w:r>
          </w:p>
        </w:tc>
      </w:tr>
      <w:tr w:rsidR="00F0004F" w:rsidRPr="00E80CBA" w:rsidTr="00D107D4">
        <w:trPr>
          <w:cantSplit/>
          <w:trHeight w:val="77"/>
          <w:jc w:val="center"/>
        </w:trPr>
        <w:tc>
          <w:tcPr>
            <w:tcW w:w="4130" w:type="dxa"/>
            <w:gridSpan w:val="2"/>
            <w:vMerge/>
            <w:shd w:val="clear" w:color="auto" w:fill="auto"/>
            <w:vAlign w:val="center"/>
          </w:tcPr>
          <w:p w:rsidR="00F0004F" w:rsidRPr="00E80CBA" w:rsidRDefault="00F0004F" w:rsidP="00F0004F">
            <w:pPr>
              <w:contextualSpacing/>
              <w:rPr>
                <w:color w:val="000000"/>
                <w:sz w:val="16"/>
                <w:szCs w:val="16"/>
              </w:rPr>
            </w:pP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sidRPr="00891B01">
              <w:rPr>
                <w:sz w:val="16"/>
                <w:szCs w:val="16"/>
              </w:rPr>
              <w:t>6,684</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sidRPr="00891B01">
              <w:rPr>
                <w:sz w:val="16"/>
                <w:szCs w:val="16"/>
              </w:rPr>
              <w:t>1,556,434</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Pr>
                <w:sz w:val="16"/>
                <w:szCs w:val="16"/>
              </w:rPr>
              <w:t>6,473</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sidRPr="00891B01">
              <w:rPr>
                <w:sz w:val="16"/>
                <w:szCs w:val="16"/>
              </w:rPr>
              <w:t>1,231,000</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Pr>
                <w:sz w:val="16"/>
                <w:szCs w:val="16"/>
              </w:rPr>
              <w:t>7,055</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sidRPr="00891B01">
              <w:rPr>
                <w:sz w:val="16"/>
                <w:szCs w:val="16"/>
              </w:rPr>
              <w:t>1,</w:t>
            </w:r>
            <w:r>
              <w:rPr>
                <w:sz w:val="16"/>
                <w:szCs w:val="16"/>
              </w:rPr>
              <w:t>683,508</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sidRPr="00891B01">
              <w:rPr>
                <w:sz w:val="16"/>
                <w:szCs w:val="16"/>
              </w:rPr>
              <w:t>1</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Pr>
                <w:sz w:val="16"/>
                <w:szCs w:val="16"/>
              </w:rPr>
              <w:t>98</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Pr>
                <w:sz w:val="16"/>
                <w:szCs w:val="16"/>
              </w:rPr>
              <w:t>7,056</w:t>
            </w:r>
          </w:p>
        </w:tc>
        <w:tc>
          <w:tcPr>
            <w:tcW w:w="937" w:type="dxa"/>
            <w:tcBorders>
              <w:bottom w:val="single" w:sz="4" w:space="0" w:color="000000"/>
            </w:tcBorders>
            <w:shd w:val="clear" w:color="auto" w:fill="auto"/>
            <w:vAlign w:val="center"/>
          </w:tcPr>
          <w:p w:rsidR="00F0004F" w:rsidRPr="00891B01" w:rsidRDefault="00F0004F" w:rsidP="00F0004F">
            <w:pPr>
              <w:contextualSpacing/>
              <w:jc w:val="center"/>
              <w:rPr>
                <w:sz w:val="16"/>
                <w:szCs w:val="16"/>
              </w:rPr>
            </w:pPr>
            <w:r>
              <w:rPr>
                <w:sz w:val="16"/>
                <w:szCs w:val="16"/>
              </w:rPr>
              <w:t>1,683,606</w:t>
            </w:r>
          </w:p>
        </w:tc>
      </w:tr>
      <w:tr w:rsidR="00F0004F" w:rsidRPr="00537201" w:rsidTr="00D107D4">
        <w:trPr>
          <w:cantSplit/>
          <w:trHeight w:val="480"/>
          <w:jc w:val="center"/>
        </w:trPr>
        <w:tc>
          <w:tcPr>
            <w:tcW w:w="1620" w:type="dxa"/>
            <w:shd w:val="clear" w:color="auto" w:fill="auto"/>
            <w:vAlign w:val="center"/>
          </w:tcPr>
          <w:p w:rsidR="00F0004F" w:rsidRPr="00537201" w:rsidRDefault="00F0004F" w:rsidP="00F0004F">
            <w:pPr>
              <w:tabs>
                <w:tab w:val="left" w:pos="-1440"/>
              </w:tabs>
              <w:contextualSpacing/>
              <w:rPr>
                <w:b/>
                <w:bCs/>
                <w:color w:val="000000"/>
                <w:sz w:val="16"/>
                <w:szCs w:val="16"/>
              </w:rPr>
            </w:pPr>
            <w:r>
              <w:rPr>
                <w:b/>
                <w:bCs/>
                <w:color w:val="000000"/>
                <w:sz w:val="16"/>
                <w:szCs w:val="16"/>
              </w:rPr>
              <w:t>TYPE /</w:t>
            </w:r>
          </w:p>
          <w:p w:rsidR="00F0004F" w:rsidRPr="00537201" w:rsidRDefault="00F0004F" w:rsidP="00F0004F">
            <w:pPr>
              <w:tabs>
                <w:tab w:val="left" w:pos="-1440"/>
              </w:tabs>
              <w:contextualSpacing/>
              <w:rPr>
                <w:color w:val="000000"/>
                <w:sz w:val="16"/>
                <w:szCs w:val="16"/>
              </w:rPr>
            </w:pPr>
            <w:r w:rsidRPr="00537201">
              <w:rPr>
                <w:b/>
                <w:bCs/>
                <w:color w:val="000000"/>
                <w:sz w:val="16"/>
                <w:szCs w:val="16"/>
              </w:rPr>
              <w:t>STRATEGIC OBJECTIVE</w:t>
            </w:r>
          </w:p>
        </w:tc>
        <w:tc>
          <w:tcPr>
            <w:tcW w:w="2510" w:type="dxa"/>
            <w:shd w:val="clear" w:color="auto" w:fill="auto"/>
            <w:vAlign w:val="center"/>
          </w:tcPr>
          <w:p w:rsidR="00F0004F" w:rsidRPr="00537201" w:rsidRDefault="00F0004F" w:rsidP="00F0004F">
            <w:pPr>
              <w:contextualSpacing/>
              <w:jc w:val="center"/>
              <w:rPr>
                <w:b/>
                <w:bCs/>
                <w:sz w:val="16"/>
                <w:szCs w:val="16"/>
              </w:rPr>
            </w:pPr>
          </w:p>
        </w:tc>
        <w:tc>
          <w:tcPr>
            <w:tcW w:w="1874" w:type="dxa"/>
            <w:gridSpan w:val="2"/>
            <w:shd w:val="clear" w:color="auto" w:fill="FFAC99"/>
            <w:vAlign w:val="center"/>
          </w:tcPr>
          <w:p w:rsidR="00F0004F" w:rsidRPr="00537201" w:rsidRDefault="00F0004F" w:rsidP="00F0004F">
            <w:pPr>
              <w:contextualSpacing/>
              <w:jc w:val="center"/>
              <w:rPr>
                <w:b/>
                <w:bCs/>
                <w:sz w:val="16"/>
                <w:szCs w:val="16"/>
              </w:rPr>
            </w:pPr>
            <w:r w:rsidRPr="00C07527">
              <w:rPr>
                <w:b/>
                <w:bCs/>
                <w:sz w:val="16"/>
                <w:szCs w:val="16"/>
              </w:rPr>
              <w:t xml:space="preserve">FY </w:t>
            </w:r>
            <w:r>
              <w:rPr>
                <w:b/>
                <w:bCs/>
                <w:sz w:val="16"/>
                <w:szCs w:val="16"/>
              </w:rPr>
              <w:t>2011</w:t>
            </w:r>
          </w:p>
        </w:tc>
        <w:tc>
          <w:tcPr>
            <w:tcW w:w="1874" w:type="dxa"/>
            <w:gridSpan w:val="2"/>
            <w:shd w:val="clear" w:color="auto" w:fill="FFAC99"/>
            <w:vAlign w:val="center"/>
          </w:tcPr>
          <w:p w:rsidR="00F0004F" w:rsidRPr="00537201" w:rsidRDefault="00F0004F" w:rsidP="00F0004F">
            <w:pPr>
              <w:contextualSpacing/>
              <w:jc w:val="center"/>
              <w:rPr>
                <w:b/>
                <w:bCs/>
                <w:sz w:val="16"/>
                <w:szCs w:val="16"/>
              </w:rPr>
            </w:pPr>
            <w:r w:rsidRPr="00C07527">
              <w:rPr>
                <w:b/>
                <w:bCs/>
                <w:sz w:val="16"/>
                <w:szCs w:val="16"/>
              </w:rPr>
              <w:t xml:space="preserve">FY </w:t>
            </w:r>
            <w:r>
              <w:rPr>
                <w:b/>
                <w:bCs/>
                <w:sz w:val="16"/>
                <w:szCs w:val="16"/>
              </w:rPr>
              <w:t>2011</w:t>
            </w:r>
          </w:p>
        </w:tc>
        <w:tc>
          <w:tcPr>
            <w:tcW w:w="1874" w:type="dxa"/>
            <w:gridSpan w:val="2"/>
            <w:shd w:val="clear" w:color="auto" w:fill="FFAC99"/>
            <w:vAlign w:val="center"/>
          </w:tcPr>
          <w:p w:rsidR="00F0004F" w:rsidRPr="00537201" w:rsidRDefault="00F0004F" w:rsidP="00F0004F">
            <w:pPr>
              <w:contextualSpacing/>
              <w:jc w:val="center"/>
              <w:rPr>
                <w:b/>
                <w:bCs/>
                <w:sz w:val="16"/>
                <w:szCs w:val="16"/>
              </w:rPr>
            </w:pPr>
            <w:r>
              <w:rPr>
                <w:b/>
                <w:bCs/>
                <w:sz w:val="16"/>
                <w:szCs w:val="16"/>
              </w:rPr>
              <w:t>FY 2012 Current Rate</w:t>
            </w:r>
          </w:p>
        </w:tc>
        <w:tc>
          <w:tcPr>
            <w:tcW w:w="1874" w:type="dxa"/>
            <w:gridSpan w:val="2"/>
            <w:shd w:val="clear" w:color="auto" w:fill="FFAC99"/>
            <w:vAlign w:val="center"/>
          </w:tcPr>
          <w:p w:rsidR="00F0004F" w:rsidRPr="00537201" w:rsidRDefault="00F0004F" w:rsidP="00F0004F">
            <w:pPr>
              <w:contextualSpacing/>
              <w:jc w:val="center"/>
              <w:rPr>
                <w:b/>
                <w:bCs/>
                <w:sz w:val="16"/>
                <w:szCs w:val="16"/>
              </w:rPr>
            </w:pPr>
            <w:r w:rsidRPr="00C07527">
              <w:rPr>
                <w:b/>
                <w:bCs/>
                <w:sz w:val="16"/>
                <w:szCs w:val="16"/>
              </w:rPr>
              <w:t>Curre</w:t>
            </w:r>
            <w:r>
              <w:rPr>
                <w:b/>
                <w:bCs/>
                <w:sz w:val="16"/>
                <w:szCs w:val="16"/>
              </w:rPr>
              <w:t>nt Services Adjustments &amp; FY</w:t>
            </w:r>
            <w:r w:rsidR="00D107D4">
              <w:rPr>
                <w:b/>
                <w:bCs/>
                <w:sz w:val="16"/>
                <w:szCs w:val="16"/>
              </w:rPr>
              <w:t xml:space="preserve"> </w:t>
            </w:r>
            <w:r>
              <w:rPr>
                <w:b/>
                <w:bCs/>
                <w:sz w:val="16"/>
                <w:szCs w:val="16"/>
              </w:rPr>
              <w:t>2013</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874" w:type="dxa"/>
            <w:gridSpan w:val="2"/>
            <w:shd w:val="clear" w:color="auto" w:fill="FFAC99"/>
            <w:vAlign w:val="center"/>
          </w:tcPr>
          <w:p w:rsidR="00F0004F" w:rsidRPr="00537201" w:rsidRDefault="00F0004F" w:rsidP="00F0004F">
            <w:pPr>
              <w:contextualSpacing/>
              <w:jc w:val="center"/>
              <w:rPr>
                <w:b/>
                <w:bCs/>
                <w:sz w:val="16"/>
                <w:szCs w:val="16"/>
              </w:rPr>
            </w:pPr>
            <w:r w:rsidRPr="00C07527">
              <w:rPr>
                <w:b/>
                <w:bCs/>
                <w:sz w:val="16"/>
                <w:szCs w:val="16"/>
              </w:rPr>
              <w:t>FY 20</w:t>
            </w:r>
            <w:r>
              <w:rPr>
                <w:b/>
                <w:bCs/>
                <w:sz w:val="16"/>
                <w:szCs w:val="16"/>
              </w:rPr>
              <w:t>13</w:t>
            </w:r>
            <w:r w:rsidRPr="00C07527">
              <w:rPr>
                <w:b/>
                <w:bCs/>
                <w:sz w:val="16"/>
                <w:szCs w:val="16"/>
              </w:rPr>
              <w:t xml:space="preserve"> Request</w:t>
            </w:r>
          </w:p>
        </w:tc>
      </w:tr>
      <w:tr w:rsidR="00F0004F" w:rsidRPr="002161A3" w:rsidTr="00F0004F">
        <w:trPr>
          <w:cantSplit/>
          <w:trHeight w:val="641"/>
          <w:jc w:val="center"/>
        </w:trPr>
        <w:tc>
          <w:tcPr>
            <w:tcW w:w="1620" w:type="dxa"/>
            <w:shd w:val="clear" w:color="auto" w:fill="auto"/>
            <w:vAlign w:val="center"/>
          </w:tcPr>
          <w:p w:rsidR="00F0004F" w:rsidRPr="00D4248A" w:rsidRDefault="00F0004F" w:rsidP="00F0004F">
            <w:pPr>
              <w:contextualSpacing/>
              <w:rPr>
                <w:b/>
                <w:bCs/>
                <w:color w:val="000000"/>
                <w:sz w:val="16"/>
                <w:szCs w:val="16"/>
              </w:rPr>
            </w:pPr>
            <w:r w:rsidRPr="00D4248A">
              <w:rPr>
                <w:b/>
                <w:bCs/>
                <w:color w:val="000000"/>
                <w:sz w:val="16"/>
                <w:szCs w:val="16"/>
              </w:rPr>
              <w:t xml:space="preserve">Performance  Measure </w:t>
            </w:r>
          </w:p>
        </w:tc>
        <w:tc>
          <w:tcPr>
            <w:tcW w:w="2510" w:type="dxa"/>
            <w:shd w:val="clear" w:color="auto" w:fill="auto"/>
            <w:vAlign w:val="center"/>
          </w:tcPr>
          <w:p w:rsidR="00F0004F" w:rsidRPr="00B813DD" w:rsidRDefault="00F0004F" w:rsidP="00F0004F">
            <w:pPr>
              <w:contextualSpacing/>
              <w:rPr>
                <w:color w:val="000000"/>
                <w:sz w:val="16"/>
                <w:szCs w:val="16"/>
              </w:rPr>
            </w:pPr>
            <w:r w:rsidRPr="00B813DD">
              <w:rPr>
                <w:color w:val="000000"/>
                <w:sz w:val="16"/>
                <w:szCs w:val="16"/>
              </w:rPr>
              <w:t>% of Counterterrorism FISA collection reviewed by the Language Program:</w:t>
            </w:r>
          </w:p>
          <w:p w:rsidR="00F0004F" w:rsidRPr="00B813DD" w:rsidRDefault="00F0004F" w:rsidP="00F0004F">
            <w:pPr>
              <w:numPr>
                <w:ilvl w:val="0"/>
                <w:numId w:val="43"/>
              </w:numPr>
              <w:contextualSpacing/>
              <w:rPr>
                <w:color w:val="000000"/>
                <w:sz w:val="16"/>
                <w:szCs w:val="16"/>
              </w:rPr>
            </w:pPr>
            <w:r w:rsidRPr="00B813DD">
              <w:rPr>
                <w:color w:val="000000"/>
                <w:sz w:val="16"/>
                <w:szCs w:val="16"/>
              </w:rPr>
              <w:t>Audio</w:t>
            </w:r>
          </w:p>
          <w:p w:rsidR="00F0004F" w:rsidRPr="00B813DD" w:rsidRDefault="00F0004F" w:rsidP="00F0004F">
            <w:pPr>
              <w:numPr>
                <w:ilvl w:val="0"/>
                <w:numId w:val="43"/>
              </w:numPr>
              <w:contextualSpacing/>
              <w:rPr>
                <w:color w:val="000000"/>
                <w:sz w:val="16"/>
                <w:szCs w:val="16"/>
              </w:rPr>
            </w:pPr>
            <w:r w:rsidRPr="00B813DD">
              <w:rPr>
                <w:color w:val="000000"/>
                <w:sz w:val="16"/>
                <w:szCs w:val="16"/>
              </w:rPr>
              <w:t>Text</w:t>
            </w:r>
          </w:p>
          <w:p w:rsidR="00F0004F" w:rsidRPr="00B813DD" w:rsidRDefault="00F0004F" w:rsidP="00F0004F">
            <w:pPr>
              <w:numPr>
                <w:ilvl w:val="0"/>
                <w:numId w:val="43"/>
              </w:numPr>
              <w:contextualSpacing/>
              <w:rPr>
                <w:color w:val="000000"/>
                <w:sz w:val="16"/>
                <w:szCs w:val="16"/>
              </w:rPr>
            </w:pPr>
            <w:r w:rsidRPr="00B813DD">
              <w:rPr>
                <w:color w:val="000000"/>
                <w:sz w:val="16"/>
                <w:szCs w:val="16"/>
              </w:rPr>
              <w:t>Electronic File</w:t>
            </w:r>
          </w:p>
        </w:tc>
        <w:tc>
          <w:tcPr>
            <w:tcW w:w="1874" w:type="dxa"/>
            <w:gridSpan w:val="2"/>
            <w:shd w:val="clear" w:color="auto" w:fill="auto"/>
            <w:vAlign w:val="bottom"/>
          </w:tcPr>
          <w:p w:rsidR="00F0004F" w:rsidRPr="003A622B" w:rsidRDefault="00F0004F" w:rsidP="00F0004F">
            <w:pPr>
              <w:contextualSpacing/>
              <w:jc w:val="right"/>
              <w:rPr>
                <w:color w:val="000000"/>
                <w:sz w:val="16"/>
                <w:szCs w:val="16"/>
              </w:rPr>
            </w:pPr>
          </w:p>
          <w:p w:rsidR="00F0004F" w:rsidRPr="003A622B" w:rsidRDefault="00F0004F" w:rsidP="00F0004F">
            <w:pPr>
              <w:contextualSpacing/>
              <w:jc w:val="right"/>
              <w:rPr>
                <w:color w:val="000000"/>
                <w:sz w:val="16"/>
                <w:szCs w:val="16"/>
              </w:rPr>
            </w:pPr>
            <w:r w:rsidRPr="003A622B">
              <w:rPr>
                <w:color w:val="000000"/>
                <w:sz w:val="16"/>
                <w:szCs w:val="16"/>
              </w:rPr>
              <w:t>100%</w:t>
            </w:r>
          </w:p>
          <w:p w:rsidR="00F0004F" w:rsidRPr="003A622B" w:rsidRDefault="00F0004F" w:rsidP="00F0004F">
            <w:pPr>
              <w:contextualSpacing/>
              <w:jc w:val="right"/>
              <w:rPr>
                <w:color w:val="000000"/>
                <w:sz w:val="16"/>
                <w:szCs w:val="16"/>
              </w:rPr>
            </w:pPr>
            <w:r w:rsidRPr="003A622B">
              <w:rPr>
                <w:color w:val="000000"/>
                <w:sz w:val="16"/>
                <w:szCs w:val="16"/>
              </w:rPr>
              <w:t>100%</w:t>
            </w:r>
          </w:p>
          <w:p w:rsidR="00F0004F" w:rsidRPr="003A622B" w:rsidRDefault="00F0004F" w:rsidP="00F0004F">
            <w:pPr>
              <w:contextualSpacing/>
              <w:jc w:val="right"/>
              <w:rPr>
                <w:color w:val="000000"/>
                <w:sz w:val="16"/>
                <w:szCs w:val="16"/>
              </w:rPr>
            </w:pPr>
            <w:r w:rsidRPr="003A622B">
              <w:rPr>
                <w:color w:val="000000"/>
                <w:sz w:val="16"/>
                <w:szCs w:val="16"/>
              </w:rPr>
              <w:t>100%</w:t>
            </w:r>
          </w:p>
        </w:tc>
        <w:tc>
          <w:tcPr>
            <w:tcW w:w="1874" w:type="dxa"/>
            <w:gridSpan w:val="2"/>
            <w:shd w:val="clear" w:color="auto" w:fill="auto"/>
            <w:vAlign w:val="bottom"/>
          </w:tcPr>
          <w:p w:rsidR="00F0004F" w:rsidRDefault="00F0004F" w:rsidP="00F0004F">
            <w:pPr>
              <w:contextualSpacing/>
              <w:jc w:val="right"/>
              <w:rPr>
                <w:sz w:val="16"/>
                <w:szCs w:val="16"/>
              </w:rPr>
            </w:pPr>
            <w:r>
              <w:rPr>
                <w:sz w:val="16"/>
                <w:szCs w:val="16"/>
              </w:rPr>
              <w:t>83%</w:t>
            </w:r>
          </w:p>
          <w:p w:rsidR="00F0004F" w:rsidRDefault="00F0004F" w:rsidP="00F0004F">
            <w:pPr>
              <w:contextualSpacing/>
              <w:jc w:val="right"/>
              <w:rPr>
                <w:sz w:val="16"/>
                <w:szCs w:val="16"/>
              </w:rPr>
            </w:pPr>
            <w:r>
              <w:rPr>
                <w:sz w:val="16"/>
                <w:szCs w:val="16"/>
              </w:rPr>
              <w:t>138%</w:t>
            </w:r>
          </w:p>
          <w:p w:rsidR="00F0004F" w:rsidRPr="00261F6E" w:rsidRDefault="00F0004F" w:rsidP="00F0004F">
            <w:pPr>
              <w:contextualSpacing/>
              <w:jc w:val="right"/>
              <w:rPr>
                <w:sz w:val="16"/>
                <w:szCs w:val="16"/>
              </w:rPr>
            </w:pPr>
            <w:r>
              <w:rPr>
                <w:sz w:val="16"/>
                <w:szCs w:val="16"/>
              </w:rPr>
              <w:t>39%</w:t>
            </w:r>
          </w:p>
        </w:tc>
        <w:tc>
          <w:tcPr>
            <w:tcW w:w="1874" w:type="dxa"/>
            <w:gridSpan w:val="2"/>
            <w:shd w:val="clear" w:color="auto" w:fill="auto"/>
            <w:vAlign w:val="bottom"/>
          </w:tcPr>
          <w:p w:rsidR="00F0004F" w:rsidRPr="003A622B" w:rsidRDefault="00F0004F" w:rsidP="00F0004F">
            <w:pPr>
              <w:contextualSpacing/>
              <w:jc w:val="right"/>
              <w:rPr>
                <w:color w:val="000000"/>
                <w:sz w:val="16"/>
                <w:szCs w:val="16"/>
              </w:rPr>
            </w:pPr>
          </w:p>
          <w:p w:rsidR="00F0004F" w:rsidRPr="003A622B" w:rsidRDefault="00F0004F" w:rsidP="00F0004F">
            <w:pPr>
              <w:contextualSpacing/>
              <w:jc w:val="right"/>
              <w:rPr>
                <w:color w:val="000000"/>
                <w:sz w:val="16"/>
                <w:szCs w:val="16"/>
              </w:rPr>
            </w:pPr>
            <w:r w:rsidRPr="003A622B">
              <w:rPr>
                <w:color w:val="000000"/>
                <w:sz w:val="16"/>
                <w:szCs w:val="16"/>
              </w:rPr>
              <w:t>100%</w:t>
            </w:r>
          </w:p>
          <w:p w:rsidR="00F0004F" w:rsidRPr="003A622B" w:rsidRDefault="00F0004F" w:rsidP="00F0004F">
            <w:pPr>
              <w:contextualSpacing/>
              <w:jc w:val="right"/>
              <w:rPr>
                <w:color w:val="000000"/>
                <w:sz w:val="16"/>
                <w:szCs w:val="16"/>
              </w:rPr>
            </w:pPr>
            <w:r w:rsidRPr="003A622B">
              <w:rPr>
                <w:color w:val="000000"/>
                <w:sz w:val="16"/>
                <w:szCs w:val="16"/>
              </w:rPr>
              <w:t>100%</w:t>
            </w:r>
          </w:p>
          <w:p w:rsidR="00F0004F" w:rsidRPr="003A622B" w:rsidRDefault="00F0004F" w:rsidP="00F0004F">
            <w:pPr>
              <w:contextualSpacing/>
              <w:jc w:val="right"/>
              <w:rPr>
                <w:color w:val="000000"/>
                <w:sz w:val="16"/>
                <w:szCs w:val="16"/>
              </w:rPr>
            </w:pPr>
            <w:r>
              <w:rPr>
                <w:color w:val="000000"/>
                <w:sz w:val="16"/>
                <w:szCs w:val="16"/>
              </w:rPr>
              <w:t>50</w:t>
            </w:r>
            <w:r w:rsidRPr="003A622B">
              <w:rPr>
                <w:color w:val="000000"/>
                <w:sz w:val="16"/>
                <w:szCs w:val="16"/>
              </w:rPr>
              <w:t>%</w:t>
            </w:r>
          </w:p>
        </w:tc>
        <w:tc>
          <w:tcPr>
            <w:tcW w:w="1874" w:type="dxa"/>
            <w:gridSpan w:val="2"/>
            <w:shd w:val="clear" w:color="auto" w:fill="auto"/>
            <w:vAlign w:val="bottom"/>
          </w:tcPr>
          <w:p w:rsidR="00F0004F" w:rsidRPr="00286775" w:rsidRDefault="00F0004F" w:rsidP="00F0004F">
            <w:pPr>
              <w:contextualSpacing/>
              <w:jc w:val="right"/>
              <w:rPr>
                <w:sz w:val="16"/>
                <w:szCs w:val="16"/>
              </w:rPr>
            </w:pPr>
            <w:r w:rsidRPr="00286775">
              <w:rPr>
                <w:sz w:val="16"/>
                <w:szCs w:val="16"/>
              </w:rPr>
              <w:t>-</w:t>
            </w:r>
          </w:p>
          <w:p w:rsidR="00F0004F" w:rsidRPr="00286775" w:rsidRDefault="00F0004F" w:rsidP="00F0004F">
            <w:pPr>
              <w:contextualSpacing/>
              <w:jc w:val="right"/>
              <w:rPr>
                <w:sz w:val="16"/>
                <w:szCs w:val="16"/>
              </w:rPr>
            </w:pPr>
            <w:r w:rsidRPr="00286775">
              <w:rPr>
                <w:sz w:val="16"/>
                <w:szCs w:val="16"/>
              </w:rPr>
              <w:t>-</w:t>
            </w:r>
          </w:p>
          <w:p w:rsidR="00F0004F" w:rsidRPr="00286775" w:rsidRDefault="00F0004F" w:rsidP="00F0004F">
            <w:pPr>
              <w:contextualSpacing/>
              <w:jc w:val="right"/>
              <w:rPr>
                <w:sz w:val="16"/>
                <w:szCs w:val="16"/>
              </w:rPr>
            </w:pPr>
            <w:r w:rsidRPr="00286775">
              <w:rPr>
                <w:sz w:val="16"/>
                <w:szCs w:val="16"/>
              </w:rPr>
              <w:t>-</w:t>
            </w:r>
          </w:p>
        </w:tc>
        <w:tc>
          <w:tcPr>
            <w:tcW w:w="1874" w:type="dxa"/>
            <w:gridSpan w:val="2"/>
            <w:shd w:val="clear" w:color="auto" w:fill="auto"/>
            <w:vAlign w:val="bottom"/>
          </w:tcPr>
          <w:p w:rsidR="00F0004F" w:rsidRPr="00286775" w:rsidRDefault="00F0004F" w:rsidP="00F0004F">
            <w:pPr>
              <w:contextualSpacing/>
              <w:jc w:val="right"/>
              <w:rPr>
                <w:color w:val="000000"/>
                <w:sz w:val="16"/>
                <w:szCs w:val="16"/>
              </w:rPr>
            </w:pPr>
            <w:r w:rsidRPr="00286775">
              <w:rPr>
                <w:color w:val="000000"/>
                <w:sz w:val="16"/>
                <w:szCs w:val="16"/>
              </w:rPr>
              <w:t>100%</w:t>
            </w:r>
          </w:p>
          <w:p w:rsidR="00F0004F" w:rsidRPr="00286775" w:rsidRDefault="00F0004F" w:rsidP="00F0004F">
            <w:pPr>
              <w:contextualSpacing/>
              <w:jc w:val="right"/>
              <w:rPr>
                <w:color w:val="000000"/>
                <w:sz w:val="16"/>
                <w:szCs w:val="16"/>
              </w:rPr>
            </w:pPr>
            <w:r w:rsidRPr="00286775">
              <w:rPr>
                <w:color w:val="000000"/>
                <w:sz w:val="16"/>
                <w:szCs w:val="16"/>
              </w:rPr>
              <w:t>100%</w:t>
            </w:r>
          </w:p>
          <w:p w:rsidR="00F0004F" w:rsidRPr="00286775" w:rsidRDefault="00F0004F" w:rsidP="00F0004F">
            <w:pPr>
              <w:contextualSpacing/>
              <w:jc w:val="right"/>
              <w:rPr>
                <w:color w:val="000000"/>
                <w:sz w:val="16"/>
                <w:szCs w:val="16"/>
              </w:rPr>
            </w:pPr>
            <w:r>
              <w:rPr>
                <w:color w:val="000000"/>
                <w:sz w:val="16"/>
                <w:szCs w:val="16"/>
              </w:rPr>
              <w:t>50</w:t>
            </w:r>
            <w:r w:rsidRPr="00286775">
              <w:rPr>
                <w:color w:val="000000"/>
                <w:sz w:val="16"/>
                <w:szCs w:val="16"/>
              </w:rPr>
              <w:t>%</w:t>
            </w:r>
          </w:p>
        </w:tc>
      </w:tr>
      <w:tr w:rsidR="00F0004F" w:rsidRPr="002161A3" w:rsidTr="00F0004F">
        <w:trPr>
          <w:cantSplit/>
          <w:trHeight w:val="638"/>
          <w:jc w:val="center"/>
        </w:trPr>
        <w:tc>
          <w:tcPr>
            <w:tcW w:w="1620" w:type="dxa"/>
            <w:shd w:val="clear" w:color="auto" w:fill="auto"/>
            <w:vAlign w:val="center"/>
          </w:tcPr>
          <w:p w:rsidR="00F0004F" w:rsidRDefault="00F0004F" w:rsidP="00F0004F">
            <w:pPr>
              <w:contextualSpacing/>
              <w:rPr>
                <w:b/>
                <w:bCs/>
                <w:color w:val="000000"/>
                <w:sz w:val="16"/>
                <w:szCs w:val="16"/>
              </w:rPr>
            </w:pPr>
            <w:r>
              <w:rPr>
                <w:b/>
                <w:bCs/>
                <w:color w:val="000000"/>
                <w:sz w:val="16"/>
                <w:szCs w:val="16"/>
              </w:rPr>
              <w:t>Performance Measure: Responsiveness</w:t>
            </w:r>
          </w:p>
        </w:tc>
        <w:tc>
          <w:tcPr>
            <w:tcW w:w="2510" w:type="dxa"/>
            <w:shd w:val="clear" w:color="auto" w:fill="auto"/>
            <w:vAlign w:val="center"/>
          </w:tcPr>
          <w:p w:rsidR="00F0004F" w:rsidRPr="00E250BE" w:rsidRDefault="00F0004F" w:rsidP="00F0004F">
            <w:pPr>
              <w:pStyle w:val="Heading3"/>
              <w:contextualSpacing/>
              <w:rPr>
                <w:bCs w:val="0"/>
                <w:sz w:val="16"/>
                <w:szCs w:val="16"/>
              </w:rPr>
            </w:pPr>
            <w:r>
              <w:rPr>
                <w:b w:val="0"/>
                <w:bCs w:val="0"/>
                <w:sz w:val="16"/>
                <w:szCs w:val="16"/>
              </w:rPr>
              <w:t xml:space="preserve">% of IIRs citing </w:t>
            </w:r>
            <w:r w:rsidR="001D7B53">
              <w:rPr>
                <w:b w:val="0"/>
                <w:bCs w:val="0"/>
                <w:sz w:val="16"/>
                <w:szCs w:val="16"/>
              </w:rPr>
              <w:t xml:space="preserve">U.S. </w:t>
            </w:r>
            <w:r>
              <w:rPr>
                <w:b w:val="0"/>
                <w:bCs w:val="0"/>
                <w:sz w:val="16"/>
                <w:szCs w:val="16"/>
              </w:rPr>
              <w:t xml:space="preserve">Intelligence Community (USIC) Priority 1 or 2 requirements </w:t>
            </w:r>
            <w:r>
              <w:rPr>
                <w:bCs w:val="0"/>
                <w:sz w:val="16"/>
                <w:szCs w:val="16"/>
              </w:rPr>
              <w:t>[New measure]</w:t>
            </w:r>
          </w:p>
        </w:tc>
        <w:tc>
          <w:tcPr>
            <w:tcW w:w="1874" w:type="dxa"/>
            <w:gridSpan w:val="2"/>
            <w:shd w:val="clear" w:color="auto" w:fill="auto"/>
            <w:vAlign w:val="center"/>
          </w:tcPr>
          <w:p w:rsidR="00F0004F" w:rsidRPr="003A622B" w:rsidRDefault="00F0004F" w:rsidP="00F0004F">
            <w:pPr>
              <w:contextualSpacing/>
              <w:jc w:val="right"/>
              <w:rPr>
                <w:color w:val="000000"/>
                <w:sz w:val="16"/>
                <w:szCs w:val="16"/>
              </w:rPr>
            </w:pPr>
            <w:r>
              <w:rPr>
                <w:color w:val="000000"/>
                <w:sz w:val="16"/>
                <w:szCs w:val="16"/>
              </w:rPr>
              <w:t>N/A</w:t>
            </w:r>
          </w:p>
        </w:tc>
        <w:tc>
          <w:tcPr>
            <w:tcW w:w="1874" w:type="dxa"/>
            <w:gridSpan w:val="2"/>
            <w:shd w:val="clear" w:color="auto" w:fill="auto"/>
            <w:vAlign w:val="center"/>
          </w:tcPr>
          <w:p w:rsidR="00F0004F" w:rsidRPr="00410DC0" w:rsidRDefault="00F0004F" w:rsidP="00F0004F">
            <w:pPr>
              <w:contextualSpacing/>
              <w:jc w:val="right"/>
              <w:rPr>
                <w:sz w:val="16"/>
                <w:szCs w:val="16"/>
              </w:rPr>
            </w:pPr>
            <w:r>
              <w:rPr>
                <w:sz w:val="16"/>
                <w:szCs w:val="16"/>
              </w:rPr>
              <w:t>N/A</w:t>
            </w:r>
          </w:p>
        </w:tc>
        <w:tc>
          <w:tcPr>
            <w:tcW w:w="1874" w:type="dxa"/>
            <w:gridSpan w:val="2"/>
            <w:shd w:val="clear" w:color="auto" w:fill="auto"/>
            <w:vAlign w:val="center"/>
          </w:tcPr>
          <w:p w:rsidR="00F0004F" w:rsidRPr="00410DC0" w:rsidRDefault="00F0004F" w:rsidP="00F0004F">
            <w:pPr>
              <w:contextualSpacing/>
              <w:jc w:val="right"/>
              <w:rPr>
                <w:color w:val="000000"/>
                <w:sz w:val="16"/>
                <w:szCs w:val="16"/>
              </w:rPr>
            </w:pPr>
            <w:r>
              <w:rPr>
                <w:color w:val="000000"/>
                <w:sz w:val="16"/>
                <w:szCs w:val="16"/>
              </w:rPr>
              <w:t>Pending determination of baseline</w:t>
            </w:r>
          </w:p>
        </w:tc>
        <w:tc>
          <w:tcPr>
            <w:tcW w:w="1874" w:type="dxa"/>
            <w:gridSpan w:val="2"/>
            <w:shd w:val="clear" w:color="auto" w:fill="auto"/>
            <w:vAlign w:val="center"/>
          </w:tcPr>
          <w:p w:rsidR="00F0004F" w:rsidRPr="00410DC0" w:rsidRDefault="00F0004F" w:rsidP="00F0004F">
            <w:pPr>
              <w:contextualSpacing/>
              <w:jc w:val="right"/>
              <w:rPr>
                <w:sz w:val="16"/>
                <w:szCs w:val="16"/>
              </w:rPr>
            </w:pPr>
            <w:r>
              <w:rPr>
                <w:sz w:val="16"/>
                <w:szCs w:val="16"/>
              </w:rPr>
              <w:t>-</w:t>
            </w:r>
          </w:p>
        </w:tc>
        <w:tc>
          <w:tcPr>
            <w:tcW w:w="1874" w:type="dxa"/>
            <w:gridSpan w:val="2"/>
            <w:shd w:val="clear" w:color="auto" w:fill="auto"/>
            <w:vAlign w:val="center"/>
          </w:tcPr>
          <w:p w:rsidR="00F0004F" w:rsidRPr="00410DC0" w:rsidRDefault="00F0004F" w:rsidP="00F0004F">
            <w:pPr>
              <w:contextualSpacing/>
              <w:jc w:val="right"/>
              <w:rPr>
                <w:sz w:val="16"/>
                <w:szCs w:val="16"/>
              </w:rPr>
            </w:pPr>
            <w:r>
              <w:rPr>
                <w:sz w:val="16"/>
                <w:szCs w:val="16"/>
              </w:rPr>
              <w:t>Pending determination of baseline</w:t>
            </w:r>
          </w:p>
        </w:tc>
      </w:tr>
      <w:tr w:rsidR="00F0004F" w:rsidRPr="002161A3" w:rsidTr="00F0004F">
        <w:trPr>
          <w:cantSplit/>
          <w:trHeight w:val="641"/>
          <w:jc w:val="center"/>
        </w:trPr>
        <w:tc>
          <w:tcPr>
            <w:tcW w:w="1620" w:type="dxa"/>
            <w:shd w:val="clear" w:color="auto" w:fill="auto"/>
            <w:vAlign w:val="center"/>
          </w:tcPr>
          <w:p w:rsidR="00F0004F" w:rsidRPr="00537201" w:rsidRDefault="00F0004F" w:rsidP="00F0004F">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510" w:type="dxa"/>
            <w:shd w:val="clear" w:color="auto" w:fill="auto"/>
            <w:vAlign w:val="center"/>
          </w:tcPr>
          <w:p w:rsidR="00F0004F" w:rsidRPr="000760B6" w:rsidRDefault="00F0004F" w:rsidP="00F0004F">
            <w:pPr>
              <w:pStyle w:val="Heading3"/>
              <w:contextualSpacing/>
              <w:rPr>
                <w:bCs w:val="0"/>
                <w:sz w:val="16"/>
                <w:szCs w:val="16"/>
              </w:rPr>
            </w:pPr>
            <w:r w:rsidRPr="00B813DD">
              <w:rPr>
                <w:b w:val="0"/>
                <w:bCs w:val="0"/>
                <w:sz w:val="16"/>
                <w:szCs w:val="16"/>
              </w:rPr>
              <w:t xml:space="preserve">% of FBI </w:t>
            </w:r>
            <w:r w:rsidRPr="00B813DD">
              <w:rPr>
                <w:b w:val="0"/>
                <w:bCs w:val="0"/>
                <w:i/>
                <w:iCs/>
                <w:sz w:val="16"/>
                <w:szCs w:val="16"/>
              </w:rPr>
              <w:t>Headquarters</w:t>
            </w:r>
            <w:r w:rsidRPr="00B813DD">
              <w:rPr>
                <w:b w:val="0"/>
                <w:bCs w:val="0"/>
                <w:sz w:val="16"/>
                <w:szCs w:val="16"/>
              </w:rPr>
              <w:t xml:space="preserve"> finished intelligence reports that are responsive to National Intelligence Priority Framework topics (Internally disseminated)</w:t>
            </w:r>
            <w:r>
              <w:rPr>
                <w:b w:val="0"/>
                <w:bCs w:val="0"/>
                <w:sz w:val="16"/>
                <w:szCs w:val="16"/>
              </w:rPr>
              <w:t xml:space="preserve"> </w:t>
            </w:r>
            <w:r>
              <w:rPr>
                <w:bCs w:val="0"/>
                <w:sz w:val="16"/>
                <w:szCs w:val="16"/>
              </w:rPr>
              <w:t>[Discontinued measure]</w:t>
            </w:r>
          </w:p>
        </w:tc>
        <w:tc>
          <w:tcPr>
            <w:tcW w:w="1874" w:type="dxa"/>
            <w:gridSpan w:val="2"/>
            <w:shd w:val="clear" w:color="auto" w:fill="auto"/>
            <w:vAlign w:val="center"/>
          </w:tcPr>
          <w:p w:rsidR="00F0004F" w:rsidRPr="003A622B" w:rsidRDefault="00F0004F" w:rsidP="00F0004F">
            <w:pPr>
              <w:contextualSpacing/>
              <w:jc w:val="right"/>
              <w:rPr>
                <w:color w:val="000000"/>
                <w:sz w:val="16"/>
                <w:szCs w:val="16"/>
              </w:rPr>
            </w:pPr>
            <w:r w:rsidRPr="003A622B">
              <w:rPr>
                <w:color w:val="000000"/>
                <w:sz w:val="16"/>
                <w:szCs w:val="16"/>
              </w:rPr>
              <w:t>95%</w:t>
            </w:r>
          </w:p>
        </w:tc>
        <w:tc>
          <w:tcPr>
            <w:tcW w:w="1874" w:type="dxa"/>
            <w:gridSpan w:val="2"/>
            <w:shd w:val="clear" w:color="auto" w:fill="auto"/>
            <w:vAlign w:val="center"/>
          </w:tcPr>
          <w:p w:rsidR="00F0004F" w:rsidRPr="00261F6E" w:rsidRDefault="00F0004F" w:rsidP="00F0004F">
            <w:pPr>
              <w:contextualSpacing/>
              <w:jc w:val="right"/>
              <w:rPr>
                <w:sz w:val="16"/>
                <w:szCs w:val="16"/>
              </w:rPr>
            </w:pPr>
            <w:r>
              <w:rPr>
                <w:sz w:val="16"/>
                <w:szCs w:val="16"/>
              </w:rPr>
              <w:t>97%</w:t>
            </w:r>
          </w:p>
        </w:tc>
        <w:tc>
          <w:tcPr>
            <w:tcW w:w="1874" w:type="dxa"/>
            <w:gridSpan w:val="2"/>
            <w:shd w:val="clear" w:color="auto" w:fill="auto"/>
            <w:vAlign w:val="center"/>
          </w:tcPr>
          <w:p w:rsidR="00F0004F" w:rsidRPr="003A622B" w:rsidRDefault="00F0004F" w:rsidP="00F0004F">
            <w:pPr>
              <w:contextualSpacing/>
              <w:jc w:val="right"/>
              <w:rPr>
                <w:color w:val="000000"/>
                <w:sz w:val="16"/>
                <w:szCs w:val="16"/>
              </w:rPr>
            </w:pPr>
            <w:r>
              <w:rPr>
                <w:color w:val="000000"/>
                <w:sz w:val="16"/>
                <w:szCs w:val="16"/>
              </w:rPr>
              <w:t>N/A</w:t>
            </w:r>
          </w:p>
        </w:tc>
        <w:tc>
          <w:tcPr>
            <w:tcW w:w="1874" w:type="dxa"/>
            <w:gridSpan w:val="2"/>
            <w:shd w:val="clear" w:color="auto" w:fill="auto"/>
            <w:vAlign w:val="center"/>
          </w:tcPr>
          <w:p w:rsidR="00F0004F" w:rsidRPr="00286775" w:rsidRDefault="00F0004F" w:rsidP="00F0004F">
            <w:pPr>
              <w:contextualSpacing/>
              <w:jc w:val="right"/>
              <w:rPr>
                <w:sz w:val="16"/>
                <w:szCs w:val="16"/>
              </w:rPr>
            </w:pPr>
            <w:r w:rsidRPr="00286775">
              <w:rPr>
                <w:sz w:val="16"/>
                <w:szCs w:val="16"/>
              </w:rPr>
              <w:t>N/A</w:t>
            </w:r>
          </w:p>
        </w:tc>
        <w:tc>
          <w:tcPr>
            <w:tcW w:w="1874" w:type="dxa"/>
            <w:gridSpan w:val="2"/>
            <w:shd w:val="clear" w:color="auto" w:fill="auto"/>
            <w:vAlign w:val="center"/>
          </w:tcPr>
          <w:p w:rsidR="00F0004F" w:rsidRPr="00286775" w:rsidRDefault="00F0004F" w:rsidP="00F0004F">
            <w:pPr>
              <w:contextualSpacing/>
              <w:jc w:val="right"/>
              <w:rPr>
                <w:sz w:val="16"/>
                <w:szCs w:val="16"/>
              </w:rPr>
            </w:pPr>
            <w:r w:rsidRPr="00286775">
              <w:rPr>
                <w:sz w:val="16"/>
                <w:szCs w:val="16"/>
              </w:rPr>
              <w:t>N/A</w:t>
            </w:r>
          </w:p>
        </w:tc>
      </w:tr>
      <w:tr w:rsidR="00F0004F" w:rsidRPr="002161A3" w:rsidTr="00F0004F">
        <w:trPr>
          <w:cantSplit/>
          <w:trHeight w:val="813"/>
          <w:jc w:val="center"/>
        </w:trPr>
        <w:tc>
          <w:tcPr>
            <w:tcW w:w="1620" w:type="dxa"/>
            <w:shd w:val="clear" w:color="auto" w:fill="auto"/>
            <w:vAlign w:val="center"/>
          </w:tcPr>
          <w:p w:rsidR="00F0004F" w:rsidRPr="00537201" w:rsidRDefault="00F0004F" w:rsidP="00F0004F">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510" w:type="dxa"/>
            <w:shd w:val="clear" w:color="auto" w:fill="auto"/>
            <w:vAlign w:val="center"/>
          </w:tcPr>
          <w:p w:rsidR="00F0004F" w:rsidRPr="00B813DD" w:rsidRDefault="00F0004F" w:rsidP="00F0004F">
            <w:pPr>
              <w:pStyle w:val="Heading3"/>
              <w:contextualSpacing/>
              <w:rPr>
                <w:b w:val="0"/>
                <w:bCs w:val="0"/>
                <w:sz w:val="16"/>
                <w:szCs w:val="16"/>
              </w:rPr>
            </w:pPr>
            <w:r w:rsidRPr="00B813DD">
              <w:rPr>
                <w:b w:val="0"/>
                <w:bCs w:val="0"/>
                <w:sz w:val="16"/>
                <w:szCs w:val="16"/>
              </w:rPr>
              <w:t xml:space="preserve">% of FBI </w:t>
            </w:r>
            <w:r w:rsidRPr="00B813DD">
              <w:rPr>
                <w:b w:val="0"/>
                <w:bCs w:val="0"/>
                <w:i/>
                <w:iCs/>
                <w:sz w:val="16"/>
                <w:szCs w:val="16"/>
              </w:rPr>
              <w:t>Field Office</w:t>
            </w:r>
            <w:r w:rsidRPr="00B813DD">
              <w:rPr>
                <w:b w:val="0"/>
                <w:bCs w:val="0"/>
                <w:sz w:val="16"/>
                <w:szCs w:val="16"/>
              </w:rPr>
              <w:t xml:space="preserve"> finished intelligence reports that are responsive to National Intelligence Priority Framework topics. (Internally disseminated)</w:t>
            </w:r>
            <w:r>
              <w:rPr>
                <w:b w:val="0"/>
                <w:bCs w:val="0"/>
                <w:sz w:val="16"/>
                <w:szCs w:val="16"/>
              </w:rPr>
              <w:t xml:space="preserve"> </w:t>
            </w:r>
            <w:r>
              <w:rPr>
                <w:bCs w:val="0"/>
                <w:sz w:val="16"/>
                <w:szCs w:val="16"/>
              </w:rPr>
              <w:t>[Discontinued measure]</w:t>
            </w:r>
          </w:p>
        </w:tc>
        <w:tc>
          <w:tcPr>
            <w:tcW w:w="1874" w:type="dxa"/>
            <w:gridSpan w:val="2"/>
            <w:shd w:val="clear" w:color="auto" w:fill="auto"/>
            <w:vAlign w:val="center"/>
          </w:tcPr>
          <w:p w:rsidR="00F0004F" w:rsidRPr="003A622B" w:rsidRDefault="00F0004F" w:rsidP="00F0004F">
            <w:pPr>
              <w:contextualSpacing/>
              <w:jc w:val="right"/>
              <w:rPr>
                <w:color w:val="000000"/>
                <w:sz w:val="16"/>
                <w:szCs w:val="16"/>
              </w:rPr>
            </w:pPr>
            <w:r w:rsidRPr="003A622B">
              <w:rPr>
                <w:color w:val="000000"/>
                <w:sz w:val="16"/>
                <w:szCs w:val="16"/>
              </w:rPr>
              <w:t>95%</w:t>
            </w:r>
          </w:p>
        </w:tc>
        <w:tc>
          <w:tcPr>
            <w:tcW w:w="1874" w:type="dxa"/>
            <w:gridSpan w:val="2"/>
            <w:shd w:val="clear" w:color="auto" w:fill="auto"/>
            <w:vAlign w:val="center"/>
          </w:tcPr>
          <w:p w:rsidR="00F0004F" w:rsidRPr="00261F6E" w:rsidRDefault="00F0004F" w:rsidP="00F0004F">
            <w:pPr>
              <w:contextualSpacing/>
              <w:jc w:val="right"/>
              <w:rPr>
                <w:sz w:val="16"/>
                <w:szCs w:val="16"/>
              </w:rPr>
            </w:pPr>
            <w:r>
              <w:rPr>
                <w:sz w:val="16"/>
                <w:szCs w:val="16"/>
              </w:rPr>
              <w:t>100%</w:t>
            </w:r>
          </w:p>
        </w:tc>
        <w:tc>
          <w:tcPr>
            <w:tcW w:w="1874" w:type="dxa"/>
            <w:gridSpan w:val="2"/>
            <w:shd w:val="clear" w:color="auto" w:fill="auto"/>
            <w:vAlign w:val="center"/>
          </w:tcPr>
          <w:p w:rsidR="00F0004F" w:rsidRPr="003A622B" w:rsidRDefault="00F0004F" w:rsidP="00F0004F">
            <w:pPr>
              <w:contextualSpacing/>
              <w:jc w:val="right"/>
              <w:rPr>
                <w:color w:val="000000"/>
                <w:sz w:val="16"/>
                <w:szCs w:val="16"/>
              </w:rPr>
            </w:pPr>
            <w:r>
              <w:rPr>
                <w:color w:val="000000"/>
                <w:sz w:val="16"/>
                <w:szCs w:val="16"/>
              </w:rPr>
              <w:t>N/A</w:t>
            </w:r>
          </w:p>
        </w:tc>
        <w:tc>
          <w:tcPr>
            <w:tcW w:w="1874" w:type="dxa"/>
            <w:gridSpan w:val="2"/>
            <w:shd w:val="clear" w:color="auto" w:fill="auto"/>
            <w:vAlign w:val="center"/>
          </w:tcPr>
          <w:p w:rsidR="00F0004F" w:rsidRPr="00286775" w:rsidRDefault="00F0004F" w:rsidP="00F0004F">
            <w:pPr>
              <w:contextualSpacing/>
              <w:jc w:val="right"/>
              <w:rPr>
                <w:sz w:val="16"/>
                <w:szCs w:val="16"/>
              </w:rPr>
            </w:pPr>
            <w:r w:rsidRPr="00286775">
              <w:rPr>
                <w:sz w:val="16"/>
                <w:szCs w:val="16"/>
              </w:rPr>
              <w:t>N/A</w:t>
            </w:r>
          </w:p>
        </w:tc>
        <w:tc>
          <w:tcPr>
            <w:tcW w:w="1874" w:type="dxa"/>
            <w:gridSpan w:val="2"/>
            <w:shd w:val="clear" w:color="auto" w:fill="auto"/>
            <w:vAlign w:val="center"/>
          </w:tcPr>
          <w:p w:rsidR="00F0004F" w:rsidRPr="00286775" w:rsidRDefault="00F0004F" w:rsidP="00F0004F">
            <w:pPr>
              <w:contextualSpacing/>
              <w:jc w:val="right"/>
              <w:rPr>
                <w:sz w:val="16"/>
                <w:szCs w:val="16"/>
              </w:rPr>
            </w:pPr>
            <w:r w:rsidRPr="00286775">
              <w:rPr>
                <w:sz w:val="16"/>
                <w:szCs w:val="16"/>
              </w:rPr>
              <w:t>N/A</w:t>
            </w:r>
          </w:p>
        </w:tc>
      </w:tr>
      <w:tr w:rsidR="00F0004F" w:rsidRPr="002161A3" w:rsidTr="00F0004F">
        <w:trPr>
          <w:cantSplit/>
          <w:trHeight w:val="641"/>
          <w:jc w:val="center"/>
        </w:trPr>
        <w:tc>
          <w:tcPr>
            <w:tcW w:w="1620" w:type="dxa"/>
            <w:shd w:val="clear" w:color="auto" w:fill="auto"/>
            <w:vAlign w:val="center"/>
          </w:tcPr>
          <w:p w:rsidR="00F0004F" w:rsidRPr="00537201" w:rsidRDefault="00F0004F" w:rsidP="00F0004F">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510" w:type="dxa"/>
            <w:shd w:val="clear" w:color="auto" w:fill="auto"/>
            <w:vAlign w:val="center"/>
          </w:tcPr>
          <w:p w:rsidR="00F0004F" w:rsidRPr="00B813DD" w:rsidRDefault="00F0004F" w:rsidP="00F0004F">
            <w:pPr>
              <w:pStyle w:val="Heading3"/>
              <w:contextualSpacing/>
              <w:rPr>
                <w:sz w:val="16"/>
                <w:szCs w:val="16"/>
              </w:rPr>
            </w:pPr>
            <w:r w:rsidRPr="00B813DD">
              <w:rPr>
                <w:b w:val="0"/>
                <w:bCs w:val="0"/>
                <w:sz w:val="16"/>
                <w:szCs w:val="16"/>
              </w:rPr>
              <w:t>% of FBI finished intelligence reports that are responsive to National Intelligence Priority Framework topics. (Disseminated to Intelligence Community)</w:t>
            </w:r>
            <w:r>
              <w:rPr>
                <w:b w:val="0"/>
                <w:bCs w:val="0"/>
                <w:sz w:val="16"/>
                <w:szCs w:val="16"/>
              </w:rPr>
              <w:t xml:space="preserve"> </w:t>
            </w:r>
            <w:r>
              <w:rPr>
                <w:bCs w:val="0"/>
                <w:sz w:val="16"/>
                <w:szCs w:val="16"/>
              </w:rPr>
              <w:t>[Discontinued measure]</w:t>
            </w:r>
          </w:p>
        </w:tc>
        <w:tc>
          <w:tcPr>
            <w:tcW w:w="1874" w:type="dxa"/>
            <w:gridSpan w:val="2"/>
            <w:shd w:val="clear" w:color="auto" w:fill="auto"/>
            <w:vAlign w:val="center"/>
          </w:tcPr>
          <w:p w:rsidR="00F0004F" w:rsidRPr="003A622B" w:rsidRDefault="00F0004F" w:rsidP="00F0004F">
            <w:pPr>
              <w:contextualSpacing/>
              <w:jc w:val="right"/>
              <w:rPr>
                <w:color w:val="000000"/>
                <w:sz w:val="16"/>
                <w:szCs w:val="16"/>
              </w:rPr>
            </w:pPr>
            <w:r w:rsidRPr="003A622B">
              <w:rPr>
                <w:color w:val="000000"/>
                <w:sz w:val="16"/>
                <w:szCs w:val="16"/>
              </w:rPr>
              <w:t>95%</w:t>
            </w:r>
          </w:p>
        </w:tc>
        <w:tc>
          <w:tcPr>
            <w:tcW w:w="1874" w:type="dxa"/>
            <w:gridSpan w:val="2"/>
            <w:shd w:val="clear" w:color="auto" w:fill="auto"/>
            <w:vAlign w:val="center"/>
          </w:tcPr>
          <w:p w:rsidR="00F0004F" w:rsidRPr="00261F6E" w:rsidRDefault="00F0004F" w:rsidP="00F0004F">
            <w:pPr>
              <w:contextualSpacing/>
              <w:jc w:val="right"/>
              <w:rPr>
                <w:sz w:val="16"/>
                <w:szCs w:val="16"/>
              </w:rPr>
            </w:pPr>
            <w:r>
              <w:rPr>
                <w:sz w:val="16"/>
                <w:szCs w:val="16"/>
              </w:rPr>
              <w:t>96%</w:t>
            </w:r>
          </w:p>
        </w:tc>
        <w:tc>
          <w:tcPr>
            <w:tcW w:w="1874" w:type="dxa"/>
            <w:gridSpan w:val="2"/>
            <w:shd w:val="clear" w:color="auto" w:fill="auto"/>
            <w:vAlign w:val="center"/>
          </w:tcPr>
          <w:p w:rsidR="00F0004F" w:rsidRPr="003A622B" w:rsidRDefault="00F0004F" w:rsidP="00F0004F">
            <w:pPr>
              <w:contextualSpacing/>
              <w:jc w:val="right"/>
              <w:rPr>
                <w:color w:val="000000"/>
                <w:sz w:val="16"/>
                <w:szCs w:val="16"/>
              </w:rPr>
            </w:pPr>
            <w:r>
              <w:rPr>
                <w:color w:val="000000"/>
                <w:sz w:val="16"/>
                <w:szCs w:val="16"/>
              </w:rPr>
              <w:t>N/A</w:t>
            </w:r>
          </w:p>
        </w:tc>
        <w:tc>
          <w:tcPr>
            <w:tcW w:w="1874" w:type="dxa"/>
            <w:gridSpan w:val="2"/>
            <w:shd w:val="clear" w:color="auto" w:fill="auto"/>
            <w:vAlign w:val="center"/>
          </w:tcPr>
          <w:p w:rsidR="00F0004F" w:rsidRPr="00286775" w:rsidRDefault="00F0004F" w:rsidP="00F0004F">
            <w:pPr>
              <w:contextualSpacing/>
              <w:jc w:val="right"/>
              <w:rPr>
                <w:sz w:val="16"/>
                <w:szCs w:val="16"/>
              </w:rPr>
            </w:pPr>
            <w:r w:rsidRPr="00286775">
              <w:rPr>
                <w:sz w:val="16"/>
                <w:szCs w:val="16"/>
              </w:rPr>
              <w:t>N/A</w:t>
            </w:r>
          </w:p>
        </w:tc>
        <w:tc>
          <w:tcPr>
            <w:tcW w:w="1874" w:type="dxa"/>
            <w:gridSpan w:val="2"/>
            <w:shd w:val="clear" w:color="auto" w:fill="auto"/>
            <w:vAlign w:val="center"/>
          </w:tcPr>
          <w:p w:rsidR="00F0004F" w:rsidRPr="00286775" w:rsidRDefault="00F0004F" w:rsidP="00F0004F">
            <w:pPr>
              <w:contextualSpacing/>
              <w:jc w:val="right"/>
              <w:rPr>
                <w:sz w:val="16"/>
                <w:szCs w:val="16"/>
              </w:rPr>
            </w:pPr>
            <w:r w:rsidRPr="00286775">
              <w:rPr>
                <w:sz w:val="16"/>
                <w:szCs w:val="16"/>
              </w:rPr>
              <w:t>N/A</w:t>
            </w:r>
          </w:p>
        </w:tc>
      </w:tr>
      <w:tr w:rsidR="00F0004F" w:rsidRPr="002161A3" w:rsidTr="00F0004F">
        <w:trPr>
          <w:cantSplit/>
          <w:trHeight w:val="335"/>
          <w:jc w:val="center"/>
        </w:trPr>
        <w:tc>
          <w:tcPr>
            <w:tcW w:w="1620" w:type="dxa"/>
            <w:shd w:val="clear" w:color="auto" w:fill="auto"/>
            <w:vAlign w:val="center"/>
          </w:tcPr>
          <w:p w:rsidR="00F0004F" w:rsidRPr="00537201" w:rsidRDefault="00F0004F" w:rsidP="00886A25">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Accuracy</w:t>
            </w:r>
          </w:p>
        </w:tc>
        <w:tc>
          <w:tcPr>
            <w:tcW w:w="2510" w:type="dxa"/>
            <w:shd w:val="clear" w:color="auto" w:fill="auto"/>
            <w:vAlign w:val="center"/>
          </w:tcPr>
          <w:p w:rsidR="00F0004F" w:rsidRPr="00046D0D" w:rsidRDefault="00F0004F" w:rsidP="00886A25">
            <w:pPr>
              <w:contextualSpacing/>
              <w:rPr>
                <w:color w:val="000000"/>
                <w:sz w:val="16"/>
                <w:szCs w:val="16"/>
              </w:rPr>
            </w:pPr>
            <w:r w:rsidRPr="00046D0D">
              <w:rPr>
                <w:color w:val="000000"/>
                <w:sz w:val="16"/>
                <w:szCs w:val="16"/>
              </w:rPr>
              <w:t>Number of high priority sources put through an enhanced validation process.</w:t>
            </w:r>
          </w:p>
        </w:tc>
        <w:tc>
          <w:tcPr>
            <w:tcW w:w="9370" w:type="dxa"/>
            <w:gridSpan w:val="10"/>
            <w:shd w:val="clear" w:color="auto" w:fill="auto"/>
            <w:vAlign w:val="center"/>
          </w:tcPr>
          <w:p w:rsidR="00F0004F" w:rsidRPr="000026C1" w:rsidRDefault="00F0004F" w:rsidP="00886A25">
            <w:pPr>
              <w:contextualSpacing/>
              <w:jc w:val="center"/>
              <w:rPr>
                <w:color w:val="000000"/>
                <w:sz w:val="16"/>
                <w:szCs w:val="16"/>
              </w:rPr>
            </w:pPr>
            <w:r>
              <w:rPr>
                <w:color w:val="000000"/>
                <w:sz w:val="16"/>
                <w:szCs w:val="16"/>
              </w:rPr>
              <w:t>This information is classified.</w:t>
            </w:r>
          </w:p>
        </w:tc>
      </w:tr>
      <w:tr w:rsidR="00F0004F" w:rsidRPr="002161A3" w:rsidTr="00F0004F">
        <w:trPr>
          <w:cantSplit/>
          <w:trHeight w:val="425"/>
          <w:jc w:val="center"/>
        </w:trPr>
        <w:tc>
          <w:tcPr>
            <w:tcW w:w="1620" w:type="dxa"/>
            <w:shd w:val="clear" w:color="auto" w:fill="auto"/>
            <w:vAlign w:val="center"/>
          </w:tcPr>
          <w:p w:rsidR="00F0004F" w:rsidRDefault="00F0004F" w:rsidP="00886A25">
            <w:pPr>
              <w:contextualSpacing/>
              <w:rPr>
                <w:b/>
                <w:bCs/>
                <w:sz w:val="16"/>
                <w:szCs w:val="16"/>
              </w:rPr>
            </w:pPr>
            <w:r>
              <w:rPr>
                <w:b/>
                <w:bCs/>
                <w:sz w:val="16"/>
                <w:szCs w:val="16"/>
              </w:rPr>
              <w:t>Performance Measure</w:t>
            </w:r>
          </w:p>
        </w:tc>
        <w:tc>
          <w:tcPr>
            <w:tcW w:w="2510" w:type="dxa"/>
            <w:shd w:val="clear" w:color="auto" w:fill="auto"/>
            <w:vAlign w:val="center"/>
          </w:tcPr>
          <w:p w:rsidR="00F0004F" w:rsidRPr="002C586C" w:rsidRDefault="00F0004F" w:rsidP="00886A25">
            <w:pPr>
              <w:contextualSpacing/>
              <w:rPr>
                <w:b/>
                <w:sz w:val="16"/>
                <w:szCs w:val="16"/>
              </w:rPr>
            </w:pPr>
            <w:r w:rsidRPr="002C586C">
              <w:rPr>
                <w:sz w:val="16"/>
                <w:szCs w:val="16"/>
              </w:rPr>
              <w:t>Number of datasets incorporated into DIVS</w:t>
            </w:r>
            <w:r>
              <w:rPr>
                <w:sz w:val="16"/>
                <w:szCs w:val="16"/>
              </w:rPr>
              <w:t xml:space="preserve"> </w:t>
            </w:r>
            <w:r>
              <w:rPr>
                <w:b/>
                <w:sz w:val="16"/>
                <w:szCs w:val="16"/>
              </w:rPr>
              <w:t>[New measure]</w:t>
            </w:r>
          </w:p>
        </w:tc>
        <w:tc>
          <w:tcPr>
            <w:tcW w:w="1874" w:type="dxa"/>
            <w:gridSpan w:val="2"/>
            <w:shd w:val="clear" w:color="auto" w:fill="auto"/>
            <w:vAlign w:val="center"/>
          </w:tcPr>
          <w:p w:rsidR="00F0004F" w:rsidRDefault="00F0004F" w:rsidP="00886A25">
            <w:pPr>
              <w:contextualSpacing/>
              <w:jc w:val="right"/>
              <w:rPr>
                <w:sz w:val="16"/>
                <w:szCs w:val="16"/>
              </w:rPr>
            </w:pPr>
            <w:r>
              <w:rPr>
                <w:sz w:val="16"/>
                <w:szCs w:val="16"/>
              </w:rPr>
              <w:t>N/A</w:t>
            </w:r>
          </w:p>
        </w:tc>
        <w:tc>
          <w:tcPr>
            <w:tcW w:w="1874" w:type="dxa"/>
            <w:gridSpan w:val="2"/>
            <w:shd w:val="clear" w:color="auto" w:fill="auto"/>
            <w:vAlign w:val="center"/>
          </w:tcPr>
          <w:p w:rsidR="00F0004F" w:rsidRPr="001430B3" w:rsidRDefault="00F0004F" w:rsidP="00886A25">
            <w:pPr>
              <w:contextualSpacing/>
              <w:jc w:val="right"/>
              <w:rPr>
                <w:sz w:val="16"/>
                <w:szCs w:val="16"/>
              </w:rPr>
            </w:pPr>
            <w:r w:rsidRPr="001430B3">
              <w:rPr>
                <w:sz w:val="16"/>
                <w:szCs w:val="16"/>
              </w:rPr>
              <w:t>51</w:t>
            </w:r>
          </w:p>
        </w:tc>
        <w:tc>
          <w:tcPr>
            <w:tcW w:w="1874" w:type="dxa"/>
            <w:gridSpan w:val="2"/>
            <w:shd w:val="clear" w:color="auto" w:fill="auto"/>
            <w:vAlign w:val="center"/>
          </w:tcPr>
          <w:p w:rsidR="00F0004F" w:rsidRPr="001430B3" w:rsidRDefault="00F0004F" w:rsidP="00886A25">
            <w:pPr>
              <w:contextualSpacing/>
              <w:jc w:val="right"/>
              <w:rPr>
                <w:sz w:val="16"/>
                <w:szCs w:val="16"/>
              </w:rPr>
            </w:pPr>
            <w:r w:rsidRPr="001430B3">
              <w:rPr>
                <w:sz w:val="16"/>
                <w:szCs w:val="16"/>
              </w:rPr>
              <w:t>71</w:t>
            </w:r>
          </w:p>
        </w:tc>
        <w:tc>
          <w:tcPr>
            <w:tcW w:w="1874" w:type="dxa"/>
            <w:gridSpan w:val="2"/>
            <w:shd w:val="clear" w:color="auto" w:fill="auto"/>
            <w:vAlign w:val="center"/>
          </w:tcPr>
          <w:p w:rsidR="00F0004F" w:rsidRPr="001430B3" w:rsidRDefault="00F0004F" w:rsidP="00886A25">
            <w:pPr>
              <w:contextualSpacing/>
              <w:jc w:val="right"/>
              <w:rPr>
                <w:sz w:val="16"/>
                <w:szCs w:val="16"/>
              </w:rPr>
            </w:pPr>
            <w:r w:rsidRPr="001430B3">
              <w:rPr>
                <w:sz w:val="16"/>
                <w:szCs w:val="16"/>
              </w:rPr>
              <w:t>30</w:t>
            </w:r>
          </w:p>
        </w:tc>
        <w:tc>
          <w:tcPr>
            <w:tcW w:w="1874" w:type="dxa"/>
            <w:gridSpan w:val="2"/>
            <w:shd w:val="clear" w:color="auto" w:fill="auto"/>
            <w:vAlign w:val="center"/>
          </w:tcPr>
          <w:p w:rsidR="00F0004F" w:rsidRPr="001430B3" w:rsidRDefault="00F0004F" w:rsidP="00886A25">
            <w:pPr>
              <w:contextualSpacing/>
              <w:jc w:val="right"/>
              <w:rPr>
                <w:sz w:val="16"/>
                <w:szCs w:val="16"/>
              </w:rPr>
            </w:pPr>
            <w:r w:rsidRPr="001430B3">
              <w:rPr>
                <w:sz w:val="16"/>
                <w:szCs w:val="16"/>
              </w:rPr>
              <w:t>101</w:t>
            </w:r>
          </w:p>
        </w:tc>
      </w:tr>
      <w:tr w:rsidR="00F0004F" w:rsidRPr="002161A3" w:rsidTr="00F0004F">
        <w:trPr>
          <w:cantSplit/>
          <w:trHeight w:val="164"/>
          <w:jc w:val="center"/>
        </w:trPr>
        <w:tc>
          <w:tcPr>
            <w:tcW w:w="1620" w:type="dxa"/>
            <w:shd w:val="clear" w:color="auto" w:fill="auto"/>
            <w:vAlign w:val="center"/>
          </w:tcPr>
          <w:p w:rsidR="00F0004F" w:rsidRPr="00537201" w:rsidRDefault="00F0004F" w:rsidP="00886A25">
            <w:pPr>
              <w:contextualSpacing/>
              <w:rPr>
                <w:color w:val="000000"/>
                <w:sz w:val="16"/>
                <w:szCs w:val="16"/>
              </w:rPr>
            </w:pPr>
            <w:r>
              <w:rPr>
                <w:b/>
                <w:bCs/>
                <w:color w:val="000000"/>
                <w:sz w:val="16"/>
                <w:szCs w:val="16"/>
              </w:rPr>
              <w:t xml:space="preserve">Efficiency </w:t>
            </w:r>
            <w:r w:rsidRPr="00D4248A">
              <w:rPr>
                <w:b/>
                <w:bCs/>
                <w:color w:val="000000"/>
                <w:sz w:val="16"/>
                <w:szCs w:val="16"/>
              </w:rPr>
              <w:t>Measure</w:t>
            </w:r>
            <w:r>
              <w:rPr>
                <w:b/>
                <w:bCs/>
                <w:color w:val="000000"/>
                <w:sz w:val="16"/>
                <w:szCs w:val="16"/>
              </w:rPr>
              <w:t xml:space="preserve"> </w:t>
            </w:r>
          </w:p>
        </w:tc>
        <w:tc>
          <w:tcPr>
            <w:tcW w:w="2510" w:type="dxa"/>
            <w:shd w:val="clear" w:color="auto" w:fill="auto"/>
            <w:vAlign w:val="center"/>
          </w:tcPr>
          <w:p w:rsidR="00F0004F" w:rsidRPr="00046D0D" w:rsidRDefault="00F0004F" w:rsidP="00886A25">
            <w:pPr>
              <w:pStyle w:val="Heading3"/>
              <w:contextualSpacing/>
              <w:rPr>
                <w:b w:val="0"/>
                <w:bCs w:val="0"/>
                <w:sz w:val="16"/>
                <w:szCs w:val="16"/>
              </w:rPr>
            </w:pPr>
            <w:r w:rsidRPr="00046D0D">
              <w:rPr>
                <w:b w:val="0"/>
                <w:bCs w:val="0"/>
                <w:sz w:val="16"/>
                <w:szCs w:val="16"/>
              </w:rPr>
              <w:t>% of FBI Confidential Human Sources (</w:t>
            </w:r>
            <w:smartTag w:uri="urn:schemas-microsoft-com:office:smarttags" w:element="stockticker">
              <w:r w:rsidRPr="00046D0D">
                <w:rPr>
                  <w:b w:val="0"/>
                  <w:bCs w:val="0"/>
                  <w:sz w:val="16"/>
                  <w:szCs w:val="16"/>
                </w:rPr>
                <w:t>CHS</w:t>
              </w:r>
            </w:smartTag>
            <w:r w:rsidRPr="00046D0D">
              <w:rPr>
                <w:b w:val="0"/>
                <w:bCs w:val="0"/>
                <w:sz w:val="16"/>
                <w:szCs w:val="16"/>
              </w:rPr>
              <w:t>) validated</w:t>
            </w:r>
          </w:p>
        </w:tc>
        <w:tc>
          <w:tcPr>
            <w:tcW w:w="1874" w:type="dxa"/>
            <w:gridSpan w:val="2"/>
            <w:shd w:val="clear" w:color="auto" w:fill="auto"/>
            <w:vAlign w:val="center"/>
          </w:tcPr>
          <w:p w:rsidR="00F0004F" w:rsidRPr="00261F6E" w:rsidRDefault="00F0004F" w:rsidP="00886A25">
            <w:pPr>
              <w:contextualSpacing/>
              <w:jc w:val="right"/>
              <w:rPr>
                <w:sz w:val="16"/>
                <w:szCs w:val="16"/>
              </w:rPr>
            </w:pPr>
            <w:r w:rsidRPr="00261F6E">
              <w:rPr>
                <w:sz w:val="16"/>
                <w:szCs w:val="16"/>
              </w:rPr>
              <w:t>22%</w:t>
            </w:r>
          </w:p>
        </w:tc>
        <w:tc>
          <w:tcPr>
            <w:tcW w:w="1874" w:type="dxa"/>
            <w:gridSpan w:val="2"/>
            <w:shd w:val="clear" w:color="auto" w:fill="auto"/>
            <w:vAlign w:val="center"/>
          </w:tcPr>
          <w:p w:rsidR="00F0004F" w:rsidRPr="008B1B7F" w:rsidRDefault="00F0004F" w:rsidP="00886A25">
            <w:pPr>
              <w:contextualSpacing/>
              <w:jc w:val="right"/>
              <w:rPr>
                <w:sz w:val="16"/>
                <w:szCs w:val="16"/>
              </w:rPr>
            </w:pPr>
            <w:r>
              <w:rPr>
                <w:sz w:val="16"/>
                <w:szCs w:val="16"/>
              </w:rPr>
              <w:t>48%</w:t>
            </w:r>
          </w:p>
        </w:tc>
        <w:tc>
          <w:tcPr>
            <w:tcW w:w="1874" w:type="dxa"/>
            <w:gridSpan w:val="2"/>
            <w:shd w:val="clear" w:color="auto" w:fill="auto"/>
            <w:vAlign w:val="center"/>
          </w:tcPr>
          <w:p w:rsidR="00F0004F" w:rsidRPr="008B1B7F" w:rsidRDefault="00F0004F" w:rsidP="00886A25">
            <w:pPr>
              <w:contextualSpacing/>
              <w:jc w:val="right"/>
              <w:rPr>
                <w:sz w:val="16"/>
                <w:szCs w:val="16"/>
              </w:rPr>
            </w:pPr>
            <w:r>
              <w:rPr>
                <w:sz w:val="16"/>
                <w:szCs w:val="16"/>
              </w:rPr>
              <w:t>29%</w:t>
            </w:r>
          </w:p>
        </w:tc>
        <w:tc>
          <w:tcPr>
            <w:tcW w:w="1874" w:type="dxa"/>
            <w:gridSpan w:val="2"/>
            <w:shd w:val="clear" w:color="auto" w:fill="auto"/>
            <w:vAlign w:val="center"/>
          </w:tcPr>
          <w:p w:rsidR="00F0004F" w:rsidRPr="008B1B7F" w:rsidRDefault="00F0004F" w:rsidP="00886A25">
            <w:pPr>
              <w:contextualSpacing/>
              <w:jc w:val="right"/>
              <w:rPr>
                <w:sz w:val="16"/>
                <w:szCs w:val="16"/>
              </w:rPr>
            </w:pPr>
            <w:r>
              <w:rPr>
                <w:sz w:val="16"/>
                <w:szCs w:val="16"/>
              </w:rPr>
              <w:t>-</w:t>
            </w:r>
          </w:p>
        </w:tc>
        <w:tc>
          <w:tcPr>
            <w:tcW w:w="1874" w:type="dxa"/>
            <w:gridSpan w:val="2"/>
            <w:shd w:val="clear" w:color="auto" w:fill="auto"/>
            <w:vAlign w:val="center"/>
          </w:tcPr>
          <w:p w:rsidR="00F0004F" w:rsidRPr="008B1B7F" w:rsidRDefault="00F0004F" w:rsidP="00886A25">
            <w:pPr>
              <w:contextualSpacing/>
              <w:jc w:val="right"/>
              <w:rPr>
                <w:sz w:val="16"/>
                <w:szCs w:val="16"/>
              </w:rPr>
            </w:pPr>
            <w:r>
              <w:rPr>
                <w:sz w:val="16"/>
                <w:szCs w:val="16"/>
              </w:rPr>
              <w:t>29%</w:t>
            </w:r>
          </w:p>
        </w:tc>
      </w:tr>
      <w:tr w:rsidR="00F0004F" w:rsidRPr="002161A3" w:rsidTr="00F0004F">
        <w:trPr>
          <w:cantSplit/>
          <w:trHeight w:val="351"/>
          <w:jc w:val="center"/>
        </w:trPr>
        <w:tc>
          <w:tcPr>
            <w:tcW w:w="13500" w:type="dxa"/>
            <w:gridSpan w:val="12"/>
            <w:shd w:val="clear" w:color="auto" w:fill="auto"/>
            <w:vAlign w:val="center"/>
          </w:tcPr>
          <w:p w:rsidR="00F0004F" w:rsidRPr="00985735" w:rsidRDefault="00F0004F" w:rsidP="00886A25">
            <w:pPr>
              <w:contextualSpacing/>
              <w:rPr>
                <w:b/>
                <w:bCs/>
                <w:color w:val="000000"/>
                <w:sz w:val="16"/>
                <w:szCs w:val="16"/>
              </w:rPr>
            </w:pPr>
            <w:r w:rsidRPr="00985735">
              <w:rPr>
                <w:b/>
                <w:bCs/>
                <w:color w:val="000000"/>
                <w:sz w:val="16"/>
                <w:szCs w:val="16"/>
              </w:rPr>
              <w:t xml:space="preserve">Data Definition, Validation, Verification, and Limitations: </w:t>
            </w:r>
          </w:p>
          <w:p w:rsidR="00F0004F" w:rsidRPr="00BB1EEF" w:rsidRDefault="00F0004F" w:rsidP="00886A25">
            <w:pPr>
              <w:numPr>
                <w:ilvl w:val="0"/>
                <w:numId w:val="44"/>
              </w:numPr>
              <w:contextualSpacing/>
              <w:rPr>
                <w:color w:val="000000"/>
                <w:sz w:val="16"/>
                <w:szCs w:val="16"/>
              </w:rPr>
            </w:pPr>
            <w:r w:rsidRPr="00C2056D">
              <w:rPr>
                <w:color w:val="000000"/>
                <w:sz w:val="16"/>
                <w:szCs w:val="16"/>
              </w:rPr>
              <w:t xml:space="preserve">All data are provided by records maintained and verified by the FBI’s Directorate of Intelligence. No known limitations exist with the available data as currently reported.  </w:t>
            </w:r>
          </w:p>
        </w:tc>
      </w:tr>
    </w:tbl>
    <w:p w:rsidR="00630F6F" w:rsidRPr="00BB1EEF" w:rsidRDefault="00630F6F" w:rsidP="007471A8">
      <w:pPr>
        <w:contextualSpacing/>
        <w:rPr>
          <w:b/>
        </w:rPr>
      </w:pPr>
    </w:p>
    <w:p w:rsidR="00630F6F" w:rsidRDefault="00630F6F" w:rsidP="007471A8">
      <w:pPr>
        <w:contextualSpacing/>
      </w:pPr>
    </w:p>
    <w:tbl>
      <w:tblPr>
        <w:tblpPr w:leftFromText="180" w:rightFromText="180" w:vertAnchor="page" w:horzAnchor="margin" w:tblpXSpec="center" w:tblpY="1801"/>
        <w:tblW w:w="13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2898"/>
        <w:gridCol w:w="851"/>
        <w:gridCol w:w="851"/>
        <w:gridCol w:w="852"/>
        <w:gridCol w:w="852"/>
        <w:gridCol w:w="852"/>
        <w:gridCol w:w="852"/>
        <w:gridCol w:w="852"/>
        <w:gridCol w:w="852"/>
        <w:gridCol w:w="852"/>
        <w:gridCol w:w="852"/>
        <w:gridCol w:w="852"/>
      </w:tblGrid>
      <w:tr w:rsidR="00630F6F" w:rsidRPr="00537201" w:rsidTr="00886A25">
        <w:trPr>
          <w:trHeight w:val="630"/>
        </w:trPr>
        <w:tc>
          <w:tcPr>
            <w:tcW w:w="4266" w:type="dxa"/>
            <w:gridSpan w:val="2"/>
            <w:vMerge w:val="restart"/>
            <w:shd w:val="clear" w:color="auto" w:fill="auto"/>
            <w:vAlign w:val="center"/>
          </w:tcPr>
          <w:p w:rsidR="00630F6F" w:rsidRPr="00537201" w:rsidRDefault="00630F6F" w:rsidP="007471A8">
            <w:pPr>
              <w:contextualSpacing/>
              <w:jc w:val="center"/>
              <w:rPr>
                <w:b/>
                <w:bCs/>
                <w:sz w:val="16"/>
                <w:szCs w:val="16"/>
              </w:rPr>
            </w:pPr>
            <w:r>
              <w:br w:type="page"/>
            </w:r>
            <w:r>
              <w:rPr>
                <w:b/>
                <w:bCs/>
                <w:sz w:val="16"/>
                <w:szCs w:val="16"/>
              </w:rPr>
              <w:t xml:space="preserve"> </w:t>
            </w:r>
            <w:r w:rsidRPr="00537201">
              <w:rPr>
                <w:b/>
                <w:bCs/>
                <w:sz w:val="16"/>
                <w:szCs w:val="16"/>
              </w:rPr>
              <w:t>Performance Report and Performance Plan Targets</w:t>
            </w:r>
          </w:p>
        </w:tc>
        <w:tc>
          <w:tcPr>
            <w:tcW w:w="851" w:type="dxa"/>
            <w:shd w:val="clear" w:color="auto" w:fill="FFAC99"/>
            <w:noWrap/>
            <w:vAlign w:val="center"/>
          </w:tcPr>
          <w:p w:rsidR="00630F6F" w:rsidRPr="00976C08" w:rsidRDefault="00630F6F" w:rsidP="007471A8">
            <w:pPr>
              <w:contextualSpacing/>
              <w:jc w:val="center"/>
              <w:rPr>
                <w:b/>
                <w:bCs/>
                <w:sz w:val="16"/>
                <w:szCs w:val="16"/>
              </w:rPr>
            </w:pPr>
            <w:r w:rsidRPr="007E1F69">
              <w:rPr>
                <w:b/>
                <w:bCs/>
                <w:sz w:val="16"/>
                <w:szCs w:val="16"/>
              </w:rPr>
              <w:t>FY 2003</w:t>
            </w:r>
          </w:p>
        </w:tc>
        <w:tc>
          <w:tcPr>
            <w:tcW w:w="851" w:type="dxa"/>
            <w:shd w:val="clear" w:color="auto" w:fill="FFAC99"/>
            <w:vAlign w:val="center"/>
          </w:tcPr>
          <w:p w:rsidR="00630F6F" w:rsidRPr="00976C08" w:rsidRDefault="00630F6F" w:rsidP="007471A8">
            <w:pPr>
              <w:contextualSpacing/>
              <w:jc w:val="center"/>
              <w:rPr>
                <w:b/>
                <w:bCs/>
                <w:sz w:val="16"/>
                <w:szCs w:val="16"/>
              </w:rPr>
            </w:pPr>
            <w:r>
              <w:rPr>
                <w:b/>
                <w:bCs/>
                <w:sz w:val="16"/>
                <w:szCs w:val="16"/>
              </w:rPr>
              <w:t>FY 2004</w:t>
            </w:r>
          </w:p>
        </w:tc>
        <w:tc>
          <w:tcPr>
            <w:tcW w:w="852" w:type="dxa"/>
            <w:shd w:val="clear" w:color="auto" w:fill="FFAC99"/>
            <w:noWrap/>
            <w:vAlign w:val="center"/>
          </w:tcPr>
          <w:p w:rsidR="00630F6F" w:rsidRPr="00976C08" w:rsidRDefault="00630F6F" w:rsidP="007471A8">
            <w:pPr>
              <w:contextualSpacing/>
              <w:jc w:val="center"/>
              <w:rPr>
                <w:b/>
                <w:bCs/>
                <w:sz w:val="16"/>
                <w:szCs w:val="16"/>
              </w:rPr>
            </w:pPr>
            <w:r>
              <w:rPr>
                <w:b/>
                <w:bCs/>
                <w:sz w:val="16"/>
                <w:szCs w:val="16"/>
              </w:rPr>
              <w:t>FY 2005</w:t>
            </w:r>
          </w:p>
        </w:tc>
        <w:tc>
          <w:tcPr>
            <w:tcW w:w="852" w:type="dxa"/>
            <w:shd w:val="clear" w:color="auto" w:fill="FFAC99"/>
            <w:vAlign w:val="center"/>
          </w:tcPr>
          <w:p w:rsidR="00630F6F" w:rsidRPr="00537201" w:rsidRDefault="00630F6F" w:rsidP="007471A8">
            <w:pPr>
              <w:contextualSpacing/>
              <w:jc w:val="center"/>
              <w:rPr>
                <w:b/>
                <w:bCs/>
                <w:sz w:val="16"/>
                <w:szCs w:val="16"/>
              </w:rPr>
            </w:pPr>
            <w:r w:rsidRPr="00537201">
              <w:rPr>
                <w:b/>
                <w:bCs/>
                <w:sz w:val="16"/>
                <w:szCs w:val="16"/>
              </w:rPr>
              <w:t>FY 2006</w:t>
            </w:r>
          </w:p>
        </w:tc>
        <w:tc>
          <w:tcPr>
            <w:tcW w:w="852" w:type="dxa"/>
            <w:shd w:val="clear" w:color="auto" w:fill="FFAC99"/>
            <w:vAlign w:val="center"/>
          </w:tcPr>
          <w:p w:rsidR="00630F6F" w:rsidRPr="00537201" w:rsidRDefault="00630F6F" w:rsidP="007471A8">
            <w:pPr>
              <w:contextualSpacing/>
              <w:jc w:val="center"/>
              <w:rPr>
                <w:b/>
                <w:bCs/>
                <w:sz w:val="16"/>
                <w:szCs w:val="16"/>
              </w:rPr>
            </w:pPr>
            <w:r w:rsidRPr="00537201">
              <w:rPr>
                <w:b/>
                <w:bCs/>
                <w:sz w:val="16"/>
                <w:szCs w:val="16"/>
              </w:rPr>
              <w:t>FY 2007</w:t>
            </w:r>
          </w:p>
        </w:tc>
        <w:tc>
          <w:tcPr>
            <w:tcW w:w="852" w:type="dxa"/>
            <w:shd w:val="clear" w:color="auto" w:fill="FFAC99"/>
            <w:vAlign w:val="center"/>
          </w:tcPr>
          <w:p w:rsidR="00630F6F" w:rsidRPr="00537201" w:rsidRDefault="00630F6F" w:rsidP="007471A8">
            <w:pPr>
              <w:contextualSpacing/>
              <w:jc w:val="center"/>
              <w:rPr>
                <w:b/>
                <w:bCs/>
                <w:sz w:val="16"/>
                <w:szCs w:val="16"/>
              </w:rPr>
            </w:pPr>
            <w:r w:rsidRPr="00537201">
              <w:rPr>
                <w:b/>
                <w:bCs/>
                <w:sz w:val="16"/>
                <w:szCs w:val="16"/>
              </w:rPr>
              <w:t>FY 200</w:t>
            </w:r>
            <w:r>
              <w:rPr>
                <w:b/>
                <w:bCs/>
                <w:sz w:val="16"/>
                <w:szCs w:val="16"/>
              </w:rPr>
              <w:t>8</w:t>
            </w:r>
          </w:p>
        </w:tc>
        <w:tc>
          <w:tcPr>
            <w:tcW w:w="852" w:type="dxa"/>
            <w:shd w:val="clear" w:color="auto" w:fill="FFAC99"/>
            <w:vAlign w:val="center"/>
          </w:tcPr>
          <w:p w:rsidR="00630F6F" w:rsidRPr="00537201" w:rsidRDefault="00630F6F" w:rsidP="007471A8">
            <w:pPr>
              <w:contextualSpacing/>
              <w:jc w:val="center"/>
              <w:rPr>
                <w:b/>
                <w:bCs/>
                <w:sz w:val="16"/>
                <w:szCs w:val="16"/>
              </w:rPr>
            </w:pPr>
            <w:r w:rsidRPr="00537201">
              <w:rPr>
                <w:b/>
                <w:bCs/>
                <w:sz w:val="16"/>
                <w:szCs w:val="16"/>
              </w:rPr>
              <w:t>FY 200</w:t>
            </w:r>
            <w:r>
              <w:rPr>
                <w:b/>
                <w:bCs/>
                <w:sz w:val="16"/>
                <w:szCs w:val="16"/>
              </w:rPr>
              <w:t>9</w:t>
            </w:r>
          </w:p>
        </w:tc>
        <w:tc>
          <w:tcPr>
            <w:tcW w:w="852" w:type="dxa"/>
            <w:shd w:val="clear" w:color="auto" w:fill="FFAC99"/>
            <w:vAlign w:val="center"/>
          </w:tcPr>
          <w:p w:rsidR="00630F6F" w:rsidRPr="00537201" w:rsidRDefault="00630F6F" w:rsidP="007471A8">
            <w:pPr>
              <w:contextualSpacing/>
              <w:jc w:val="center"/>
              <w:rPr>
                <w:b/>
                <w:bCs/>
                <w:sz w:val="16"/>
                <w:szCs w:val="16"/>
              </w:rPr>
            </w:pPr>
            <w:r>
              <w:rPr>
                <w:b/>
                <w:bCs/>
                <w:sz w:val="16"/>
                <w:szCs w:val="16"/>
              </w:rPr>
              <w:t>FY 2010</w:t>
            </w:r>
          </w:p>
        </w:tc>
        <w:tc>
          <w:tcPr>
            <w:tcW w:w="852" w:type="dxa"/>
            <w:shd w:val="clear" w:color="auto" w:fill="FFAC99"/>
            <w:vAlign w:val="center"/>
          </w:tcPr>
          <w:p w:rsidR="00630F6F" w:rsidRPr="00537201" w:rsidRDefault="00630F6F" w:rsidP="007471A8">
            <w:pPr>
              <w:contextualSpacing/>
              <w:jc w:val="center"/>
              <w:rPr>
                <w:b/>
                <w:bCs/>
                <w:sz w:val="16"/>
                <w:szCs w:val="16"/>
              </w:rPr>
            </w:pPr>
            <w:r>
              <w:rPr>
                <w:b/>
                <w:bCs/>
                <w:sz w:val="16"/>
                <w:szCs w:val="16"/>
              </w:rPr>
              <w:t>FY 2011</w:t>
            </w:r>
          </w:p>
        </w:tc>
        <w:tc>
          <w:tcPr>
            <w:tcW w:w="852" w:type="dxa"/>
            <w:shd w:val="clear" w:color="auto" w:fill="FFAC99"/>
            <w:vAlign w:val="center"/>
          </w:tcPr>
          <w:p w:rsidR="00630F6F" w:rsidRPr="00537201" w:rsidRDefault="00630F6F" w:rsidP="007471A8">
            <w:pPr>
              <w:contextualSpacing/>
              <w:jc w:val="center"/>
              <w:rPr>
                <w:b/>
                <w:bCs/>
                <w:sz w:val="16"/>
                <w:szCs w:val="16"/>
              </w:rPr>
            </w:pPr>
            <w:r w:rsidRPr="00537201">
              <w:rPr>
                <w:b/>
                <w:bCs/>
                <w:sz w:val="16"/>
                <w:szCs w:val="16"/>
              </w:rPr>
              <w:t>FY 20</w:t>
            </w:r>
            <w:r>
              <w:rPr>
                <w:b/>
                <w:bCs/>
                <w:sz w:val="16"/>
                <w:szCs w:val="16"/>
              </w:rPr>
              <w:t>12</w:t>
            </w:r>
          </w:p>
        </w:tc>
        <w:tc>
          <w:tcPr>
            <w:tcW w:w="852" w:type="dxa"/>
            <w:shd w:val="clear" w:color="auto" w:fill="FFAC99"/>
            <w:vAlign w:val="center"/>
          </w:tcPr>
          <w:p w:rsidR="00630F6F" w:rsidRPr="00537201" w:rsidRDefault="00630F6F" w:rsidP="007471A8">
            <w:pPr>
              <w:contextualSpacing/>
              <w:jc w:val="center"/>
              <w:rPr>
                <w:b/>
                <w:bCs/>
                <w:sz w:val="16"/>
                <w:szCs w:val="16"/>
              </w:rPr>
            </w:pPr>
            <w:r>
              <w:rPr>
                <w:b/>
                <w:bCs/>
                <w:sz w:val="16"/>
                <w:szCs w:val="16"/>
              </w:rPr>
              <w:t>FY 2013</w:t>
            </w:r>
          </w:p>
        </w:tc>
      </w:tr>
      <w:tr w:rsidR="00630F6F" w:rsidRPr="00537201" w:rsidTr="009552BF">
        <w:trPr>
          <w:trHeight w:val="450"/>
        </w:trPr>
        <w:tc>
          <w:tcPr>
            <w:tcW w:w="4266" w:type="dxa"/>
            <w:gridSpan w:val="2"/>
            <w:vMerge/>
            <w:shd w:val="clear" w:color="auto" w:fill="auto"/>
            <w:vAlign w:val="center"/>
          </w:tcPr>
          <w:p w:rsidR="00630F6F" w:rsidRPr="00537201" w:rsidRDefault="00630F6F" w:rsidP="007471A8">
            <w:pPr>
              <w:contextualSpacing/>
              <w:rPr>
                <w:b/>
                <w:bCs/>
                <w:sz w:val="16"/>
                <w:szCs w:val="16"/>
              </w:rPr>
            </w:pPr>
          </w:p>
        </w:tc>
        <w:tc>
          <w:tcPr>
            <w:tcW w:w="851" w:type="dxa"/>
            <w:shd w:val="clear" w:color="auto" w:fill="auto"/>
            <w:vAlign w:val="center"/>
          </w:tcPr>
          <w:p w:rsidR="00630F6F" w:rsidRPr="00537201" w:rsidRDefault="00630F6F" w:rsidP="007471A8">
            <w:pPr>
              <w:contextualSpacing/>
              <w:jc w:val="center"/>
              <w:rPr>
                <w:b/>
                <w:bCs/>
                <w:sz w:val="16"/>
                <w:szCs w:val="16"/>
              </w:rPr>
            </w:pPr>
            <w:r w:rsidRPr="00537201">
              <w:rPr>
                <w:b/>
                <w:bCs/>
                <w:sz w:val="16"/>
                <w:szCs w:val="16"/>
              </w:rPr>
              <w:t>Actual</w:t>
            </w:r>
          </w:p>
        </w:tc>
        <w:tc>
          <w:tcPr>
            <w:tcW w:w="851" w:type="dxa"/>
            <w:shd w:val="clear" w:color="auto" w:fill="auto"/>
            <w:vAlign w:val="center"/>
          </w:tcPr>
          <w:p w:rsidR="00630F6F" w:rsidRPr="00537201" w:rsidRDefault="00630F6F" w:rsidP="007471A8">
            <w:pPr>
              <w:contextualSpacing/>
              <w:jc w:val="center"/>
              <w:rPr>
                <w:b/>
                <w:bCs/>
                <w:sz w:val="16"/>
                <w:szCs w:val="16"/>
              </w:rPr>
            </w:pPr>
            <w:r w:rsidRPr="00537201">
              <w:rPr>
                <w:b/>
                <w:bCs/>
                <w:sz w:val="16"/>
                <w:szCs w:val="16"/>
              </w:rPr>
              <w:t>Actual</w:t>
            </w:r>
          </w:p>
        </w:tc>
        <w:tc>
          <w:tcPr>
            <w:tcW w:w="852" w:type="dxa"/>
            <w:shd w:val="clear" w:color="auto" w:fill="auto"/>
            <w:vAlign w:val="center"/>
          </w:tcPr>
          <w:p w:rsidR="00630F6F" w:rsidRPr="00537201" w:rsidRDefault="00630F6F" w:rsidP="007471A8">
            <w:pPr>
              <w:contextualSpacing/>
              <w:jc w:val="center"/>
              <w:rPr>
                <w:b/>
                <w:bCs/>
                <w:sz w:val="16"/>
                <w:szCs w:val="16"/>
              </w:rPr>
            </w:pPr>
            <w:r w:rsidRPr="00537201">
              <w:rPr>
                <w:b/>
                <w:bCs/>
                <w:sz w:val="16"/>
                <w:szCs w:val="16"/>
              </w:rPr>
              <w:t>Actual</w:t>
            </w:r>
          </w:p>
        </w:tc>
        <w:tc>
          <w:tcPr>
            <w:tcW w:w="852" w:type="dxa"/>
            <w:shd w:val="clear" w:color="auto" w:fill="auto"/>
            <w:noWrap/>
            <w:vAlign w:val="center"/>
          </w:tcPr>
          <w:p w:rsidR="00630F6F" w:rsidRPr="00537201" w:rsidRDefault="00630F6F" w:rsidP="007471A8">
            <w:pPr>
              <w:contextualSpacing/>
              <w:jc w:val="center"/>
              <w:rPr>
                <w:b/>
                <w:bCs/>
                <w:sz w:val="16"/>
                <w:szCs w:val="16"/>
              </w:rPr>
            </w:pPr>
            <w:r w:rsidRPr="00537201">
              <w:rPr>
                <w:b/>
                <w:bCs/>
                <w:sz w:val="16"/>
                <w:szCs w:val="16"/>
              </w:rPr>
              <w:t>Actual</w:t>
            </w:r>
          </w:p>
        </w:tc>
        <w:tc>
          <w:tcPr>
            <w:tcW w:w="852" w:type="dxa"/>
            <w:shd w:val="clear" w:color="auto" w:fill="auto"/>
            <w:vAlign w:val="center"/>
          </w:tcPr>
          <w:p w:rsidR="00630F6F" w:rsidRPr="00537201" w:rsidRDefault="00630F6F" w:rsidP="007471A8">
            <w:pPr>
              <w:contextualSpacing/>
              <w:jc w:val="center"/>
              <w:rPr>
                <w:b/>
                <w:bCs/>
                <w:sz w:val="16"/>
                <w:szCs w:val="16"/>
              </w:rPr>
            </w:pPr>
            <w:r w:rsidRPr="00537201">
              <w:rPr>
                <w:b/>
                <w:bCs/>
                <w:sz w:val="16"/>
                <w:szCs w:val="16"/>
              </w:rPr>
              <w:t>Actual</w:t>
            </w:r>
          </w:p>
        </w:tc>
        <w:tc>
          <w:tcPr>
            <w:tcW w:w="852" w:type="dxa"/>
            <w:shd w:val="clear" w:color="auto" w:fill="auto"/>
            <w:noWrap/>
            <w:vAlign w:val="center"/>
          </w:tcPr>
          <w:p w:rsidR="00630F6F" w:rsidRPr="00537201" w:rsidRDefault="00630F6F" w:rsidP="007471A8">
            <w:pPr>
              <w:contextualSpacing/>
              <w:jc w:val="center"/>
              <w:rPr>
                <w:b/>
                <w:bCs/>
                <w:sz w:val="16"/>
                <w:szCs w:val="16"/>
              </w:rPr>
            </w:pPr>
            <w:r>
              <w:rPr>
                <w:b/>
                <w:bCs/>
                <w:sz w:val="16"/>
                <w:szCs w:val="16"/>
              </w:rPr>
              <w:t>Actual</w:t>
            </w:r>
          </w:p>
        </w:tc>
        <w:tc>
          <w:tcPr>
            <w:tcW w:w="852" w:type="dxa"/>
            <w:shd w:val="clear" w:color="auto" w:fill="auto"/>
            <w:noWrap/>
            <w:vAlign w:val="center"/>
          </w:tcPr>
          <w:p w:rsidR="00630F6F" w:rsidRPr="00537201" w:rsidRDefault="00630F6F" w:rsidP="007471A8">
            <w:pPr>
              <w:contextualSpacing/>
              <w:jc w:val="center"/>
              <w:rPr>
                <w:b/>
                <w:bCs/>
                <w:sz w:val="16"/>
                <w:szCs w:val="16"/>
              </w:rPr>
            </w:pPr>
            <w:r w:rsidRPr="00537201">
              <w:rPr>
                <w:b/>
                <w:bCs/>
                <w:sz w:val="16"/>
                <w:szCs w:val="16"/>
              </w:rPr>
              <w:t>Actual</w:t>
            </w:r>
          </w:p>
        </w:tc>
        <w:tc>
          <w:tcPr>
            <w:tcW w:w="852" w:type="dxa"/>
            <w:vAlign w:val="center"/>
          </w:tcPr>
          <w:p w:rsidR="00630F6F" w:rsidRPr="00537201" w:rsidRDefault="00630F6F" w:rsidP="007471A8">
            <w:pPr>
              <w:contextualSpacing/>
              <w:jc w:val="center"/>
              <w:rPr>
                <w:b/>
                <w:bCs/>
                <w:sz w:val="16"/>
                <w:szCs w:val="16"/>
              </w:rPr>
            </w:pPr>
            <w:r>
              <w:rPr>
                <w:b/>
                <w:bCs/>
                <w:sz w:val="16"/>
                <w:szCs w:val="16"/>
              </w:rPr>
              <w:t>Actual</w:t>
            </w:r>
          </w:p>
        </w:tc>
        <w:tc>
          <w:tcPr>
            <w:tcW w:w="852" w:type="dxa"/>
            <w:tcBorders>
              <w:bottom w:val="single" w:sz="4" w:space="0" w:color="auto"/>
            </w:tcBorders>
            <w:vAlign w:val="center"/>
          </w:tcPr>
          <w:p w:rsidR="00630F6F" w:rsidRPr="00537201" w:rsidRDefault="00630F6F" w:rsidP="007471A8">
            <w:pPr>
              <w:contextualSpacing/>
              <w:jc w:val="center"/>
              <w:rPr>
                <w:b/>
                <w:bCs/>
                <w:sz w:val="16"/>
                <w:szCs w:val="16"/>
              </w:rPr>
            </w:pPr>
            <w:r>
              <w:rPr>
                <w:b/>
                <w:bCs/>
                <w:sz w:val="16"/>
                <w:szCs w:val="16"/>
              </w:rPr>
              <w:t>Actual</w:t>
            </w:r>
          </w:p>
        </w:tc>
        <w:tc>
          <w:tcPr>
            <w:tcW w:w="852" w:type="dxa"/>
            <w:tcBorders>
              <w:bottom w:val="single" w:sz="4" w:space="0" w:color="auto"/>
            </w:tcBorders>
            <w:vAlign w:val="center"/>
          </w:tcPr>
          <w:p w:rsidR="00630F6F" w:rsidRPr="00537201" w:rsidRDefault="00630F6F" w:rsidP="007471A8">
            <w:pPr>
              <w:contextualSpacing/>
              <w:jc w:val="center"/>
              <w:rPr>
                <w:b/>
                <w:bCs/>
                <w:sz w:val="16"/>
                <w:szCs w:val="16"/>
              </w:rPr>
            </w:pPr>
            <w:r w:rsidRPr="00537201">
              <w:rPr>
                <w:b/>
                <w:bCs/>
                <w:sz w:val="16"/>
                <w:szCs w:val="16"/>
              </w:rPr>
              <w:t>Target</w:t>
            </w:r>
          </w:p>
        </w:tc>
        <w:tc>
          <w:tcPr>
            <w:tcW w:w="852" w:type="dxa"/>
            <w:tcBorders>
              <w:bottom w:val="single" w:sz="4" w:space="0" w:color="auto"/>
            </w:tcBorders>
            <w:vAlign w:val="center"/>
          </w:tcPr>
          <w:p w:rsidR="00630F6F" w:rsidRPr="00537201" w:rsidRDefault="00630F6F" w:rsidP="007471A8">
            <w:pPr>
              <w:contextualSpacing/>
              <w:jc w:val="center"/>
              <w:rPr>
                <w:b/>
                <w:bCs/>
                <w:sz w:val="16"/>
                <w:szCs w:val="16"/>
              </w:rPr>
            </w:pPr>
            <w:r>
              <w:rPr>
                <w:b/>
                <w:bCs/>
                <w:sz w:val="16"/>
                <w:szCs w:val="16"/>
              </w:rPr>
              <w:t>Target</w:t>
            </w:r>
          </w:p>
        </w:tc>
      </w:tr>
      <w:tr w:rsidR="00630F6F" w:rsidRPr="00537201" w:rsidTr="009552BF">
        <w:trPr>
          <w:trHeight w:val="585"/>
        </w:trPr>
        <w:tc>
          <w:tcPr>
            <w:tcW w:w="1368" w:type="dxa"/>
            <w:shd w:val="clear" w:color="auto" w:fill="auto"/>
            <w:vAlign w:val="center"/>
          </w:tcPr>
          <w:p w:rsidR="00630F6F" w:rsidRPr="00D4248A" w:rsidRDefault="00630F6F" w:rsidP="007471A8">
            <w:pPr>
              <w:contextualSpacing/>
              <w:rPr>
                <w:b/>
                <w:bCs/>
                <w:color w:val="000000"/>
                <w:sz w:val="16"/>
                <w:szCs w:val="16"/>
              </w:rPr>
            </w:pPr>
            <w:r w:rsidRPr="00D4248A">
              <w:rPr>
                <w:b/>
                <w:bCs/>
                <w:color w:val="000000"/>
                <w:sz w:val="16"/>
                <w:szCs w:val="16"/>
              </w:rPr>
              <w:t xml:space="preserve">Performance  Measure </w:t>
            </w:r>
          </w:p>
        </w:tc>
        <w:tc>
          <w:tcPr>
            <w:tcW w:w="2898" w:type="dxa"/>
            <w:vAlign w:val="center"/>
          </w:tcPr>
          <w:p w:rsidR="00630F6F" w:rsidRPr="00046D0D" w:rsidRDefault="00630F6F" w:rsidP="007471A8">
            <w:pPr>
              <w:contextualSpacing/>
              <w:rPr>
                <w:color w:val="000000"/>
                <w:sz w:val="16"/>
                <w:szCs w:val="16"/>
              </w:rPr>
            </w:pPr>
            <w:r w:rsidRPr="00046D0D">
              <w:rPr>
                <w:color w:val="000000"/>
                <w:sz w:val="16"/>
                <w:szCs w:val="16"/>
              </w:rPr>
              <w:t>% of Counterterrorism FISA collection reviewed by the Language Program:</w:t>
            </w:r>
          </w:p>
          <w:p w:rsidR="00630F6F" w:rsidRPr="00046D0D" w:rsidRDefault="00630F6F" w:rsidP="007471A8">
            <w:pPr>
              <w:numPr>
                <w:ilvl w:val="0"/>
                <w:numId w:val="43"/>
              </w:numPr>
              <w:contextualSpacing/>
              <w:rPr>
                <w:color w:val="000000"/>
                <w:sz w:val="16"/>
                <w:szCs w:val="16"/>
              </w:rPr>
            </w:pPr>
            <w:r w:rsidRPr="00046D0D">
              <w:rPr>
                <w:color w:val="000000"/>
                <w:sz w:val="16"/>
                <w:szCs w:val="16"/>
              </w:rPr>
              <w:t>Audio</w:t>
            </w:r>
          </w:p>
          <w:p w:rsidR="00630F6F" w:rsidRPr="00046D0D" w:rsidRDefault="00630F6F" w:rsidP="007471A8">
            <w:pPr>
              <w:numPr>
                <w:ilvl w:val="0"/>
                <w:numId w:val="43"/>
              </w:numPr>
              <w:contextualSpacing/>
              <w:rPr>
                <w:color w:val="000000"/>
                <w:sz w:val="16"/>
                <w:szCs w:val="16"/>
              </w:rPr>
            </w:pPr>
            <w:r w:rsidRPr="00046D0D">
              <w:rPr>
                <w:color w:val="000000"/>
                <w:sz w:val="16"/>
                <w:szCs w:val="16"/>
              </w:rPr>
              <w:t>Text</w:t>
            </w:r>
          </w:p>
          <w:p w:rsidR="00630F6F" w:rsidRPr="00046D0D" w:rsidRDefault="00630F6F" w:rsidP="007471A8">
            <w:pPr>
              <w:numPr>
                <w:ilvl w:val="0"/>
                <w:numId w:val="43"/>
              </w:numPr>
              <w:contextualSpacing/>
              <w:rPr>
                <w:color w:val="000000"/>
                <w:sz w:val="16"/>
                <w:szCs w:val="16"/>
              </w:rPr>
            </w:pPr>
            <w:r w:rsidRPr="00046D0D">
              <w:rPr>
                <w:color w:val="000000"/>
                <w:sz w:val="16"/>
                <w:szCs w:val="16"/>
              </w:rPr>
              <w:t>Electronic File</w:t>
            </w:r>
          </w:p>
        </w:tc>
        <w:tc>
          <w:tcPr>
            <w:tcW w:w="851" w:type="dxa"/>
            <w:shd w:val="clear" w:color="auto" w:fill="auto"/>
            <w:noWrap/>
            <w:vAlign w:val="bottom"/>
          </w:tcPr>
          <w:p w:rsidR="00630F6F" w:rsidRDefault="00630F6F" w:rsidP="007471A8">
            <w:pPr>
              <w:tabs>
                <w:tab w:val="left" w:pos="-1440"/>
              </w:tabs>
              <w:contextualSpacing/>
              <w:jc w:val="right"/>
              <w:rPr>
                <w:sz w:val="16"/>
                <w:szCs w:val="16"/>
              </w:rPr>
            </w:pPr>
            <w:r>
              <w:rPr>
                <w:sz w:val="16"/>
                <w:szCs w:val="16"/>
              </w:rPr>
              <w:t>N/A</w:t>
            </w:r>
          </w:p>
          <w:p w:rsidR="00630F6F" w:rsidRDefault="00630F6F" w:rsidP="007471A8">
            <w:pPr>
              <w:tabs>
                <w:tab w:val="left" w:pos="-1440"/>
              </w:tabs>
              <w:contextualSpacing/>
              <w:jc w:val="right"/>
              <w:rPr>
                <w:sz w:val="16"/>
                <w:szCs w:val="16"/>
              </w:rPr>
            </w:pPr>
            <w:r>
              <w:rPr>
                <w:sz w:val="16"/>
                <w:szCs w:val="16"/>
              </w:rPr>
              <w:t>N/A</w:t>
            </w:r>
          </w:p>
          <w:p w:rsidR="00630F6F" w:rsidRPr="00537201" w:rsidRDefault="00630F6F" w:rsidP="007471A8">
            <w:pPr>
              <w:tabs>
                <w:tab w:val="left" w:pos="-1440"/>
              </w:tabs>
              <w:contextualSpacing/>
              <w:jc w:val="right"/>
              <w:rPr>
                <w:sz w:val="16"/>
                <w:szCs w:val="16"/>
              </w:rPr>
            </w:pPr>
            <w:r>
              <w:rPr>
                <w:sz w:val="16"/>
                <w:szCs w:val="16"/>
              </w:rPr>
              <w:t>N/A</w:t>
            </w:r>
          </w:p>
        </w:tc>
        <w:tc>
          <w:tcPr>
            <w:tcW w:w="851" w:type="dxa"/>
            <w:shd w:val="clear" w:color="auto" w:fill="auto"/>
            <w:noWrap/>
            <w:vAlign w:val="bottom"/>
          </w:tcPr>
          <w:p w:rsidR="00630F6F" w:rsidRDefault="00630F6F" w:rsidP="007471A8">
            <w:pPr>
              <w:tabs>
                <w:tab w:val="left" w:pos="-1440"/>
              </w:tabs>
              <w:contextualSpacing/>
              <w:jc w:val="right"/>
              <w:rPr>
                <w:sz w:val="16"/>
                <w:szCs w:val="16"/>
              </w:rPr>
            </w:pPr>
            <w:r>
              <w:rPr>
                <w:sz w:val="16"/>
                <w:szCs w:val="16"/>
              </w:rPr>
              <w:t>N/A</w:t>
            </w:r>
          </w:p>
          <w:p w:rsidR="00630F6F" w:rsidRDefault="00630F6F" w:rsidP="007471A8">
            <w:pPr>
              <w:tabs>
                <w:tab w:val="left" w:pos="-1440"/>
              </w:tabs>
              <w:contextualSpacing/>
              <w:jc w:val="right"/>
              <w:rPr>
                <w:sz w:val="16"/>
                <w:szCs w:val="16"/>
              </w:rPr>
            </w:pPr>
            <w:r>
              <w:rPr>
                <w:sz w:val="16"/>
                <w:szCs w:val="16"/>
              </w:rPr>
              <w:t>N/A</w:t>
            </w:r>
          </w:p>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bottom"/>
          </w:tcPr>
          <w:p w:rsidR="00630F6F" w:rsidRDefault="00630F6F" w:rsidP="007471A8">
            <w:pPr>
              <w:tabs>
                <w:tab w:val="left" w:pos="-1440"/>
              </w:tabs>
              <w:contextualSpacing/>
              <w:jc w:val="right"/>
              <w:rPr>
                <w:sz w:val="16"/>
                <w:szCs w:val="16"/>
              </w:rPr>
            </w:pPr>
            <w:r>
              <w:rPr>
                <w:sz w:val="16"/>
                <w:szCs w:val="16"/>
              </w:rPr>
              <w:t>94%</w:t>
            </w:r>
          </w:p>
          <w:p w:rsidR="00630F6F" w:rsidRDefault="00630F6F" w:rsidP="007471A8">
            <w:pPr>
              <w:tabs>
                <w:tab w:val="left" w:pos="-1440"/>
              </w:tabs>
              <w:contextualSpacing/>
              <w:jc w:val="right"/>
              <w:rPr>
                <w:sz w:val="16"/>
                <w:szCs w:val="16"/>
              </w:rPr>
            </w:pPr>
            <w:r>
              <w:rPr>
                <w:sz w:val="16"/>
                <w:szCs w:val="16"/>
              </w:rPr>
              <w:t>100%</w:t>
            </w:r>
          </w:p>
          <w:p w:rsidR="00630F6F" w:rsidRPr="00537201" w:rsidRDefault="00630F6F" w:rsidP="007471A8">
            <w:pPr>
              <w:tabs>
                <w:tab w:val="left" w:pos="-1440"/>
              </w:tabs>
              <w:contextualSpacing/>
              <w:jc w:val="right"/>
              <w:rPr>
                <w:sz w:val="16"/>
                <w:szCs w:val="16"/>
              </w:rPr>
            </w:pPr>
            <w:r>
              <w:rPr>
                <w:sz w:val="16"/>
                <w:szCs w:val="16"/>
              </w:rPr>
              <w:t>99%</w:t>
            </w:r>
          </w:p>
        </w:tc>
        <w:tc>
          <w:tcPr>
            <w:tcW w:w="852" w:type="dxa"/>
            <w:shd w:val="clear" w:color="auto" w:fill="auto"/>
            <w:noWrap/>
            <w:vAlign w:val="bottom"/>
          </w:tcPr>
          <w:p w:rsidR="00630F6F" w:rsidRDefault="00630F6F" w:rsidP="007471A8">
            <w:pPr>
              <w:tabs>
                <w:tab w:val="left" w:pos="-1440"/>
              </w:tabs>
              <w:contextualSpacing/>
              <w:jc w:val="right"/>
              <w:rPr>
                <w:sz w:val="16"/>
                <w:szCs w:val="16"/>
              </w:rPr>
            </w:pPr>
            <w:r>
              <w:rPr>
                <w:sz w:val="16"/>
                <w:szCs w:val="16"/>
              </w:rPr>
              <w:t>88%</w:t>
            </w:r>
          </w:p>
          <w:p w:rsidR="00630F6F" w:rsidRDefault="00630F6F" w:rsidP="007471A8">
            <w:pPr>
              <w:tabs>
                <w:tab w:val="left" w:pos="-1440"/>
              </w:tabs>
              <w:contextualSpacing/>
              <w:jc w:val="right"/>
              <w:rPr>
                <w:sz w:val="16"/>
                <w:szCs w:val="16"/>
              </w:rPr>
            </w:pPr>
            <w:r>
              <w:rPr>
                <w:sz w:val="16"/>
                <w:szCs w:val="16"/>
              </w:rPr>
              <w:t>99%</w:t>
            </w:r>
          </w:p>
          <w:p w:rsidR="00630F6F" w:rsidRPr="00537201" w:rsidRDefault="00630F6F" w:rsidP="007471A8">
            <w:pPr>
              <w:tabs>
                <w:tab w:val="left" w:pos="-1440"/>
              </w:tabs>
              <w:contextualSpacing/>
              <w:jc w:val="right"/>
              <w:rPr>
                <w:sz w:val="16"/>
                <w:szCs w:val="16"/>
              </w:rPr>
            </w:pPr>
            <w:r>
              <w:rPr>
                <w:sz w:val="16"/>
                <w:szCs w:val="16"/>
              </w:rPr>
              <w:t>94%</w:t>
            </w:r>
          </w:p>
        </w:tc>
        <w:tc>
          <w:tcPr>
            <w:tcW w:w="852" w:type="dxa"/>
            <w:shd w:val="clear" w:color="auto" w:fill="auto"/>
            <w:noWrap/>
            <w:vAlign w:val="bottom"/>
          </w:tcPr>
          <w:p w:rsidR="00630F6F" w:rsidRPr="0092507D" w:rsidRDefault="00630F6F" w:rsidP="007471A8">
            <w:pPr>
              <w:tabs>
                <w:tab w:val="left" w:pos="-1440"/>
              </w:tabs>
              <w:contextualSpacing/>
              <w:jc w:val="right"/>
              <w:rPr>
                <w:sz w:val="16"/>
                <w:szCs w:val="16"/>
              </w:rPr>
            </w:pPr>
            <w:r>
              <w:rPr>
                <w:sz w:val="16"/>
                <w:szCs w:val="16"/>
              </w:rPr>
              <w:t>97</w:t>
            </w:r>
            <w:r w:rsidRPr="0092507D">
              <w:rPr>
                <w:sz w:val="16"/>
                <w:szCs w:val="16"/>
              </w:rPr>
              <w:t>%</w:t>
            </w:r>
          </w:p>
          <w:p w:rsidR="00630F6F" w:rsidRPr="0092507D" w:rsidRDefault="00630F6F" w:rsidP="007471A8">
            <w:pPr>
              <w:tabs>
                <w:tab w:val="left" w:pos="-1440"/>
              </w:tabs>
              <w:contextualSpacing/>
              <w:jc w:val="right"/>
              <w:rPr>
                <w:sz w:val="16"/>
                <w:szCs w:val="16"/>
              </w:rPr>
            </w:pPr>
            <w:r>
              <w:rPr>
                <w:sz w:val="16"/>
                <w:szCs w:val="16"/>
              </w:rPr>
              <w:t>102</w:t>
            </w:r>
            <w:r w:rsidRPr="0092507D">
              <w:rPr>
                <w:sz w:val="16"/>
                <w:szCs w:val="16"/>
              </w:rPr>
              <w:t>%</w:t>
            </w:r>
          </w:p>
          <w:p w:rsidR="00630F6F" w:rsidRPr="0092507D" w:rsidRDefault="00630F6F" w:rsidP="007471A8">
            <w:pPr>
              <w:tabs>
                <w:tab w:val="left" w:pos="-1440"/>
              </w:tabs>
              <w:contextualSpacing/>
              <w:jc w:val="right"/>
              <w:rPr>
                <w:sz w:val="16"/>
                <w:szCs w:val="16"/>
              </w:rPr>
            </w:pPr>
            <w:r>
              <w:rPr>
                <w:sz w:val="16"/>
                <w:szCs w:val="16"/>
              </w:rPr>
              <w:t>95</w:t>
            </w:r>
            <w:r w:rsidRPr="0092507D">
              <w:rPr>
                <w:sz w:val="16"/>
                <w:szCs w:val="16"/>
              </w:rPr>
              <w:t>%</w:t>
            </w:r>
          </w:p>
        </w:tc>
        <w:tc>
          <w:tcPr>
            <w:tcW w:w="852" w:type="dxa"/>
            <w:shd w:val="clear" w:color="auto" w:fill="auto"/>
            <w:noWrap/>
            <w:vAlign w:val="bottom"/>
          </w:tcPr>
          <w:p w:rsidR="00630F6F" w:rsidRPr="0092507D" w:rsidRDefault="00630F6F" w:rsidP="007471A8">
            <w:pPr>
              <w:tabs>
                <w:tab w:val="left" w:pos="-1440"/>
              </w:tabs>
              <w:contextualSpacing/>
              <w:jc w:val="right"/>
              <w:rPr>
                <w:sz w:val="16"/>
                <w:szCs w:val="16"/>
              </w:rPr>
            </w:pPr>
            <w:r>
              <w:rPr>
                <w:sz w:val="16"/>
                <w:szCs w:val="16"/>
              </w:rPr>
              <w:t>91</w:t>
            </w:r>
            <w:r w:rsidRPr="0092507D">
              <w:rPr>
                <w:sz w:val="16"/>
                <w:szCs w:val="16"/>
              </w:rPr>
              <w:t>%</w:t>
            </w:r>
          </w:p>
          <w:p w:rsidR="00630F6F" w:rsidRPr="0092507D" w:rsidRDefault="00630F6F" w:rsidP="007471A8">
            <w:pPr>
              <w:tabs>
                <w:tab w:val="left" w:pos="-1440"/>
              </w:tabs>
              <w:contextualSpacing/>
              <w:jc w:val="right"/>
              <w:rPr>
                <w:sz w:val="16"/>
                <w:szCs w:val="16"/>
              </w:rPr>
            </w:pPr>
            <w:r>
              <w:rPr>
                <w:sz w:val="16"/>
                <w:szCs w:val="16"/>
              </w:rPr>
              <w:t>114</w:t>
            </w:r>
            <w:r w:rsidRPr="0092507D">
              <w:rPr>
                <w:sz w:val="16"/>
                <w:szCs w:val="16"/>
              </w:rPr>
              <w:t>%</w:t>
            </w:r>
          </w:p>
          <w:p w:rsidR="00630F6F" w:rsidRPr="0092507D" w:rsidRDefault="00630F6F" w:rsidP="007471A8">
            <w:pPr>
              <w:tabs>
                <w:tab w:val="left" w:pos="-1440"/>
              </w:tabs>
              <w:contextualSpacing/>
              <w:jc w:val="right"/>
              <w:rPr>
                <w:sz w:val="16"/>
                <w:szCs w:val="16"/>
              </w:rPr>
            </w:pPr>
            <w:r>
              <w:rPr>
                <w:sz w:val="16"/>
                <w:szCs w:val="16"/>
              </w:rPr>
              <w:t>57</w:t>
            </w:r>
            <w:r w:rsidRPr="0092507D">
              <w:rPr>
                <w:sz w:val="16"/>
                <w:szCs w:val="16"/>
              </w:rPr>
              <w:t>%</w:t>
            </w:r>
          </w:p>
        </w:tc>
        <w:tc>
          <w:tcPr>
            <w:tcW w:w="852" w:type="dxa"/>
            <w:shd w:val="clear" w:color="auto" w:fill="auto"/>
            <w:noWrap/>
            <w:vAlign w:val="bottom"/>
          </w:tcPr>
          <w:p w:rsidR="00630F6F" w:rsidRPr="00B23A3C" w:rsidRDefault="00630F6F" w:rsidP="007471A8">
            <w:pPr>
              <w:tabs>
                <w:tab w:val="left" w:pos="-1440"/>
              </w:tabs>
              <w:contextualSpacing/>
              <w:jc w:val="right"/>
              <w:rPr>
                <w:sz w:val="16"/>
                <w:szCs w:val="16"/>
              </w:rPr>
            </w:pPr>
            <w:r w:rsidRPr="00B23A3C">
              <w:rPr>
                <w:sz w:val="16"/>
                <w:szCs w:val="16"/>
              </w:rPr>
              <w:t>85%</w:t>
            </w:r>
          </w:p>
          <w:p w:rsidR="00630F6F" w:rsidRPr="00B23A3C" w:rsidRDefault="00630F6F" w:rsidP="007471A8">
            <w:pPr>
              <w:tabs>
                <w:tab w:val="left" w:pos="-1440"/>
              </w:tabs>
              <w:contextualSpacing/>
              <w:jc w:val="right"/>
              <w:rPr>
                <w:sz w:val="16"/>
                <w:szCs w:val="16"/>
              </w:rPr>
            </w:pPr>
            <w:r w:rsidRPr="00B23A3C">
              <w:rPr>
                <w:sz w:val="16"/>
                <w:szCs w:val="16"/>
              </w:rPr>
              <w:t>100%</w:t>
            </w:r>
          </w:p>
          <w:p w:rsidR="00630F6F" w:rsidRPr="00B23A3C" w:rsidRDefault="00630F6F" w:rsidP="007471A8">
            <w:pPr>
              <w:tabs>
                <w:tab w:val="left" w:pos="-1440"/>
              </w:tabs>
              <w:contextualSpacing/>
              <w:jc w:val="right"/>
              <w:rPr>
                <w:sz w:val="16"/>
                <w:szCs w:val="16"/>
              </w:rPr>
            </w:pPr>
            <w:r w:rsidRPr="00B23A3C">
              <w:rPr>
                <w:sz w:val="16"/>
                <w:szCs w:val="16"/>
              </w:rPr>
              <w:t>87%</w:t>
            </w:r>
          </w:p>
        </w:tc>
        <w:tc>
          <w:tcPr>
            <w:tcW w:w="852" w:type="dxa"/>
            <w:shd w:val="clear" w:color="auto" w:fill="auto"/>
            <w:vAlign w:val="bottom"/>
          </w:tcPr>
          <w:p w:rsidR="00630F6F" w:rsidRPr="00B23A3C" w:rsidRDefault="00630F6F" w:rsidP="007471A8">
            <w:pPr>
              <w:tabs>
                <w:tab w:val="left" w:pos="-1440"/>
              </w:tabs>
              <w:contextualSpacing/>
              <w:jc w:val="right"/>
              <w:rPr>
                <w:sz w:val="16"/>
                <w:szCs w:val="16"/>
              </w:rPr>
            </w:pPr>
            <w:r>
              <w:rPr>
                <w:sz w:val="16"/>
                <w:szCs w:val="16"/>
              </w:rPr>
              <w:t>95%     98%       39%</w:t>
            </w:r>
          </w:p>
        </w:tc>
        <w:tc>
          <w:tcPr>
            <w:tcW w:w="852" w:type="dxa"/>
            <w:tcBorders>
              <w:bottom w:val="single" w:sz="4" w:space="0" w:color="auto"/>
            </w:tcBorders>
            <w:shd w:val="clear" w:color="auto" w:fill="auto"/>
            <w:vAlign w:val="bottom"/>
          </w:tcPr>
          <w:p w:rsidR="00630F6F" w:rsidRDefault="00630F6F" w:rsidP="007471A8">
            <w:pPr>
              <w:tabs>
                <w:tab w:val="left" w:pos="-1440"/>
              </w:tabs>
              <w:contextualSpacing/>
              <w:jc w:val="right"/>
              <w:rPr>
                <w:sz w:val="16"/>
                <w:szCs w:val="16"/>
              </w:rPr>
            </w:pPr>
            <w:r>
              <w:rPr>
                <w:sz w:val="16"/>
                <w:szCs w:val="16"/>
              </w:rPr>
              <w:t>83%</w:t>
            </w:r>
          </w:p>
          <w:p w:rsidR="00630F6F" w:rsidRDefault="00630F6F" w:rsidP="007471A8">
            <w:pPr>
              <w:tabs>
                <w:tab w:val="left" w:pos="-1440"/>
              </w:tabs>
              <w:contextualSpacing/>
              <w:jc w:val="right"/>
              <w:rPr>
                <w:sz w:val="16"/>
                <w:szCs w:val="16"/>
              </w:rPr>
            </w:pPr>
            <w:r>
              <w:rPr>
                <w:sz w:val="16"/>
                <w:szCs w:val="16"/>
              </w:rPr>
              <w:t>138%</w:t>
            </w:r>
          </w:p>
          <w:p w:rsidR="00630F6F" w:rsidRPr="00C6171E" w:rsidRDefault="00630F6F" w:rsidP="007471A8">
            <w:pPr>
              <w:tabs>
                <w:tab w:val="left" w:pos="-1440"/>
              </w:tabs>
              <w:contextualSpacing/>
              <w:jc w:val="right"/>
              <w:rPr>
                <w:sz w:val="16"/>
                <w:szCs w:val="16"/>
              </w:rPr>
            </w:pPr>
            <w:r>
              <w:rPr>
                <w:sz w:val="16"/>
                <w:szCs w:val="16"/>
              </w:rPr>
              <w:t>39%</w:t>
            </w:r>
          </w:p>
        </w:tc>
        <w:tc>
          <w:tcPr>
            <w:tcW w:w="852" w:type="dxa"/>
            <w:tcBorders>
              <w:bottom w:val="single" w:sz="4" w:space="0" w:color="auto"/>
            </w:tcBorders>
            <w:shd w:val="clear" w:color="auto" w:fill="auto"/>
            <w:vAlign w:val="bottom"/>
          </w:tcPr>
          <w:p w:rsidR="00630F6F" w:rsidRPr="00C6171E" w:rsidRDefault="00630F6F" w:rsidP="007471A8">
            <w:pPr>
              <w:tabs>
                <w:tab w:val="left" w:pos="-1440"/>
              </w:tabs>
              <w:contextualSpacing/>
              <w:jc w:val="right"/>
              <w:rPr>
                <w:sz w:val="16"/>
                <w:szCs w:val="16"/>
              </w:rPr>
            </w:pPr>
            <w:r w:rsidRPr="00C6171E">
              <w:rPr>
                <w:sz w:val="16"/>
                <w:szCs w:val="16"/>
              </w:rPr>
              <w:t>100%</w:t>
            </w:r>
          </w:p>
          <w:p w:rsidR="00630F6F" w:rsidRPr="00C6171E" w:rsidRDefault="00630F6F" w:rsidP="007471A8">
            <w:pPr>
              <w:tabs>
                <w:tab w:val="left" w:pos="-1440"/>
              </w:tabs>
              <w:contextualSpacing/>
              <w:jc w:val="right"/>
              <w:rPr>
                <w:sz w:val="16"/>
                <w:szCs w:val="16"/>
              </w:rPr>
            </w:pPr>
            <w:r w:rsidRPr="00C6171E">
              <w:rPr>
                <w:sz w:val="16"/>
                <w:szCs w:val="16"/>
              </w:rPr>
              <w:t>100%</w:t>
            </w:r>
          </w:p>
          <w:p w:rsidR="00630F6F" w:rsidRPr="00C6171E" w:rsidRDefault="00630F6F" w:rsidP="007471A8">
            <w:pPr>
              <w:tabs>
                <w:tab w:val="left" w:pos="-1440"/>
              </w:tabs>
              <w:contextualSpacing/>
              <w:jc w:val="right"/>
              <w:rPr>
                <w:sz w:val="16"/>
                <w:szCs w:val="16"/>
              </w:rPr>
            </w:pPr>
            <w:r>
              <w:rPr>
                <w:sz w:val="16"/>
                <w:szCs w:val="16"/>
              </w:rPr>
              <w:t>50</w:t>
            </w:r>
            <w:r w:rsidRPr="00C6171E">
              <w:rPr>
                <w:sz w:val="16"/>
                <w:szCs w:val="16"/>
              </w:rPr>
              <w:t>%</w:t>
            </w:r>
          </w:p>
        </w:tc>
        <w:tc>
          <w:tcPr>
            <w:tcW w:w="852" w:type="dxa"/>
            <w:tcBorders>
              <w:bottom w:val="single" w:sz="4" w:space="0" w:color="auto"/>
            </w:tcBorders>
            <w:shd w:val="clear" w:color="auto" w:fill="auto"/>
            <w:vAlign w:val="bottom"/>
          </w:tcPr>
          <w:p w:rsidR="00630F6F" w:rsidRPr="00286775" w:rsidRDefault="00630F6F" w:rsidP="007471A8">
            <w:pPr>
              <w:tabs>
                <w:tab w:val="left" w:pos="-1440"/>
              </w:tabs>
              <w:contextualSpacing/>
              <w:jc w:val="right"/>
              <w:rPr>
                <w:sz w:val="16"/>
                <w:szCs w:val="16"/>
              </w:rPr>
            </w:pPr>
            <w:r w:rsidRPr="00286775">
              <w:rPr>
                <w:sz w:val="16"/>
                <w:szCs w:val="16"/>
              </w:rPr>
              <w:t>100%</w:t>
            </w:r>
          </w:p>
          <w:p w:rsidR="00630F6F" w:rsidRPr="00286775" w:rsidRDefault="00630F6F" w:rsidP="007471A8">
            <w:pPr>
              <w:tabs>
                <w:tab w:val="left" w:pos="-1440"/>
              </w:tabs>
              <w:contextualSpacing/>
              <w:jc w:val="right"/>
              <w:rPr>
                <w:sz w:val="16"/>
                <w:szCs w:val="16"/>
              </w:rPr>
            </w:pPr>
            <w:r w:rsidRPr="00286775">
              <w:rPr>
                <w:sz w:val="16"/>
                <w:szCs w:val="16"/>
              </w:rPr>
              <w:t>100%</w:t>
            </w:r>
          </w:p>
          <w:p w:rsidR="00630F6F" w:rsidRPr="00286775" w:rsidRDefault="00630F6F" w:rsidP="007471A8">
            <w:pPr>
              <w:tabs>
                <w:tab w:val="left" w:pos="-1440"/>
              </w:tabs>
              <w:contextualSpacing/>
              <w:jc w:val="right"/>
              <w:rPr>
                <w:sz w:val="16"/>
                <w:szCs w:val="16"/>
              </w:rPr>
            </w:pPr>
            <w:r>
              <w:rPr>
                <w:sz w:val="16"/>
                <w:szCs w:val="16"/>
              </w:rPr>
              <w:t>50</w:t>
            </w:r>
            <w:r w:rsidRPr="00286775">
              <w:rPr>
                <w:sz w:val="16"/>
                <w:szCs w:val="16"/>
              </w:rPr>
              <w:t>%</w:t>
            </w:r>
          </w:p>
        </w:tc>
      </w:tr>
      <w:tr w:rsidR="00630F6F" w:rsidRPr="00537201" w:rsidTr="009552BF">
        <w:trPr>
          <w:trHeight w:val="600"/>
        </w:trPr>
        <w:tc>
          <w:tcPr>
            <w:tcW w:w="1368" w:type="dxa"/>
            <w:shd w:val="clear" w:color="auto" w:fill="auto"/>
            <w:vAlign w:val="center"/>
          </w:tcPr>
          <w:p w:rsidR="00630F6F" w:rsidRDefault="00630F6F" w:rsidP="007471A8">
            <w:pPr>
              <w:contextualSpacing/>
              <w:rPr>
                <w:b/>
                <w:bCs/>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898" w:type="dxa"/>
            <w:vAlign w:val="center"/>
          </w:tcPr>
          <w:p w:rsidR="00630F6F" w:rsidRPr="00046D0D" w:rsidRDefault="00630F6F" w:rsidP="007471A8">
            <w:pPr>
              <w:pStyle w:val="Heading3"/>
              <w:contextualSpacing/>
              <w:rPr>
                <w:b w:val="0"/>
                <w:bCs w:val="0"/>
                <w:sz w:val="16"/>
                <w:szCs w:val="16"/>
              </w:rPr>
            </w:pPr>
            <w:r>
              <w:rPr>
                <w:b w:val="0"/>
                <w:bCs w:val="0"/>
                <w:sz w:val="16"/>
                <w:szCs w:val="16"/>
              </w:rPr>
              <w:t xml:space="preserve">% of IIRs citing </w:t>
            </w:r>
            <w:r w:rsidR="001D7B53">
              <w:rPr>
                <w:b w:val="0"/>
                <w:bCs w:val="0"/>
                <w:sz w:val="16"/>
                <w:szCs w:val="16"/>
              </w:rPr>
              <w:t xml:space="preserve">U.S. </w:t>
            </w:r>
            <w:r>
              <w:rPr>
                <w:b w:val="0"/>
                <w:bCs w:val="0"/>
                <w:sz w:val="16"/>
                <w:szCs w:val="16"/>
              </w:rPr>
              <w:t>Intelligence Community (USIC) Priority 1 or 2 requirements</w:t>
            </w:r>
          </w:p>
        </w:tc>
        <w:tc>
          <w:tcPr>
            <w:tcW w:w="851"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51"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52" w:type="dxa"/>
            <w:shd w:val="clear" w:color="auto" w:fill="auto"/>
            <w:vAlign w:val="center"/>
          </w:tcPr>
          <w:p w:rsidR="00630F6F" w:rsidRDefault="00630F6F" w:rsidP="007471A8">
            <w:pPr>
              <w:tabs>
                <w:tab w:val="left" w:pos="-1440"/>
              </w:tabs>
              <w:contextualSpacing/>
              <w:jc w:val="right"/>
              <w:rPr>
                <w:sz w:val="16"/>
                <w:szCs w:val="16"/>
              </w:rPr>
            </w:pPr>
            <w:r>
              <w:rPr>
                <w:sz w:val="16"/>
                <w:szCs w:val="16"/>
              </w:rPr>
              <w:t>N/A</w:t>
            </w:r>
          </w:p>
        </w:tc>
        <w:tc>
          <w:tcPr>
            <w:tcW w:w="852" w:type="dxa"/>
            <w:tcBorders>
              <w:bottom w:val="single" w:sz="4" w:space="0" w:color="auto"/>
            </w:tcBorders>
            <w:shd w:val="clear" w:color="auto" w:fill="auto"/>
            <w:vAlign w:val="center"/>
          </w:tcPr>
          <w:p w:rsidR="00630F6F" w:rsidRPr="00C6171E" w:rsidRDefault="00630F6F" w:rsidP="007471A8">
            <w:pPr>
              <w:tabs>
                <w:tab w:val="left" w:pos="-1440"/>
              </w:tabs>
              <w:contextualSpacing/>
              <w:jc w:val="right"/>
              <w:rPr>
                <w:sz w:val="16"/>
                <w:szCs w:val="16"/>
              </w:rPr>
            </w:pPr>
            <w:r>
              <w:rPr>
                <w:sz w:val="16"/>
                <w:szCs w:val="16"/>
              </w:rPr>
              <w:t>N/A</w:t>
            </w:r>
          </w:p>
        </w:tc>
        <w:tc>
          <w:tcPr>
            <w:tcW w:w="852" w:type="dxa"/>
            <w:tcBorders>
              <w:bottom w:val="single" w:sz="4" w:space="0" w:color="auto"/>
            </w:tcBorders>
            <w:shd w:val="clear" w:color="auto" w:fill="auto"/>
            <w:vAlign w:val="center"/>
          </w:tcPr>
          <w:p w:rsidR="00630F6F" w:rsidRPr="00C6171E" w:rsidRDefault="00630F6F" w:rsidP="007471A8">
            <w:pPr>
              <w:tabs>
                <w:tab w:val="left" w:pos="-1440"/>
              </w:tabs>
              <w:contextualSpacing/>
              <w:jc w:val="right"/>
              <w:rPr>
                <w:sz w:val="16"/>
                <w:szCs w:val="16"/>
              </w:rPr>
            </w:pPr>
            <w:r>
              <w:rPr>
                <w:sz w:val="16"/>
                <w:szCs w:val="16"/>
              </w:rPr>
              <w:t>Pending</w:t>
            </w:r>
          </w:p>
        </w:tc>
        <w:tc>
          <w:tcPr>
            <w:tcW w:w="852" w:type="dxa"/>
            <w:tcBorders>
              <w:bottom w:val="single" w:sz="4" w:space="0" w:color="auto"/>
            </w:tcBorders>
            <w:shd w:val="clear" w:color="auto" w:fill="auto"/>
            <w:vAlign w:val="center"/>
          </w:tcPr>
          <w:p w:rsidR="00630F6F" w:rsidRPr="00286775" w:rsidRDefault="00630F6F" w:rsidP="007471A8">
            <w:pPr>
              <w:tabs>
                <w:tab w:val="left" w:pos="-1440"/>
              </w:tabs>
              <w:contextualSpacing/>
              <w:jc w:val="right"/>
              <w:rPr>
                <w:sz w:val="16"/>
                <w:szCs w:val="16"/>
              </w:rPr>
            </w:pPr>
            <w:r w:rsidRPr="00286775">
              <w:rPr>
                <w:sz w:val="16"/>
                <w:szCs w:val="16"/>
              </w:rPr>
              <w:t>Pending</w:t>
            </w:r>
          </w:p>
        </w:tc>
      </w:tr>
      <w:tr w:rsidR="00630F6F" w:rsidRPr="00537201" w:rsidTr="009552BF">
        <w:trPr>
          <w:trHeight w:val="600"/>
        </w:trPr>
        <w:tc>
          <w:tcPr>
            <w:tcW w:w="1368" w:type="dxa"/>
            <w:shd w:val="clear" w:color="auto" w:fill="auto"/>
            <w:vAlign w:val="center"/>
          </w:tcPr>
          <w:p w:rsidR="00630F6F" w:rsidRPr="00537201" w:rsidRDefault="00630F6F" w:rsidP="007471A8">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898" w:type="dxa"/>
            <w:vAlign w:val="center"/>
          </w:tcPr>
          <w:p w:rsidR="00630F6F" w:rsidRPr="00046D0D" w:rsidRDefault="00630F6F" w:rsidP="007471A8">
            <w:pPr>
              <w:pStyle w:val="Heading3"/>
              <w:contextualSpacing/>
              <w:rPr>
                <w:b w:val="0"/>
                <w:bCs w:val="0"/>
                <w:sz w:val="16"/>
                <w:szCs w:val="16"/>
              </w:rPr>
            </w:pPr>
            <w:r w:rsidRPr="00046D0D">
              <w:rPr>
                <w:b w:val="0"/>
                <w:bCs w:val="0"/>
                <w:sz w:val="16"/>
                <w:szCs w:val="16"/>
              </w:rPr>
              <w:t xml:space="preserve">% of FBI </w:t>
            </w:r>
            <w:r w:rsidRPr="00046D0D">
              <w:rPr>
                <w:b w:val="0"/>
                <w:bCs w:val="0"/>
                <w:i/>
                <w:iCs/>
                <w:sz w:val="16"/>
                <w:szCs w:val="16"/>
              </w:rPr>
              <w:t>Headquarters</w:t>
            </w:r>
            <w:r w:rsidRPr="00046D0D">
              <w:rPr>
                <w:b w:val="0"/>
                <w:bCs w:val="0"/>
                <w:sz w:val="16"/>
                <w:szCs w:val="16"/>
              </w:rPr>
              <w:t xml:space="preserve"> finished intelligence reports that are responsive to National Intelligence Priority Framework topics (Internally disseminated)</w:t>
            </w:r>
            <w:r w:rsidRPr="00046D0D">
              <w:rPr>
                <w:b w:val="0"/>
                <w:bCs w:val="0"/>
                <w:sz w:val="16"/>
                <w:szCs w:val="16"/>
              </w:rPr>
              <w:tab/>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57%</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86%</w:t>
            </w:r>
          </w:p>
        </w:tc>
        <w:tc>
          <w:tcPr>
            <w:tcW w:w="852" w:type="dxa"/>
            <w:shd w:val="clear" w:color="auto" w:fill="auto"/>
            <w:noWrap/>
            <w:vAlign w:val="center"/>
          </w:tcPr>
          <w:p w:rsidR="00630F6F" w:rsidRPr="0092507D" w:rsidRDefault="00630F6F" w:rsidP="007471A8">
            <w:pPr>
              <w:tabs>
                <w:tab w:val="left" w:pos="-1440"/>
              </w:tabs>
              <w:contextualSpacing/>
              <w:jc w:val="right"/>
              <w:rPr>
                <w:sz w:val="16"/>
                <w:szCs w:val="16"/>
              </w:rPr>
            </w:pPr>
            <w:r w:rsidRPr="0092507D">
              <w:rPr>
                <w:sz w:val="16"/>
                <w:szCs w:val="16"/>
              </w:rPr>
              <w:t>9</w:t>
            </w:r>
            <w:r>
              <w:rPr>
                <w:sz w:val="16"/>
                <w:szCs w:val="16"/>
              </w:rPr>
              <w:t>4</w:t>
            </w:r>
            <w:r w:rsidRPr="0092507D">
              <w:rPr>
                <w:sz w:val="16"/>
                <w:szCs w:val="16"/>
              </w:rPr>
              <w:t>%</w:t>
            </w:r>
          </w:p>
        </w:tc>
        <w:tc>
          <w:tcPr>
            <w:tcW w:w="852" w:type="dxa"/>
            <w:shd w:val="clear" w:color="auto" w:fill="auto"/>
            <w:noWrap/>
            <w:vAlign w:val="center"/>
          </w:tcPr>
          <w:p w:rsidR="00630F6F" w:rsidRPr="0092507D" w:rsidRDefault="00630F6F" w:rsidP="007471A8">
            <w:pPr>
              <w:tabs>
                <w:tab w:val="left" w:pos="-1440"/>
              </w:tabs>
              <w:contextualSpacing/>
              <w:jc w:val="right"/>
              <w:rPr>
                <w:sz w:val="16"/>
                <w:szCs w:val="16"/>
              </w:rPr>
            </w:pPr>
            <w:r>
              <w:rPr>
                <w:sz w:val="16"/>
                <w:szCs w:val="16"/>
              </w:rPr>
              <w:t>100%</w:t>
            </w:r>
          </w:p>
        </w:tc>
        <w:tc>
          <w:tcPr>
            <w:tcW w:w="852" w:type="dxa"/>
            <w:shd w:val="clear" w:color="auto" w:fill="auto"/>
            <w:noWrap/>
            <w:vAlign w:val="center"/>
          </w:tcPr>
          <w:p w:rsidR="00630F6F" w:rsidRPr="00B23A3C" w:rsidRDefault="00630F6F" w:rsidP="007471A8">
            <w:pPr>
              <w:tabs>
                <w:tab w:val="left" w:pos="-1440"/>
              </w:tabs>
              <w:contextualSpacing/>
              <w:jc w:val="right"/>
              <w:rPr>
                <w:sz w:val="16"/>
                <w:szCs w:val="16"/>
              </w:rPr>
            </w:pPr>
            <w:r w:rsidRPr="00B23A3C">
              <w:rPr>
                <w:sz w:val="16"/>
                <w:szCs w:val="16"/>
              </w:rPr>
              <w:t>97%</w:t>
            </w:r>
          </w:p>
        </w:tc>
        <w:tc>
          <w:tcPr>
            <w:tcW w:w="852" w:type="dxa"/>
            <w:shd w:val="clear" w:color="auto" w:fill="auto"/>
            <w:vAlign w:val="center"/>
          </w:tcPr>
          <w:p w:rsidR="00630F6F" w:rsidRPr="00B23A3C" w:rsidRDefault="00630F6F" w:rsidP="007471A8">
            <w:pPr>
              <w:tabs>
                <w:tab w:val="left" w:pos="-1440"/>
              </w:tabs>
              <w:contextualSpacing/>
              <w:jc w:val="right"/>
              <w:rPr>
                <w:sz w:val="16"/>
                <w:szCs w:val="16"/>
              </w:rPr>
            </w:pPr>
            <w:r>
              <w:rPr>
                <w:sz w:val="16"/>
                <w:szCs w:val="16"/>
              </w:rPr>
              <w:t>98%</w:t>
            </w:r>
          </w:p>
        </w:tc>
        <w:tc>
          <w:tcPr>
            <w:tcW w:w="852" w:type="dxa"/>
            <w:shd w:val="clear" w:color="auto" w:fill="auto"/>
            <w:vAlign w:val="center"/>
          </w:tcPr>
          <w:p w:rsidR="00630F6F" w:rsidRPr="00C6171E" w:rsidRDefault="00630F6F" w:rsidP="007471A8">
            <w:pPr>
              <w:tabs>
                <w:tab w:val="left" w:pos="-1440"/>
              </w:tabs>
              <w:contextualSpacing/>
              <w:jc w:val="right"/>
              <w:rPr>
                <w:sz w:val="16"/>
                <w:szCs w:val="16"/>
              </w:rPr>
            </w:pPr>
            <w:r>
              <w:rPr>
                <w:sz w:val="16"/>
                <w:szCs w:val="16"/>
              </w:rPr>
              <w:t>97%</w:t>
            </w:r>
          </w:p>
        </w:tc>
        <w:tc>
          <w:tcPr>
            <w:tcW w:w="852" w:type="dxa"/>
            <w:shd w:val="clear" w:color="auto" w:fill="auto"/>
            <w:vAlign w:val="center"/>
          </w:tcPr>
          <w:p w:rsidR="00630F6F" w:rsidRPr="00C6171E" w:rsidRDefault="00630F6F" w:rsidP="007471A8">
            <w:pPr>
              <w:tabs>
                <w:tab w:val="left" w:pos="-1440"/>
              </w:tabs>
              <w:contextualSpacing/>
              <w:jc w:val="right"/>
              <w:rPr>
                <w:sz w:val="16"/>
                <w:szCs w:val="16"/>
              </w:rPr>
            </w:pPr>
            <w:r w:rsidRPr="00286775">
              <w:rPr>
                <w:sz w:val="16"/>
                <w:szCs w:val="16"/>
              </w:rPr>
              <w:t>N/A</w:t>
            </w:r>
          </w:p>
        </w:tc>
        <w:tc>
          <w:tcPr>
            <w:tcW w:w="852" w:type="dxa"/>
            <w:shd w:val="clear" w:color="auto" w:fill="auto"/>
            <w:vAlign w:val="center"/>
          </w:tcPr>
          <w:p w:rsidR="00630F6F" w:rsidRPr="00286775" w:rsidRDefault="00630F6F" w:rsidP="007471A8">
            <w:pPr>
              <w:tabs>
                <w:tab w:val="left" w:pos="-1440"/>
              </w:tabs>
              <w:contextualSpacing/>
              <w:jc w:val="right"/>
              <w:rPr>
                <w:sz w:val="16"/>
                <w:szCs w:val="16"/>
              </w:rPr>
            </w:pPr>
            <w:r w:rsidRPr="00286775">
              <w:rPr>
                <w:sz w:val="16"/>
                <w:szCs w:val="16"/>
              </w:rPr>
              <w:t>N/A</w:t>
            </w:r>
          </w:p>
        </w:tc>
      </w:tr>
      <w:tr w:rsidR="00630F6F" w:rsidRPr="00537201" w:rsidTr="009552BF">
        <w:trPr>
          <w:trHeight w:val="600"/>
        </w:trPr>
        <w:tc>
          <w:tcPr>
            <w:tcW w:w="1368" w:type="dxa"/>
            <w:shd w:val="clear" w:color="auto" w:fill="auto"/>
            <w:vAlign w:val="center"/>
          </w:tcPr>
          <w:p w:rsidR="00630F6F" w:rsidRPr="00537201" w:rsidRDefault="00630F6F" w:rsidP="007471A8">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898" w:type="dxa"/>
            <w:vAlign w:val="center"/>
          </w:tcPr>
          <w:p w:rsidR="00630F6F" w:rsidRPr="00046D0D" w:rsidRDefault="00630F6F" w:rsidP="007471A8">
            <w:pPr>
              <w:pStyle w:val="Heading3"/>
              <w:contextualSpacing/>
              <w:rPr>
                <w:b w:val="0"/>
                <w:bCs w:val="0"/>
                <w:sz w:val="16"/>
                <w:szCs w:val="16"/>
              </w:rPr>
            </w:pPr>
            <w:r w:rsidRPr="00046D0D">
              <w:rPr>
                <w:b w:val="0"/>
                <w:bCs w:val="0"/>
                <w:sz w:val="16"/>
                <w:szCs w:val="16"/>
              </w:rPr>
              <w:t xml:space="preserve">% of FBI </w:t>
            </w:r>
            <w:r w:rsidRPr="00046D0D">
              <w:rPr>
                <w:b w:val="0"/>
                <w:bCs w:val="0"/>
                <w:i/>
                <w:iCs/>
                <w:sz w:val="16"/>
                <w:szCs w:val="16"/>
              </w:rPr>
              <w:t>Field Office</w:t>
            </w:r>
            <w:r w:rsidRPr="00046D0D">
              <w:rPr>
                <w:b w:val="0"/>
                <w:bCs w:val="0"/>
                <w:sz w:val="16"/>
                <w:szCs w:val="16"/>
              </w:rPr>
              <w:t xml:space="preserve"> finished intelligence reports that are responsive to National Intelligence Priority Framework topics. (Internally disseminated)</w:t>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58%</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73%</w:t>
            </w:r>
          </w:p>
        </w:tc>
        <w:tc>
          <w:tcPr>
            <w:tcW w:w="852" w:type="dxa"/>
            <w:shd w:val="clear" w:color="auto" w:fill="auto"/>
            <w:noWrap/>
            <w:vAlign w:val="center"/>
          </w:tcPr>
          <w:p w:rsidR="00630F6F" w:rsidRPr="0092507D" w:rsidRDefault="00630F6F" w:rsidP="007471A8">
            <w:pPr>
              <w:contextualSpacing/>
              <w:jc w:val="right"/>
              <w:rPr>
                <w:sz w:val="16"/>
                <w:szCs w:val="16"/>
              </w:rPr>
            </w:pPr>
            <w:r>
              <w:rPr>
                <w:sz w:val="16"/>
                <w:szCs w:val="16"/>
              </w:rPr>
              <w:t>90</w:t>
            </w:r>
            <w:r w:rsidRPr="0092507D">
              <w:rPr>
                <w:sz w:val="16"/>
                <w:szCs w:val="16"/>
              </w:rPr>
              <w:t>%</w:t>
            </w:r>
          </w:p>
        </w:tc>
        <w:tc>
          <w:tcPr>
            <w:tcW w:w="852" w:type="dxa"/>
            <w:shd w:val="clear" w:color="auto" w:fill="auto"/>
            <w:noWrap/>
            <w:vAlign w:val="center"/>
          </w:tcPr>
          <w:p w:rsidR="00630F6F" w:rsidRPr="0092507D" w:rsidRDefault="00630F6F" w:rsidP="007471A8">
            <w:pPr>
              <w:contextualSpacing/>
              <w:jc w:val="right"/>
              <w:rPr>
                <w:sz w:val="16"/>
                <w:szCs w:val="16"/>
              </w:rPr>
            </w:pPr>
            <w:r>
              <w:rPr>
                <w:sz w:val="16"/>
                <w:szCs w:val="16"/>
              </w:rPr>
              <w:t>95%</w:t>
            </w:r>
          </w:p>
        </w:tc>
        <w:tc>
          <w:tcPr>
            <w:tcW w:w="852" w:type="dxa"/>
            <w:shd w:val="clear" w:color="auto" w:fill="auto"/>
            <w:noWrap/>
            <w:vAlign w:val="center"/>
          </w:tcPr>
          <w:p w:rsidR="00630F6F" w:rsidRPr="00B23A3C" w:rsidRDefault="00630F6F" w:rsidP="007471A8">
            <w:pPr>
              <w:tabs>
                <w:tab w:val="left" w:pos="-1440"/>
              </w:tabs>
              <w:contextualSpacing/>
              <w:jc w:val="right"/>
              <w:rPr>
                <w:sz w:val="16"/>
                <w:szCs w:val="16"/>
              </w:rPr>
            </w:pPr>
            <w:r w:rsidRPr="00B23A3C">
              <w:rPr>
                <w:sz w:val="16"/>
                <w:szCs w:val="16"/>
              </w:rPr>
              <w:t>100%</w:t>
            </w:r>
          </w:p>
        </w:tc>
        <w:tc>
          <w:tcPr>
            <w:tcW w:w="852" w:type="dxa"/>
            <w:shd w:val="clear" w:color="auto" w:fill="auto"/>
            <w:vAlign w:val="center"/>
          </w:tcPr>
          <w:p w:rsidR="00630F6F" w:rsidRPr="00B23A3C" w:rsidRDefault="00630F6F" w:rsidP="007471A8">
            <w:pPr>
              <w:tabs>
                <w:tab w:val="left" w:pos="-1440"/>
              </w:tabs>
              <w:contextualSpacing/>
              <w:jc w:val="right"/>
              <w:rPr>
                <w:sz w:val="16"/>
                <w:szCs w:val="16"/>
              </w:rPr>
            </w:pPr>
            <w:r>
              <w:rPr>
                <w:sz w:val="16"/>
                <w:szCs w:val="16"/>
              </w:rPr>
              <w:t>98%</w:t>
            </w:r>
          </w:p>
        </w:tc>
        <w:tc>
          <w:tcPr>
            <w:tcW w:w="852" w:type="dxa"/>
            <w:shd w:val="clear" w:color="auto" w:fill="auto"/>
            <w:vAlign w:val="center"/>
          </w:tcPr>
          <w:p w:rsidR="00630F6F" w:rsidRPr="000F221A" w:rsidRDefault="00630F6F" w:rsidP="007471A8">
            <w:pPr>
              <w:tabs>
                <w:tab w:val="left" w:pos="-1440"/>
              </w:tabs>
              <w:contextualSpacing/>
              <w:jc w:val="right"/>
              <w:rPr>
                <w:sz w:val="16"/>
                <w:szCs w:val="16"/>
              </w:rPr>
            </w:pPr>
            <w:r>
              <w:rPr>
                <w:sz w:val="16"/>
                <w:szCs w:val="16"/>
              </w:rPr>
              <w:t>100%</w:t>
            </w:r>
          </w:p>
        </w:tc>
        <w:tc>
          <w:tcPr>
            <w:tcW w:w="852" w:type="dxa"/>
            <w:shd w:val="clear" w:color="auto" w:fill="auto"/>
            <w:vAlign w:val="center"/>
          </w:tcPr>
          <w:p w:rsidR="00630F6F" w:rsidRPr="000F221A" w:rsidRDefault="00630F6F" w:rsidP="007471A8">
            <w:pPr>
              <w:tabs>
                <w:tab w:val="left" w:pos="-1440"/>
              </w:tabs>
              <w:contextualSpacing/>
              <w:jc w:val="right"/>
              <w:rPr>
                <w:sz w:val="16"/>
                <w:szCs w:val="16"/>
              </w:rPr>
            </w:pPr>
            <w:r w:rsidRPr="00286775">
              <w:rPr>
                <w:sz w:val="16"/>
                <w:szCs w:val="16"/>
              </w:rPr>
              <w:t>N/A</w:t>
            </w:r>
          </w:p>
        </w:tc>
        <w:tc>
          <w:tcPr>
            <w:tcW w:w="852" w:type="dxa"/>
            <w:shd w:val="clear" w:color="auto" w:fill="auto"/>
            <w:vAlign w:val="center"/>
          </w:tcPr>
          <w:p w:rsidR="00630F6F" w:rsidRPr="00286775" w:rsidRDefault="00630F6F" w:rsidP="007471A8">
            <w:pPr>
              <w:tabs>
                <w:tab w:val="left" w:pos="-1440"/>
              </w:tabs>
              <w:contextualSpacing/>
              <w:jc w:val="right"/>
              <w:rPr>
                <w:sz w:val="16"/>
                <w:szCs w:val="16"/>
              </w:rPr>
            </w:pPr>
            <w:r w:rsidRPr="00286775">
              <w:rPr>
                <w:sz w:val="16"/>
                <w:szCs w:val="16"/>
              </w:rPr>
              <w:t>N/A</w:t>
            </w:r>
          </w:p>
        </w:tc>
      </w:tr>
      <w:tr w:rsidR="00630F6F" w:rsidRPr="00537201" w:rsidTr="009552BF">
        <w:trPr>
          <w:trHeight w:val="600"/>
        </w:trPr>
        <w:tc>
          <w:tcPr>
            <w:tcW w:w="1368" w:type="dxa"/>
            <w:shd w:val="clear" w:color="auto" w:fill="auto"/>
            <w:vAlign w:val="center"/>
          </w:tcPr>
          <w:p w:rsidR="00630F6F" w:rsidRPr="00537201" w:rsidRDefault="00630F6F" w:rsidP="007471A8">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sidRPr="00AE5471">
              <w:rPr>
                <w:b/>
                <w:bCs/>
                <w:i/>
                <w:iCs/>
                <w:color w:val="000000"/>
                <w:sz w:val="16"/>
                <w:szCs w:val="16"/>
              </w:rPr>
              <w:t>Responsiveness</w:t>
            </w:r>
          </w:p>
        </w:tc>
        <w:tc>
          <w:tcPr>
            <w:tcW w:w="2898" w:type="dxa"/>
            <w:vAlign w:val="center"/>
          </w:tcPr>
          <w:p w:rsidR="00630F6F" w:rsidRPr="00046D0D" w:rsidRDefault="00630F6F" w:rsidP="007471A8">
            <w:pPr>
              <w:pStyle w:val="Heading3"/>
              <w:contextualSpacing/>
              <w:rPr>
                <w:sz w:val="16"/>
                <w:szCs w:val="16"/>
              </w:rPr>
            </w:pPr>
            <w:r w:rsidRPr="00046D0D">
              <w:rPr>
                <w:b w:val="0"/>
                <w:bCs w:val="0"/>
                <w:sz w:val="16"/>
                <w:szCs w:val="16"/>
              </w:rPr>
              <w:t>% of FBI finished intelligence reports that are responsive to National Intelligence Priority Framework topics. (Disseminated to Intelligence Community)</w:t>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79%</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86%</w:t>
            </w:r>
          </w:p>
        </w:tc>
        <w:tc>
          <w:tcPr>
            <w:tcW w:w="852" w:type="dxa"/>
            <w:shd w:val="clear" w:color="auto" w:fill="auto"/>
            <w:noWrap/>
            <w:vAlign w:val="center"/>
          </w:tcPr>
          <w:p w:rsidR="00630F6F" w:rsidRPr="0092507D" w:rsidRDefault="00630F6F" w:rsidP="007471A8">
            <w:pPr>
              <w:tabs>
                <w:tab w:val="left" w:pos="-1440"/>
              </w:tabs>
              <w:contextualSpacing/>
              <w:jc w:val="right"/>
              <w:rPr>
                <w:sz w:val="16"/>
                <w:szCs w:val="16"/>
              </w:rPr>
            </w:pPr>
            <w:r w:rsidRPr="0092507D">
              <w:rPr>
                <w:sz w:val="16"/>
                <w:szCs w:val="16"/>
              </w:rPr>
              <w:t>92%</w:t>
            </w:r>
          </w:p>
        </w:tc>
        <w:tc>
          <w:tcPr>
            <w:tcW w:w="852" w:type="dxa"/>
            <w:shd w:val="clear" w:color="auto" w:fill="auto"/>
            <w:noWrap/>
            <w:vAlign w:val="center"/>
          </w:tcPr>
          <w:p w:rsidR="00630F6F" w:rsidRPr="0092507D" w:rsidRDefault="00630F6F" w:rsidP="007471A8">
            <w:pPr>
              <w:tabs>
                <w:tab w:val="left" w:pos="-1440"/>
              </w:tabs>
              <w:contextualSpacing/>
              <w:jc w:val="right"/>
              <w:rPr>
                <w:sz w:val="16"/>
                <w:szCs w:val="16"/>
              </w:rPr>
            </w:pPr>
            <w:r>
              <w:rPr>
                <w:sz w:val="16"/>
                <w:szCs w:val="16"/>
              </w:rPr>
              <w:t>100%</w:t>
            </w:r>
          </w:p>
        </w:tc>
        <w:tc>
          <w:tcPr>
            <w:tcW w:w="852" w:type="dxa"/>
            <w:shd w:val="clear" w:color="auto" w:fill="auto"/>
            <w:noWrap/>
            <w:vAlign w:val="center"/>
          </w:tcPr>
          <w:p w:rsidR="00630F6F" w:rsidRPr="00B23A3C" w:rsidRDefault="00630F6F" w:rsidP="007471A8">
            <w:pPr>
              <w:tabs>
                <w:tab w:val="left" w:pos="-1440"/>
              </w:tabs>
              <w:contextualSpacing/>
              <w:jc w:val="right"/>
              <w:rPr>
                <w:sz w:val="16"/>
                <w:szCs w:val="16"/>
              </w:rPr>
            </w:pPr>
            <w:r w:rsidRPr="00B23A3C">
              <w:rPr>
                <w:sz w:val="16"/>
                <w:szCs w:val="16"/>
              </w:rPr>
              <w:t>96%</w:t>
            </w:r>
          </w:p>
        </w:tc>
        <w:tc>
          <w:tcPr>
            <w:tcW w:w="852" w:type="dxa"/>
            <w:shd w:val="clear" w:color="auto" w:fill="auto"/>
            <w:vAlign w:val="center"/>
          </w:tcPr>
          <w:p w:rsidR="00630F6F" w:rsidRPr="00B23A3C" w:rsidRDefault="00630F6F" w:rsidP="007471A8">
            <w:pPr>
              <w:tabs>
                <w:tab w:val="left" w:pos="-1440"/>
              </w:tabs>
              <w:contextualSpacing/>
              <w:jc w:val="right"/>
              <w:rPr>
                <w:sz w:val="16"/>
                <w:szCs w:val="16"/>
              </w:rPr>
            </w:pPr>
            <w:r>
              <w:rPr>
                <w:sz w:val="16"/>
                <w:szCs w:val="16"/>
              </w:rPr>
              <w:t>99%</w:t>
            </w:r>
          </w:p>
        </w:tc>
        <w:tc>
          <w:tcPr>
            <w:tcW w:w="852" w:type="dxa"/>
            <w:tcBorders>
              <w:bottom w:val="single" w:sz="4" w:space="0" w:color="auto"/>
            </w:tcBorders>
            <w:shd w:val="clear" w:color="auto" w:fill="auto"/>
            <w:vAlign w:val="center"/>
          </w:tcPr>
          <w:p w:rsidR="00630F6F" w:rsidRPr="000F221A" w:rsidRDefault="00630F6F" w:rsidP="007471A8">
            <w:pPr>
              <w:tabs>
                <w:tab w:val="left" w:pos="-1440"/>
              </w:tabs>
              <w:contextualSpacing/>
              <w:jc w:val="right"/>
              <w:rPr>
                <w:sz w:val="16"/>
                <w:szCs w:val="16"/>
              </w:rPr>
            </w:pPr>
            <w:r>
              <w:rPr>
                <w:sz w:val="16"/>
                <w:szCs w:val="16"/>
              </w:rPr>
              <w:t>96%</w:t>
            </w:r>
          </w:p>
        </w:tc>
        <w:tc>
          <w:tcPr>
            <w:tcW w:w="852" w:type="dxa"/>
            <w:tcBorders>
              <w:bottom w:val="single" w:sz="4" w:space="0" w:color="auto"/>
            </w:tcBorders>
            <w:shd w:val="clear" w:color="auto" w:fill="auto"/>
            <w:vAlign w:val="center"/>
          </w:tcPr>
          <w:p w:rsidR="00630F6F" w:rsidRPr="000F221A" w:rsidRDefault="00630F6F" w:rsidP="007471A8">
            <w:pPr>
              <w:tabs>
                <w:tab w:val="left" w:pos="-1440"/>
              </w:tabs>
              <w:contextualSpacing/>
              <w:jc w:val="right"/>
              <w:rPr>
                <w:sz w:val="16"/>
                <w:szCs w:val="16"/>
              </w:rPr>
            </w:pPr>
            <w:r w:rsidRPr="00286775">
              <w:rPr>
                <w:sz w:val="16"/>
                <w:szCs w:val="16"/>
              </w:rPr>
              <w:t>N/A</w:t>
            </w:r>
          </w:p>
        </w:tc>
        <w:tc>
          <w:tcPr>
            <w:tcW w:w="852" w:type="dxa"/>
            <w:tcBorders>
              <w:bottom w:val="single" w:sz="4" w:space="0" w:color="auto"/>
            </w:tcBorders>
            <w:shd w:val="clear" w:color="auto" w:fill="auto"/>
            <w:vAlign w:val="center"/>
          </w:tcPr>
          <w:p w:rsidR="00630F6F" w:rsidRPr="00286775" w:rsidRDefault="00630F6F" w:rsidP="007471A8">
            <w:pPr>
              <w:tabs>
                <w:tab w:val="left" w:pos="-1440"/>
              </w:tabs>
              <w:contextualSpacing/>
              <w:jc w:val="right"/>
              <w:rPr>
                <w:sz w:val="16"/>
                <w:szCs w:val="16"/>
              </w:rPr>
            </w:pPr>
            <w:r w:rsidRPr="00286775">
              <w:rPr>
                <w:sz w:val="16"/>
                <w:szCs w:val="16"/>
              </w:rPr>
              <w:t>N/A</w:t>
            </w:r>
          </w:p>
        </w:tc>
      </w:tr>
      <w:tr w:rsidR="00630F6F" w:rsidRPr="00537201" w:rsidTr="009552BF">
        <w:trPr>
          <w:trHeight w:val="600"/>
        </w:trPr>
        <w:tc>
          <w:tcPr>
            <w:tcW w:w="1368" w:type="dxa"/>
            <w:shd w:val="clear" w:color="auto" w:fill="auto"/>
            <w:vAlign w:val="center"/>
          </w:tcPr>
          <w:p w:rsidR="00630F6F" w:rsidRDefault="00630F6F" w:rsidP="007471A8">
            <w:pPr>
              <w:contextualSpacing/>
              <w:rPr>
                <w:b/>
                <w:bCs/>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Accuracy</w:t>
            </w:r>
          </w:p>
        </w:tc>
        <w:tc>
          <w:tcPr>
            <w:tcW w:w="2898" w:type="dxa"/>
            <w:vAlign w:val="center"/>
          </w:tcPr>
          <w:p w:rsidR="00630F6F" w:rsidRPr="00046D0D" w:rsidRDefault="00630F6F" w:rsidP="007471A8">
            <w:pPr>
              <w:pStyle w:val="Heading3"/>
              <w:contextualSpacing/>
              <w:rPr>
                <w:b w:val="0"/>
                <w:bCs w:val="0"/>
                <w:sz w:val="16"/>
                <w:szCs w:val="16"/>
              </w:rPr>
            </w:pPr>
            <w:r w:rsidRPr="00046D0D">
              <w:rPr>
                <w:b w:val="0"/>
                <w:bCs w:val="0"/>
                <w:sz w:val="16"/>
                <w:szCs w:val="16"/>
              </w:rPr>
              <w:t>Number of high priority sources put through an enhanced validation process.</w:t>
            </w:r>
          </w:p>
        </w:tc>
        <w:tc>
          <w:tcPr>
            <w:tcW w:w="9370" w:type="dxa"/>
            <w:gridSpan w:val="11"/>
            <w:shd w:val="clear" w:color="auto" w:fill="auto"/>
            <w:vAlign w:val="center"/>
          </w:tcPr>
          <w:p w:rsidR="00630F6F" w:rsidRPr="00286775" w:rsidRDefault="00630F6F" w:rsidP="007471A8">
            <w:pPr>
              <w:tabs>
                <w:tab w:val="left" w:pos="-1440"/>
              </w:tabs>
              <w:contextualSpacing/>
              <w:jc w:val="center"/>
              <w:rPr>
                <w:sz w:val="16"/>
                <w:szCs w:val="16"/>
              </w:rPr>
            </w:pPr>
            <w:r>
              <w:rPr>
                <w:sz w:val="16"/>
                <w:szCs w:val="16"/>
              </w:rPr>
              <w:t>This information is classified.</w:t>
            </w:r>
          </w:p>
        </w:tc>
      </w:tr>
      <w:tr w:rsidR="00630F6F" w:rsidRPr="00537201" w:rsidTr="009552BF">
        <w:trPr>
          <w:trHeight w:val="600"/>
        </w:trPr>
        <w:tc>
          <w:tcPr>
            <w:tcW w:w="1368" w:type="dxa"/>
            <w:shd w:val="clear" w:color="auto" w:fill="auto"/>
            <w:vAlign w:val="center"/>
          </w:tcPr>
          <w:p w:rsidR="00630F6F" w:rsidRPr="00DC5745" w:rsidRDefault="00630F6F" w:rsidP="007471A8">
            <w:pPr>
              <w:contextualSpacing/>
              <w:rPr>
                <w:b/>
                <w:bCs/>
                <w:sz w:val="16"/>
                <w:szCs w:val="16"/>
              </w:rPr>
            </w:pPr>
            <w:r>
              <w:rPr>
                <w:b/>
                <w:bCs/>
                <w:sz w:val="16"/>
                <w:szCs w:val="16"/>
              </w:rPr>
              <w:t xml:space="preserve"> Performance           Measure</w:t>
            </w:r>
          </w:p>
        </w:tc>
        <w:tc>
          <w:tcPr>
            <w:tcW w:w="2898" w:type="dxa"/>
            <w:vAlign w:val="center"/>
          </w:tcPr>
          <w:p w:rsidR="00630F6F" w:rsidRDefault="00630F6F" w:rsidP="007471A8">
            <w:pPr>
              <w:contextualSpacing/>
              <w:rPr>
                <w:sz w:val="16"/>
                <w:szCs w:val="16"/>
              </w:rPr>
            </w:pPr>
            <w:r>
              <w:rPr>
                <w:sz w:val="16"/>
                <w:szCs w:val="16"/>
              </w:rPr>
              <w:t>Number of datasets incorporated into DIVS</w:t>
            </w:r>
          </w:p>
        </w:tc>
        <w:tc>
          <w:tcPr>
            <w:tcW w:w="85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5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5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5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5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5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5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52" w:type="dxa"/>
            <w:shd w:val="clear" w:color="auto" w:fill="auto"/>
            <w:vAlign w:val="center"/>
          </w:tcPr>
          <w:p w:rsidR="00630F6F" w:rsidRPr="002F223D" w:rsidRDefault="00630F6F" w:rsidP="007471A8">
            <w:pPr>
              <w:contextualSpacing/>
              <w:jc w:val="right"/>
              <w:rPr>
                <w:sz w:val="16"/>
                <w:szCs w:val="16"/>
              </w:rPr>
            </w:pPr>
            <w:r>
              <w:rPr>
                <w:sz w:val="16"/>
                <w:szCs w:val="16"/>
              </w:rPr>
              <w:t>N/A</w:t>
            </w:r>
          </w:p>
        </w:tc>
        <w:tc>
          <w:tcPr>
            <w:tcW w:w="852" w:type="dxa"/>
            <w:shd w:val="clear" w:color="auto" w:fill="auto"/>
            <w:vAlign w:val="center"/>
          </w:tcPr>
          <w:p w:rsidR="00630F6F" w:rsidRPr="00134332" w:rsidRDefault="00630F6F" w:rsidP="007471A8">
            <w:pPr>
              <w:contextualSpacing/>
              <w:jc w:val="right"/>
              <w:rPr>
                <w:sz w:val="16"/>
                <w:szCs w:val="16"/>
              </w:rPr>
            </w:pPr>
            <w:r w:rsidRPr="00134332">
              <w:rPr>
                <w:sz w:val="16"/>
                <w:szCs w:val="16"/>
              </w:rPr>
              <w:t>51</w:t>
            </w:r>
          </w:p>
        </w:tc>
        <w:tc>
          <w:tcPr>
            <w:tcW w:w="852" w:type="dxa"/>
            <w:shd w:val="clear" w:color="auto" w:fill="auto"/>
            <w:vAlign w:val="center"/>
          </w:tcPr>
          <w:p w:rsidR="00630F6F" w:rsidRPr="00134332" w:rsidRDefault="00630F6F" w:rsidP="007471A8">
            <w:pPr>
              <w:contextualSpacing/>
              <w:jc w:val="right"/>
              <w:rPr>
                <w:sz w:val="16"/>
                <w:szCs w:val="16"/>
              </w:rPr>
            </w:pPr>
            <w:r>
              <w:rPr>
                <w:sz w:val="16"/>
                <w:szCs w:val="16"/>
              </w:rPr>
              <w:t>71</w:t>
            </w:r>
          </w:p>
        </w:tc>
        <w:tc>
          <w:tcPr>
            <w:tcW w:w="852" w:type="dxa"/>
            <w:shd w:val="clear" w:color="auto" w:fill="auto"/>
            <w:vAlign w:val="center"/>
          </w:tcPr>
          <w:p w:rsidR="00630F6F" w:rsidRPr="00134332" w:rsidRDefault="00630F6F" w:rsidP="007471A8">
            <w:pPr>
              <w:contextualSpacing/>
              <w:jc w:val="right"/>
              <w:rPr>
                <w:sz w:val="16"/>
                <w:szCs w:val="16"/>
              </w:rPr>
            </w:pPr>
            <w:r>
              <w:rPr>
                <w:sz w:val="16"/>
                <w:szCs w:val="16"/>
              </w:rPr>
              <w:t>101</w:t>
            </w:r>
          </w:p>
        </w:tc>
      </w:tr>
      <w:tr w:rsidR="00630F6F" w:rsidRPr="00537201" w:rsidTr="009552BF">
        <w:trPr>
          <w:trHeight w:val="600"/>
        </w:trPr>
        <w:tc>
          <w:tcPr>
            <w:tcW w:w="1368" w:type="dxa"/>
            <w:shd w:val="clear" w:color="auto" w:fill="auto"/>
            <w:vAlign w:val="center"/>
          </w:tcPr>
          <w:p w:rsidR="00630F6F" w:rsidRPr="00537201" w:rsidRDefault="00630F6F" w:rsidP="007471A8">
            <w:pPr>
              <w:contextualSpacing/>
              <w:rPr>
                <w:color w:val="000000"/>
                <w:sz w:val="16"/>
                <w:szCs w:val="16"/>
              </w:rPr>
            </w:pPr>
            <w:r>
              <w:rPr>
                <w:b/>
                <w:bCs/>
                <w:color w:val="000000"/>
                <w:sz w:val="16"/>
                <w:szCs w:val="16"/>
              </w:rPr>
              <w:t xml:space="preserve">Efficiency </w:t>
            </w:r>
            <w:r w:rsidRPr="00D4248A">
              <w:rPr>
                <w:b/>
                <w:bCs/>
                <w:color w:val="000000"/>
                <w:sz w:val="16"/>
                <w:szCs w:val="16"/>
              </w:rPr>
              <w:t>Measure</w:t>
            </w:r>
            <w:r>
              <w:rPr>
                <w:b/>
                <w:bCs/>
                <w:color w:val="000000"/>
                <w:sz w:val="16"/>
                <w:szCs w:val="16"/>
              </w:rPr>
              <w:t xml:space="preserve"> </w:t>
            </w:r>
          </w:p>
        </w:tc>
        <w:tc>
          <w:tcPr>
            <w:tcW w:w="2898" w:type="dxa"/>
            <w:vAlign w:val="center"/>
          </w:tcPr>
          <w:p w:rsidR="00630F6F" w:rsidRPr="00046D0D" w:rsidRDefault="00630F6F" w:rsidP="007471A8">
            <w:pPr>
              <w:pStyle w:val="Heading3"/>
              <w:contextualSpacing/>
              <w:rPr>
                <w:b w:val="0"/>
                <w:bCs w:val="0"/>
                <w:sz w:val="16"/>
                <w:szCs w:val="16"/>
              </w:rPr>
            </w:pPr>
            <w:r w:rsidRPr="00046D0D">
              <w:rPr>
                <w:b w:val="0"/>
                <w:bCs w:val="0"/>
                <w:sz w:val="16"/>
                <w:szCs w:val="16"/>
              </w:rPr>
              <w:t>% of FBI Confidential Human Sources (</w:t>
            </w:r>
            <w:smartTag w:uri="urn:schemas-microsoft-com:office:smarttags" w:element="stockticker">
              <w:r w:rsidRPr="00046D0D">
                <w:rPr>
                  <w:b w:val="0"/>
                  <w:bCs w:val="0"/>
                  <w:sz w:val="16"/>
                  <w:szCs w:val="16"/>
                </w:rPr>
                <w:t>CHS</w:t>
              </w:r>
            </w:smartTag>
            <w:r w:rsidRPr="00046D0D">
              <w:rPr>
                <w:b w:val="0"/>
                <w:bCs w:val="0"/>
                <w:sz w:val="16"/>
                <w:szCs w:val="16"/>
              </w:rPr>
              <w:t>) validated</w:t>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52" w:type="dxa"/>
            <w:shd w:val="clear" w:color="auto" w:fill="auto"/>
            <w:noWrap/>
            <w:vAlign w:val="center"/>
          </w:tcPr>
          <w:p w:rsidR="00630F6F" w:rsidRPr="00B23A3C" w:rsidRDefault="00630F6F" w:rsidP="007471A8">
            <w:pPr>
              <w:tabs>
                <w:tab w:val="left" w:pos="-1440"/>
              </w:tabs>
              <w:contextualSpacing/>
              <w:jc w:val="right"/>
              <w:rPr>
                <w:sz w:val="16"/>
                <w:szCs w:val="16"/>
              </w:rPr>
            </w:pPr>
            <w:r w:rsidRPr="00B23A3C">
              <w:rPr>
                <w:sz w:val="16"/>
                <w:szCs w:val="16"/>
              </w:rPr>
              <w:t>14%</w:t>
            </w:r>
          </w:p>
        </w:tc>
        <w:tc>
          <w:tcPr>
            <w:tcW w:w="852" w:type="dxa"/>
            <w:shd w:val="clear" w:color="auto" w:fill="auto"/>
            <w:vAlign w:val="center"/>
          </w:tcPr>
          <w:p w:rsidR="00630F6F" w:rsidRPr="00B23A3C" w:rsidRDefault="00630F6F" w:rsidP="007471A8">
            <w:pPr>
              <w:tabs>
                <w:tab w:val="left" w:pos="-1440"/>
              </w:tabs>
              <w:contextualSpacing/>
              <w:jc w:val="right"/>
              <w:rPr>
                <w:sz w:val="16"/>
                <w:szCs w:val="16"/>
              </w:rPr>
            </w:pPr>
            <w:r>
              <w:rPr>
                <w:sz w:val="16"/>
                <w:szCs w:val="16"/>
              </w:rPr>
              <w:t>23%</w:t>
            </w:r>
          </w:p>
        </w:tc>
        <w:tc>
          <w:tcPr>
            <w:tcW w:w="852" w:type="dxa"/>
            <w:shd w:val="clear" w:color="auto" w:fill="auto"/>
            <w:vAlign w:val="center"/>
          </w:tcPr>
          <w:p w:rsidR="00630F6F" w:rsidRPr="000F221A" w:rsidRDefault="00630F6F" w:rsidP="007471A8">
            <w:pPr>
              <w:tabs>
                <w:tab w:val="left" w:pos="-1440"/>
              </w:tabs>
              <w:contextualSpacing/>
              <w:jc w:val="right"/>
              <w:rPr>
                <w:sz w:val="16"/>
                <w:szCs w:val="16"/>
              </w:rPr>
            </w:pPr>
            <w:r>
              <w:rPr>
                <w:sz w:val="16"/>
                <w:szCs w:val="16"/>
              </w:rPr>
              <w:t>48%</w:t>
            </w:r>
          </w:p>
        </w:tc>
        <w:tc>
          <w:tcPr>
            <w:tcW w:w="852" w:type="dxa"/>
            <w:shd w:val="clear" w:color="auto" w:fill="auto"/>
            <w:vAlign w:val="center"/>
          </w:tcPr>
          <w:p w:rsidR="00630F6F" w:rsidRPr="000F221A" w:rsidRDefault="00630F6F" w:rsidP="007471A8">
            <w:pPr>
              <w:tabs>
                <w:tab w:val="left" w:pos="-1440"/>
              </w:tabs>
              <w:contextualSpacing/>
              <w:jc w:val="right"/>
              <w:rPr>
                <w:sz w:val="16"/>
                <w:szCs w:val="16"/>
              </w:rPr>
            </w:pPr>
            <w:r>
              <w:rPr>
                <w:sz w:val="16"/>
                <w:szCs w:val="16"/>
              </w:rPr>
              <w:t>29%</w:t>
            </w:r>
          </w:p>
        </w:tc>
        <w:tc>
          <w:tcPr>
            <w:tcW w:w="852" w:type="dxa"/>
            <w:shd w:val="clear" w:color="auto" w:fill="auto"/>
            <w:vAlign w:val="center"/>
          </w:tcPr>
          <w:p w:rsidR="00630F6F" w:rsidRPr="00286775" w:rsidRDefault="00630F6F" w:rsidP="007471A8">
            <w:pPr>
              <w:tabs>
                <w:tab w:val="left" w:pos="-1440"/>
              </w:tabs>
              <w:contextualSpacing/>
              <w:jc w:val="right"/>
              <w:rPr>
                <w:sz w:val="16"/>
                <w:szCs w:val="16"/>
              </w:rPr>
            </w:pPr>
            <w:r w:rsidRPr="00286775">
              <w:rPr>
                <w:sz w:val="16"/>
                <w:szCs w:val="16"/>
              </w:rPr>
              <w:t>29%</w:t>
            </w:r>
          </w:p>
        </w:tc>
      </w:tr>
    </w:tbl>
    <w:p w:rsidR="00630F6F" w:rsidRDefault="00630F6F" w:rsidP="007471A8">
      <w:pPr>
        <w:contextualSpacing/>
        <w:sectPr w:rsidR="00630F6F" w:rsidSect="0036067B">
          <w:pgSz w:w="15840" w:h="12240" w:orient="landscape" w:code="1"/>
          <w:pgMar w:top="1080" w:right="1080" w:bottom="1080" w:left="1080" w:header="432" w:footer="432" w:gutter="0"/>
          <w:cols w:space="720"/>
          <w:docGrid w:linePitch="360"/>
        </w:sectPr>
      </w:pPr>
    </w:p>
    <w:p w:rsidR="00630F6F" w:rsidRPr="00C17504" w:rsidRDefault="00630F6F" w:rsidP="007471A8">
      <w:pPr>
        <w:pStyle w:val="BodyText"/>
        <w:contextualSpacing/>
        <w:rPr>
          <w:b/>
          <w:bCs/>
        </w:rPr>
      </w:pPr>
      <w:r>
        <w:rPr>
          <w:b/>
          <w:bCs/>
        </w:rPr>
        <w:lastRenderedPageBreak/>
        <w:t xml:space="preserve">2. </w:t>
      </w:r>
      <w:r w:rsidRPr="00C17504">
        <w:rPr>
          <w:b/>
          <w:bCs/>
        </w:rPr>
        <w:t>Performance, Resources, and Strategies</w:t>
      </w:r>
    </w:p>
    <w:p w:rsidR="00630F6F" w:rsidRPr="0089633B" w:rsidRDefault="00630F6F" w:rsidP="007471A8">
      <w:pPr>
        <w:pStyle w:val="xl27"/>
        <w:tabs>
          <w:tab w:val="left" w:pos="900"/>
          <w:tab w:val="left" w:pos="1350"/>
        </w:tabs>
        <w:spacing w:before="0" w:after="0"/>
        <w:contextualSpacing/>
        <w:rPr>
          <w:rFonts w:ascii="Times New Roman" w:hAnsi="Times New Roman"/>
          <w:b w:val="0"/>
          <w:bCs/>
        </w:rPr>
      </w:pPr>
      <w:r w:rsidRPr="0089633B">
        <w:rPr>
          <w:rFonts w:ascii="Times New Roman" w:hAnsi="Times New Roman"/>
          <w:b w:val="0"/>
          <w:bCs/>
        </w:rPr>
        <w:t xml:space="preserve">The </w:t>
      </w:r>
      <w:r>
        <w:rPr>
          <w:rFonts w:ascii="Times New Roman" w:hAnsi="Times New Roman"/>
          <w:b w:val="0"/>
          <w:bCs/>
        </w:rPr>
        <w:t xml:space="preserve">resources within the </w:t>
      </w:r>
      <w:r w:rsidRPr="0089633B">
        <w:rPr>
          <w:rFonts w:ascii="Times New Roman" w:hAnsi="Times New Roman"/>
          <w:b w:val="0"/>
          <w:bCs/>
        </w:rPr>
        <w:t>I</w:t>
      </w:r>
      <w:r>
        <w:rPr>
          <w:rFonts w:ascii="Times New Roman" w:hAnsi="Times New Roman"/>
          <w:b w:val="0"/>
          <w:bCs/>
        </w:rPr>
        <w:t xml:space="preserve">ntelligence </w:t>
      </w:r>
      <w:r w:rsidRPr="0089633B">
        <w:rPr>
          <w:rFonts w:ascii="Times New Roman" w:hAnsi="Times New Roman"/>
          <w:b w:val="0"/>
          <w:bCs/>
        </w:rPr>
        <w:t>D</w:t>
      </w:r>
      <w:r>
        <w:rPr>
          <w:rFonts w:ascii="Times New Roman" w:hAnsi="Times New Roman"/>
          <w:b w:val="0"/>
          <w:bCs/>
        </w:rPr>
        <w:t xml:space="preserve">ecision Unit </w:t>
      </w:r>
      <w:r w:rsidRPr="0089633B">
        <w:rPr>
          <w:rFonts w:ascii="Times New Roman" w:hAnsi="Times New Roman"/>
          <w:b w:val="0"/>
          <w:bCs/>
        </w:rPr>
        <w:t xml:space="preserve">contribute to </w:t>
      </w:r>
      <w:r>
        <w:rPr>
          <w:rFonts w:ascii="Times New Roman" w:hAnsi="Times New Roman"/>
          <w:b w:val="0"/>
          <w:bCs/>
        </w:rPr>
        <w:t>all three of the DOJ strategic goals</w:t>
      </w:r>
      <w:r w:rsidRPr="0089633B">
        <w:rPr>
          <w:rFonts w:ascii="Times New Roman" w:hAnsi="Times New Roman"/>
          <w:b w:val="0"/>
          <w:bCs/>
        </w:rPr>
        <w:t xml:space="preserve">. In addition, </w:t>
      </w:r>
      <w:r>
        <w:rPr>
          <w:rFonts w:ascii="Times New Roman" w:hAnsi="Times New Roman"/>
          <w:b w:val="0"/>
          <w:bCs/>
        </w:rPr>
        <w:t>these resources are critical to the intelligence cycle at the heart of the FBI’s strategy map in objectives P4 through P7, “Collection/Investigation,” “Intelligence Dissemination and Integration,” “Analysis,” and “Action and/or Requirements.”</w:t>
      </w:r>
      <w:r w:rsidRPr="0089633B">
        <w:rPr>
          <w:rFonts w:ascii="Times New Roman" w:hAnsi="Times New Roman"/>
          <w:b w:val="0"/>
          <w:bCs/>
          <w:szCs w:val="24"/>
        </w:rPr>
        <w:t xml:space="preserve"> </w:t>
      </w:r>
    </w:p>
    <w:p w:rsidR="00630F6F" w:rsidRPr="0089633B" w:rsidRDefault="00630F6F" w:rsidP="007471A8">
      <w:pPr>
        <w:pStyle w:val="Default"/>
        <w:contextualSpacing/>
        <w:rPr>
          <w:rStyle w:val="explanation"/>
          <w:bCs/>
        </w:rPr>
      </w:pPr>
    </w:p>
    <w:p w:rsidR="00630F6F" w:rsidRPr="00E93C77" w:rsidRDefault="00630F6F" w:rsidP="007471A8">
      <w:pPr>
        <w:pStyle w:val="Default"/>
        <w:contextualSpacing/>
        <w:rPr>
          <w:rStyle w:val="explanation"/>
        </w:rPr>
      </w:pPr>
      <w:r w:rsidRPr="0089633B">
        <w:rPr>
          <w:rStyle w:val="explanation"/>
          <w:bCs/>
        </w:rPr>
        <w:t xml:space="preserve">The mission of the FBI’s Intelligence Program is </w:t>
      </w:r>
      <w:r>
        <w:t>t</w:t>
      </w:r>
      <w:r>
        <w:rPr>
          <w:sz w:val="23"/>
          <w:szCs w:val="23"/>
        </w:rPr>
        <w:t>o collect, produce, and disseminate actionable intelligence that enables the FBI to identify and counter current and emerging threats</w:t>
      </w:r>
      <w:r w:rsidRPr="0089633B">
        <w:t>.</w:t>
      </w:r>
      <w:r w:rsidRPr="0089633B">
        <w:rPr>
          <w:sz w:val="23"/>
          <w:szCs w:val="23"/>
        </w:rPr>
        <w:t xml:space="preserve"> </w:t>
      </w:r>
      <w:r w:rsidRPr="0089633B">
        <w:rPr>
          <w:rStyle w:val="explanation"/>
          <w:bCs/>
        </w:rPr>
        <w:t>The D</w:t>
      </w:r>
      <w:r>
        <w:rPr>
          <w:rStyle w:val="explanation"/>
          <w:bCs/>
        </w:rPr>
        <w:t>irectorate of Intelligence (DI)</w:t>
      </w:r>
      <w:r w:rsidRPr="0089633B">
        <w:rPr>
          <w:rStyle w:val="explanation"/>
          <w:bCs/>
        </w:rPr>
        <w:t xml:space="preserve"> is responsible for managing </w:t>
      </w:r>
      <w:r>
        <w:rPr>
          <w:rStyle w:val="explanation"/>
          <w:bCs/>
        </w:rPr>
        <w:t>the</w:t>
      </w:r>
      <w:r w:rsidRPr="0089633B">
        <w:rPr>
          <w:rStyle w:val="explanation"/>
          <w:bCs/>
        </w:rPr>
        <w:t xml:space="preserve"> FBI Intelligence Program and ensuring that the prioritization of </w:t>
      </w:r>
      <w:r>
        <w:rPr>
          <w:rStyle w:val="explanation"/>
          <w:bCs/>
        </w:rPr>
        <w:t>its</w:t>
      </w:r>
      <w:r w:rsidRPr="0089633B">
        <w:rPr>
          <w:rStyle w:val="explanation"/>
          <w:bCs/>
        </w:rPr>
        <w:t xml:space="preserve"> functions comports with the formulation of budgetary requirements. </w:t>
      </w:r>
      <w:r>
        <w:rPr>
          <w:rStyle w:val="explanation"/>
          <w:bCs/>
        </w:rPr>
        <w:t xml:space="preserve">DI </w:t>
      </w:r>
      <w:r w:rsidRPr="0089633B">
        <w:rPr>
          <w:rStyle w:val="explanation"/>
          <w:bCs/>
        </w:rPr>
        <w:t xml:space="preserve">carries out </w:t>
      </w:r>
      <w:r>
        <w:rPr>
          <w:rStyle w:val="explanation"/>
          <w:bCs/>
        </w:rPr>
        <w:t>these</w:t>
      </w:r>
      <w:r w:rsidRPr="0089633B">
        <w:rPr>
          <w:rStyle w:val="explanation"/>
          <w:bCs/>
        </w:rPr>
        <w:t xml:space="preserve"> functions through embedded intelligence elements at FBI</w:t>
      </w:r>
      <w:r>
        <w:rPr>
          <w:rStyle w:val="explanation"/>
          <w:bCs/>
        </w:rPr>
        <w:t xml:space="preserve"> </w:t>
      </w:r>
      <w:r w:rsidRPr="0089633B">
        <w:rPr>
          <w:rStyle w:val="explanation"/>
          <w:bCs/>
        </w:rPr>
        <w:t>H</w:t>
      </w:r>
      <w:r>
        <w:rPr>
          <w:rStyle w:val="explanation"/>
          <w:bCs/>
        </w:rPr>
        <w:t>eadquarters</w:t>
      </w:r>
      <w:r w:rsidRPr="0089633B">
        <w:rPr>
          <w:rStyle w:val="explanation"/>
          <w:bCs/>
        </w:rPr>
        <w:t xml:space="preserve"> and in each field </w:t>
      </w:r>
      <w:r>
        <w:rPr>
          <w:rStyle w:val="explanation"/>
          <w:bCs/>
        </w:rPr>
        <w:t>office</w:t>
      </w:r>
      <w:r w:rsidRPr="0089633B">
        <w:rPr>
          <w:rStyle w:val="explanation"/>
          <w:bCs/>
        </w:rPr>
        <w:t>.</w:t>
      </w:r>
      <w:r w:rsidRPr="00330161">
        <w:rPr>
          <w:rStyle w:val="explanation"/>
          <w:bCs/>
        </w:rPr>
        <w:t xml:space="preserve"> </w:t>
      </w:r>
    </w:p>
    <w:p w:rsidR="00630F6F" w:rsidRPr="00330161" w:rsidRDefault="00630F6F" w:rsidP="007471A8">
      <w:pPr>
        <w:pStyle w:val="xl27"/>
        <w:tabs>
          <w:tab w:val="left" w:pos="900"/>
          <w:tab w:val="left" w:pos="1350"/>
        </w:tabs>
        <w:spacing w:before="0" w:after="0"/>
        <w:contextualSpacing/>
        <w:rPr>
          <w:rStyle w:val="explanation"/>
          <w:rFonts w:ascii="Times New Roman" w:hAnsi="Times New Roman"/>
          <w:b w:val="0"/>
          <w:bCs/>
          <w:szCs w:val="24"/>
        </w:rPr>
      </w:pPr>
    </w:p>
    <w:p w:rsidR="00630F6F" w:rsidRPr="00DB0E5F" w:rsidRDefault="00630F6F" w:rsidP="007471A8">
      <w:pPr>
        <w:contextualSpacing/>
        <w:rPr>
          <w:b/>
          <w:bCs/>
          <w:color w:val="000000"/>
        </w:rPr>
      </w:pPr>
      <w:r w:rsidRPr="00DB0E5F">
        <w:rPr>
          <w:b/>
          <w:bCs/>
          <w:color w:val="000000"/>
        </w:rPr>
        <w:t>a. Performance Plan and Report for Outcomes</w:t>
      </w:r>
    </w:p>
    <w:p w:rsidR="00630F6F" w:rsidRPr="00DB0E5F" w:rsidRDefault="00630F6F" w:rsidP="007471A8">
      <w:pPr>
        <w:contextualSpacing/>
        <w:rPr>
          <w:color w:val="000000"/>
        </w:rPr>
      </w:pPr>
      <w:r>
        <w:rPr>
          <w:b/>
          <w:bCs/>
          <w:i/>
          <w:iCs/>
          <w:color w:val="000000"/>
        </w:rPr>
        <w:t xml:space="preserve">Performance Measure:  </w:t>
      </w:r>
      <w:r>
        <w:rPr>
          <w:color w:val="000000"/>
        </w:rPr>
        <w:t xml:space="preserve">% of Counterterrorism </w:t>
      </w:r>
      <w:r w:rsidRPr="007E1F69">
        <w:rPr>
          <w:color w:val="000000"/>
        </w:rPr>
        <w:t xml:space="preserve">(CT) </w:t>
      </w:r>
      <w:r>
        <w:rPr>
          <w:color w:val="000000"/>
        </w:rPr>
        <w:t>Foreign Intelligence Surveillance Act (FISA) collection reviewed by the language program.</w:t>
      </w:r>
    </w:p>
    <w:p w:rsidR="00630F6F" w:rsidRPr="00DB0E5F" w:rsidRDefault="00C5224D" w:rsidP="007471A8">
      <w:pPr>
        <w:contextualSpacing/>
        <w:rPr>
          <w:color w:val="000000"/>
        </w:rPr>
      </w:pPr>
      <w:r w:rsidRPr="00C5224D">
        <w:rPr>
          <w:b/>
          <w:bCs/>
          <w:i/>
          <w:iCs/>
          <w:noProof/>
          <w:color w:val="000000"/>
          <w:lang w:eastAsia="zh-CN"/>
        </w:rPr>
        <w:pict>
          <v:shapetype id="_x0000_t202" coordsize="21600,21600" o:spt="202" path="m,l,21600r21600,l21600,xe">
            <v:stroke joinstyle="miter"/>
            <v:path gradientshapeok="t" o:connecttype="rect"/>
          </v:shapetype>
          <v:shape id="_x0000_s1042" type="#_x0000_t202" style="position:absolute;margin-left:2151.8pt;margin-top:6.95pt;width:321.95pt;height:202.2pt;z-index:-251656192;mso-wrap-style:none;mso-wrap-distance-bottom:7.2pt;mso-position-horizontal:right;mso-position-horizontal-relative:margin" wrapcoords="-50 -80 -50 21520 21650 21520 21650 -80 -50 -80" strokecolor="#969696">
            <v:textbox style="mso-next-textbox:#_x0000_s1042;mso-fit-shape-to-text:t">
              <w:txbxContent>
                <w:p w:rsidR="00561262" w:rsidRDefault="00561262" w:rsidP="00630F6F">
                  <w:pPr>
                    <w:jc w:val="both"/>
                    <w:rPr>
                      <w:rFonts w:cs="Arial"/>
                    </w:rPr>
                  </w:pPr>
                  <w:r>
                    <w:rPr>
                      <w:noProof/>
                      <w:color w:val="000000"/>
                    </w:rPr>
                    <w:drawing>
                      <wp:inline distT="0" distB="0" distL="0" distR="0">
                        <wp:extent cx="3895725" cy="2466975"/>
                        <wp:effectExtent l="0" t="0" r="0" b="0"/>
                        <wp:docPr id="53"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tight" anchorx="margin"/>
          </v:shape>
        </w:pict>
      </w:r>
      <w:r w:rsidR="00630F6F" w:rsidRPr="00DB0E5F">
        <w:rPr>
          <w:color w:val="000000"/>
        </w:rPr>
        <w:tab/>
      </w:r>
    </w:p>
    <w:p w:rsidR="008D07A8" w:rsidRDefault="008D07A8" w:rsidP="007471A8">
      <w:pPr>
        <w:contextualSpacing/>
        <w:rPr>
          <w:b/>
          <w:bCs/>
          <w:i/>
          <w:iCs/>
          <w:color w:val="000000"/>
        </w:rPr>
      </w:pPr>
      <w:r>
        <w:rPr>
          <w:b/>
          <w:bCs/>
          <w:i/>
          <w:iCs/>
          <w:color w:val="000000"/>
        </w:rPr>
        <w:t>FY 2011 Target:</w:t>
      </w:r>
    </w:p>
    <w:p w:rsidR="008D07A8" w:rsidRPr="00F73E2C" w:rsidRDefault="00AB01CC" w:rsidP="00AB01CC">
      <w:pPr>
        <w:tabs>
          <w:tab w:val="left" w:pos="1440"/>
        </w:tabs>
        <w:contextualSpacing/>
        <w:rPr>
          <w:bCs/>
          <w:iCs/>
          <w:color w:val="000000"/>
        </w:rPr>
      </w:pPr>
      <w:r>
        <w:rPr>
          <w:bCs/>
          <w:iCs/>
          <w:color w:val="000000"/>
        </w:rPr>
        <w:t>Audio:</w:t>
      </w:r>
      <w:r>
        <w:rPr>
          <w:bCs/>
          <w:iCs/>
          <w:color w:val="000000"/>
        </w:rPr>
        <w:tab/>
      </w:r>
      <w:r w:rsidR="008D07A8" w:rsidRPr="00F73E2C">
        <w:rPr>
          <w:bCs/>
          <w:iCs/>
          <w:color w:val="000000"/>
        </w:rPr>
        <w:t>100%</w:t>
      </w:r>
    </w:p>
    <w:p w:rsidR="008D07A8" w:rsidRPr="00F73E2C" w:rsidRDefault="00AB01CC" w:rsidP="00AB01CC">
      <w:pPr>
        <w:tabs>
          <w:tab w:val="left" w:pos="1440"/>
        </w:tabs>
        <w:contextualSpacing/>
        <w:rPr>
          <w:bCs/>
          <w:iCs/>
          <w:color w:val="000000"/>
        </w:rPr>
      </w:pPr>
      <w:r>
        <w:rPr>
          <w:bCs/>
          <w:iCs/>
          <w:color w:val="000000"/>
        </w:rPr>
        <w:t>Text:</w:t>
      </w:r>
      <w:r>
        <w:rPr>
          <w:bCs/>
          <w:iCs/>
          <w:color w:val="000000"/>
        </w:rPr>
        <w:tab/>
      </w:r>
      <w:r w:rsidR="008D07A8" w:rsidRPr="00F73E2C">
        <w:rPr>
          <w:bCs/>
          <w:iCs/>
          <w:color w:val="000000"/>
        </w:rPr>
        <w:t>100%</w:t>
      </w:r>
    </w:p>
    <w:p w:rsidR="008D07A8" w:rsidRPr="00F73E2C" w:rsidRDefault="008D07A8" w:rsidP="00AB01CC">
      <w:pPr>
        <w:tabs>
          <w:tab w:val="left" w:pos="1440"/>
        </w:tabs>
        <w:contextualSpacing/>
        <w:rPr>
          <w:bCs/>
          <w:iCs/>
          <w:color w:val="000000"/>
        </w:rPr>
      </w:pPr>
      <w:r w:rsidRPr="00F73E2C">
        <w:rPr>
          <w:bCs/>
          <w:iCs/>
          <w:color w:val="000000"/>
        </w:rPr>
        <w:t xml:space="preserve">Electronic: </w:t>
      </w:r>
      <w:r w:rsidR="00AB01CC">
        <w:rPr>
          <w:bCs/>
          <w:iCs/>
          <w:color w:val="000000"/>
        </w:rPr>
        <w:tab/>
      </w:r>
      <w:r w:rsidRPr="00F73E2C">
        <w:rPr>
          <w:bCs/>
          <w:iCs/>
          <w:color w:val="000000"/>
        </w:rPr>
        <w:t>100%</w:t>
      </w:r>
    </w:p>
    <w:p w:rsidR="008D07A8" w:rsidRDefault="008D07A8" w:rsidP="007471A8">
      <w:pPr>
        <w:contextualSpacing/>
        <w:rPr>
          <w:b/>
          <w:bCs/>
          <w:i/>
          <w:iCs/>
          <w:color w:val="000000"/>
        </w:rPr>
      </w:pPr>
    </w:p>
    <w:p w:rsidR="008D07A8" w:rsidRDefault="008D07A8" w:rsidP="007471A8">
      <w:pPr>
        <w:contextualSpacing/>
        <w:rPr>
          <w:b/>
          <w:bCs/>
          <w:i/>
          <w:iCs/>
          <w:color w:val="000000"/>
        </w:rPr>
      </w:pPr>
      <w:r>
        <w:rPr>
          <w:b/>
          <w:bCs/>
          <w:i/>
          <w:iCs/>
          <w:color w:val="000000"/>
        </w:rPr>
        <w:t>FY 2011 Actual:</w:t>
      </w:r>
    </w:p>
    <w:p w:rsidR="008D07A8" w:rsidRPr="00F73E2C" w:rsidRDefault="008D07A8" w:rsidP="00AB01CC">
      <w:pPr>
        <w:tabs>
          <w:tab w:val="left" w:pos="1440"/>
        </w:tabs>
        <w:contextualSpacing/>
        <w:rPr>
          <w:bCs/>
          <w:iCs/>
          <w:color w:val="000000"/>
        </w:rPr>
      </w:pPr>
      <w:r w:rsidRPr="00F73E2C">
        <w:rPr>
          <w:bCs/>
          <w:iCs/>
          <w:color w:val="000000"/>
        </w:rPr>
        <w:t xml:space="preserve">Audio: </w:t>
      </w:r>
      <w:r w:rsidR="00AB01CC">
        <w:rPr>
          <w:bCs/>
          <w:iCs/>
          <w:color w:val="000000"/>
        </w:rPr>
        <w:tab/>
      </w:r>
      <w:r w:rsidRPr="00F73E2C">
        <w:rPr>
          <w:bCs/>
          <w:iCs/>
          <w:color w:val="000000"/>
        </w:rPr>
        <w:t>83%</w:t>
      </w:r>
    </w:p>
    <w:p w:rsidR="008D07A8" w:rsidRPr="00F73E2C" w:rsidRDefault="008D07A8" w:rsidP="00AB01CC">
      <w:pPr>
        <w:tabs>
          <w:tab w:val="left" w:pos="1440"/>
        </w:tabs>
        <w:contextualSpacing/>
        <w:rPr>
          <w:bCs/>
          <w:iCs/>
          <w:color w:val="000000"/>
        </w:rPr>
      </w:pPr>
      <w:r w:rsidRPr="00F73E2C">
        <w:rPr>
          <w:bCs/>
          <w:iCs/>
          <w:color w:val="000000"/>
        </w:rPr>
        <w:t xml:space="preserve">Text: </w:t>
      </w:r>
      <w:r w:rsidR="00AB01CC">
        <w:rPr>
          <w:bCs/>
          <w:iCs/>
          <w:color w:val="000000"/>
        </w:rPr>
        <w:tab/>
      </w:r>
      <w:r w:rsidRPr="00F73E2C">
        <w:rPr>
          <w:bCs/>
          <w:iCs/>
          <w:color w:val="000000"/>
        </w:rPr>
        <w:t>138%</w:t>
      </w:r>
    </w:p>
    <w:p w:rsidR="008D07A8" w:rsidRPr="00F73E2C" w:rsidRDefault="008D07A8" w:rsidP="00AB01CC">
      <w:pPr>
        <w:tabs>
          <w:tab w:val="left" w:pos="1440"/>
        </w:tabs>
        <w:contextualSpacing/>
        <w:rPr>
          <w:bCs/>
          <w:iCs/>
          <w:color w:val="000000"/>
        </w:rPr>
      </w:pPr>
      <w:r w:rsidRPr="00F73E2C">
        <w:rPr>
          <w:bCs/>
          <w:iCs/>
          <w:color w:val="000000"/>
        </w:rPr>
        <w:t xml:space="preserve">Electronic: </w:t>
      </w:r>
      <w:r w:rsidR="00AB01CC">
        <w:rPr>
          <w:bCs/>
          <w:iCs/>
          <w:color w:val="000000"/>
        </w:rPr>
        <w:tab/>
      </w:r>
      <w:r w:rsidRPr="00F73E2C">
        <w:rPr>
          <w:bCs/>
          <w:iCs/>
          <w:color w:val="000000"/>
        </w:rPr>
        <w:t>39%</w:t>
      </w:r>
    </w:p>
    <w:p w:rsidR="00630F6F" w:rsidRPr="00004849" w:rsidRDefault="00630F6F" w:rsidP="007471A8">
      <w:pPr>
        <w:ind w:left="3780" w:hanging="1080"/>
        <w:contextualSpacing/>
        <w:rPr>
          <w:color w:val="000000"/>
        </w:rPr>
      </w:pPr>
    </w:p>
    <w:p w:rsidR="008D07A8" w:rsidRPr="002E5B66" w:rsidRDefault="008D07A8" w:rsidP="007471A8">
      <w:pPr>
        <w:autoSpaceDE w:val="0"/>
        <w:autoSpaceDN w:val="0"/>
        <w:adjustRightInd w:val="0"/>
        <w:contextualSpacing/>
        <w:rPr>
          <w:iCs/>
        </w:rPr>
      </w:pPr>
      <w:r>
        <w:rPr>
          <w:b/>
          <w:bCs/>
          <w:i/>
          <w:iCs/>
          <w:color w:val="000000"/>
        </w:rPr>
        <w:t xml:space="preserve">Discussion: </w:t>
      </w:r>
      <w:r w:rsidRPr="00082D1E">
        <w:t>FY</w:t>
      </w:r>
      <w:r>
        <w:t xml:space="preserve"> 20</w:t>
      </w:r>
      <w:r w:rsidRPr="00082D1E">
        <w:t>12 and FY</w:t>
      </w:r>
      <w:r>
        <w:t xml:space="preserve"> 20</w:t>
      </w:r>
      <w:r w:rsidRPr="00082D1E">
        <w:t>13 targets</w:t>
      </w:r>
      <w:r>
        <w:t xml:space="preserve"> for electronic collection</w:t>
      </w:r>
      <w:r w:rsidRPr="00082D1E">
        <w:t xml:space="preserve"> have been </w:t>
      </w:r>
      <w:r>
        <w:t>revised upward</w:t>
      </w:r>
      <w:r w:rsidRPr="00082D1E">
        <w:t xml:space="preserve"> to account for technological improvements allowing </w:t>
      </w:r>
      <w:r>
        <w:t>for identification of collected data that requires</w:t>
      </w:r>
      <w:r w:rsidRPr="00082D1E">
        <w:t xml:space="preserve"> review </w:t>
      </w:r>
      <w:r>
        <w:t>and translation by the FBI’s</w:t>
      </w:r>
      <w:r w:rsidRPr="00082D1E">
        <w:t xml:space="preserve"> Language Program</w:t>
      </w:r>
      <w:r>
        <w:t>. T</w:t>
      </w:r>
      <w:r w:rsidRPr="00082D1E">
        <w:t xml:space="preserve">he </w:t>
      </w:r>
      <w:r>
        <w:t xml:space="preserve">new </w:t>
      </w:r>
      <w:r w:rsidRPr="00082D1E">
        <w:t xml:space="preserve">targets are based on improvements already seen in </w:t>
      </w:r>
      <w:r>
        <w:t>the first quarter of FY 2012</w:t>
      </w:r>
      <w:r w:rsidRPr="00082D1E">
        <w:t xml:space="preserve"> and </w:t>
      </w:r>
      <w:r>
        <w:t xml:space="preserve">on </w:t>
      </w:r>
      <w:r w:rsidRPr="00082D1E">
        <w:t xml:space="preserve">future expectations.  Data will be </w:t>
      </w:r>
      <w:proofErr w:type="spellStart"/>
      <w:r w:rsidRPr="00082D1E">
        <w:t>baselined</w:t>
      </w:r>
      <w:proofErr w:type="spellEnd"/>
      <w:r w:rsidRPr="00082D1E">
        <w:t xml:space="preserve"> internally throughout </w:t>
      </w:r>
      <w:r>
        <w:t>FY 2012</w:t>
      </w:r>
      <w:r w:rsidRPr="00082D1E">
        <w:t xml:space="preserve"> and </w:t>
      </w:r>
      <w:r>
        <w:t xml:space="preserve">the </w:t>
      </w:r>
      <w:r w:rsidRPr="00082D1E">
        <w:t>FY</w:t>
      </w:r>
      <w:r>
        <w:t xml:space="preserve"> 20</w:t>
      </w:r>
      <w:r w:rsidRPr="00082D1E">
        <w:t xml:space="preserve">13 target may be </w:t>
      </w:r>
      <w:r>
        <w:t xml:space="preserve">further </w:t>
      </w:r>
      <w:r w:rsidRPr="00082D1E">
        <w:t>updated based on actual results.</w:t>
      </w:r>
      <w:r>
        <w:t xml:space="preserve"> </w:t>
      </w:r>
      <w:r w:rsidRPr="00082D1E">
        <w:t>This review rate reflects cases that have a Foreign Language component and have been marked "for translation</w:t>
      </w:r>
      <w:r>
        <w:t xml:space="preserve">." </w:t>
      </w:r>
      <w:r w:rsidRPr="00082D1E">
        <w:t>While the FBI has established a</w:t>
      </w:r>
      <w:r>
        <w:t>n ultimate</w:t>
      </w:r>
      <w:r w:rsidRPr="00082D1E">
        <w:t xml:space="preserve"> goal of a review rate of 100</w:t>
      </w:r>
      <w:r w:rsidR="00C90C45">
        <w:t xml:space="preserve"> percent</w:t>
      </w:r>
      <w:r w:rsidRPr="00082D1E">
        <w:t xml:space="preserve"> </w:t>
      </w:r>
      <w:r>
        <w:t>for</w:t>
      </w:r>
      <w:r w:rsidRPr="00082D1E">
        <w:t xml:space="preserve"> all CT FISA collection, CT Electronic Data File (EDF) </w:t>
      </w:r>
      <w:r>
        <w:t>is unlikely to</w:t>
      </w:r>
      <w:r w:rsidRPr="00082D1E">
        <w:t xml:space="preserve"> reach that goal </w:t>
      </w:r>
      <w:r>
        <w:t xml:space="preserve">in the immediate future </w:t>
      </w:r>
      <w:r w:rsidRPr="00082D1E">
        <w:t>due to increased collection, technical limita</w:t>
      </w:r>
      <w:r>
        <w:t>tions, and stagnant resources. For audio and text collection, resources are expected to remain consistent and the FBI expects to maintain or slightly improve current performance in FY 2012 and FY 2013.  It should be noted that the FY 2011 actual exceeds 100 percent because some material collected prior to FY 2011 was reviewed in that year.</w:t>
      </w:r>
    </w:p>
    <w:p w:rsidR="008D07A8" w:rsidRDefault="008D07A8" w:rsidP="007471A8">
      <w:pPr>
        <w:autoSpaceDE w:val="0"/>
        <w:autoSpaceDN w:val="0"/>
        <w:adjustRightInd w:val="0"/>
        <w:contextualSpacing/>
        <w:rPr>
          <w:b/>
          <w:i/>
          <w:iCs/>
        </w:rPr>
      </w:pPr>
    </w:p>
    <w:p w:rsidR="00E966E5" w:rsidRDefault="00E966E5" w:rsidP="007471A8">
      <w:pPr>
        <w:autoSpaceDE w:val="0"/>
        <w:autoSpaceDN w:val="0"/>
        <w:adjustRightInd w:val="0"/>
        <w:contextualSpacing/>
        <w:rPr>
          <w:b/>
          <w:i/>
          <w:iCs/>
        </w:rPr>
      </w:pPr>
    </w:p>
    <w:p w:rsidR="008D07A8" w:rsidRDefault="00F73E2C" w:rsidP="007471A8">
      <w:pPr>
        <w:contextualSpacing/>
        <w:rPr>
          <w:b/>
          <w:bCs/>
          <w:i/>
          <w:iCs/>
          <w:color w:val="000000"/>
        </w:rPr>
      </w:pPr>
      <w:r>
        <w:rPr>
          <w:b/>
          <w:bCs/>
          <w:i/>
          <w:iCs/>
          <w:color w:val="000000"/>
        </w:rPr>
        <w:br w:type="page"/>
      </w:r>
      <w:r w:rsidR="008D07A8">
        <w:rPr>
          <w:b/>
          <w:bCs/>
          <w:i/>
          <w:iCs/>
          <w:color w:val="000000"/>
        </w:rPr>
        <w:lastRenderedPageBreak/>
        <w:t>FY 2012</w:t>
      </w:r>
      <w:r w:rsidR="008D07A8" w:rsidRPr="007D7C0F">
        <w:rPr>
          <w:b/>
          <w:bCs/>
          <w:i/>
          <w:iCs/>
          <w:color w:val="000000"/>
        </w:rPr>
        <w:t xml:space="preserve"> Target:</w:t>
      </w:r>
      <w:r w:rsidR="008D07A8" w:rsidRPr="009759D2">
        <w:rPr>
          <w:b/>
          <w:bCs/>
          <w:i/>
          <w:iCs/>
          <w:color w:val="000000"/>
        </w:rPr>
        <w:t xml:space="preserve"> </w:t>
      </w:r>
    </w:p>
    <w:p w:rsidR="008D07A8" w:rsidRPr="00004849" w:rsidRDefault="008D07A8" w:rsidP="00AB01CC">
      <w:pPr>
        <w:tabs>
          <w:tab w:val="left" w:pos="1440"/>
        </w:tabs>
        <w:contextualSpacing/>
        <w:rPr>
          <w:bCs/>
          <w:iCs/>
          <w:color w:val="000000"/>
        </w:rPr>
      </w:pPr>
      <w:r w:rsidRPr="00004849">
        <w:rPr>
          <w:bCs/>
          <w:iCs/>
          <w:color w:val="000000"/>
        </w:rPr>
        <w:t>Audio:</w:t>
      </w:r>
      <w:r w:rsidR="00AB01CC">
        <w:rPr>
          <w:bCs/>
          <w:iCs/>
          <w:color w:val="000000"/>
        </w:rPr>
        <w:tab/>
      </w:r>
      <w:r w:rsidRPr="00004849">
        <w:rPr>
          <w:bCs/>
          <w:iCs/>
          <w:color w:val="000000"/>
        </w:rPr>
        <w:t>100%</w:t>
      </w:r>
    </w:p>
    <w:p w:rsidR="008D07A8" w:rsidRPr="00004849" w:rsidRDefault="00AB01CC" w:rsidP="00AB01CC">
      <w:pPr>
        <w:tabs>
          <w:tab w:val="left" w:pos="1440"/>
        </w:tabs>
        <w:contextualSpacing/>
        <w:rPr>
          <w:bCs/>
          <w:iCs/>
          <w:color w:val="000000"/>
        </w:rPr>
      </w:pPr>
      <w:r>
        <w:rPr>
          <w:bCs/>
          <w:iCs/>
          <w:color w:val="000000"/>
        </w:rPr>
        <w:t>Text:</w:t>
      </w:r>
      <w:r>
        <w:rPr>
          <w:bCs/>
          <w:iCs/>
          <w:color w:val="000000"/>
        </w:rPr>
        <w:tab/>
      </w:r>
      <w:r w:rsidR="008D07A8" w:rsidRPr="00004849">
        <w:rPr>
          <w:bCs/>
          <w:iCs/>
          <w:color w:val="000000"/>
        </w:rPr>
        <w:t>100%</w:t>
      </w:r>
    </w:p>
    <w:p w:rsidR="008D07A8" w:rsidRPr="00004849" w:rsidRDefault="008D07A8" w:rsidP="00AB01CC">
      <w:pPr>
        <w:tabs>
          <w:tab w:val="left" w:pos="1440"/>
        </w:tabs>
        <w:contextualSpacing/>
        <w:rPr>
          <w:bCs/>
          <w:iCs/>
          <w:color w:val="000000"/>
        </w:rPr>
      </w:pPr>
      <w:r w:rsidRPr="00004849">
        <w:rPr>
          <w:bCs/>
          <w:iCs/>
          <w:color w:val="000000"/>
        </w:rPr>
        <w:t>Electronic:</w:t>
      </w:r>
      <w:r w:rsidR="00AB01CC">
        <w:rPr>
          <w:bCs/>
          <w:iCs/>
          <w:color w:val="000000"/>
        </w:rPr>
        <w:tab/>
      </w:r>
      <w:r>
        <w:rPr>
          <w:bCs/>
          <w:iCs/>
          <w:color w:val="000000"/>
        </w:rPr>
        <w:t>50</w:t>
      </w:r>
      <w:r w:rsidRPr="00004849">
        <w:rPr>
          <w:bCs/>
          <w:iCs/>
          <w:color w:val="000000"/>
        </w:rPr>
        <w:t xml:space="preserve">% </w:t>
      </w:r>
    </w:p>
    <w:p w:rsidR="008D07A8" w:rsidRDefault="008D07A8" w:rsidP="00AB01CC">
      <w:pPr>
        <w:tabs>
          <w:tab w:val="left" w:pos="1440"/>
        </w:tabs>
        <w:autoSpaceDE w:val="0"/>
        <w:autoSpaceDN w:val="0"/>
        <w:adjustRightInd w:val="0"/>
        <w:contextualSpacing/>
        <w:rPr>
          <w:b/>
          <w:i/>
          <w:iCs/>
        </w:rPr>
      </w:pPr>
    </w:p>
    <w:p w:rsidR="008D07A8" w:rsidRDefault="008D07A8" w:rsidP="00AB01CC">
      <w:pPr>
        <w:tabs>
          <w:tab w:val="left" w:pos="1440"/>
        </w:tabs>
        <w:contextualSpacing/>
        <w:rPr>
          <w:b/>
          <w:bCs/>
          <w:i/>
          <w:iCs/>
          <w:color w:val="000000"/>
        </w:rPr>
      </w:pPr>
      <w:r w:rsidRPr="007D7C0F">
        <w:rPr>
          <w:b/>
          <w:bCs/>
          <w:i/>
          <w:iCs/>
          <w:color w:val="000000"/>
        </w:rPr>
        <w:t>FY 2013 Target:</w:t>
      </w:r>
      <w:r w:rsidRPr="009759D2">
        <w:rPr>
          <w:b/>
          <w:bCs/>
          <w:i/>
          <w:iCs/>
          <w:color w:val="000000"/>
        </w:rPr>
        <w:t xml:space="preserve"> </w:t>
      </w:r>
    </w:p>
    <w:p w:rsidR="008D07A8" w:rsidRPr="00004849" w:rsidRDefault="008D07A8" w:rsidP="00AB01CC">
      <w:pPr>
        <w:tabs>
          <w:tab w:val="left" w:pos="1440"/>
        </w:tabs>
        <w:contextualSpacing/>
        <w:rPr>
          <w:bCs/>
          <w:iCs/>
          <w:color w:val="000000"/>
        </w:rPr>
      </w:pPr>
      <w:r w:rsidRPr="00004849">
        <w:rPr>
          <w:bCs/>
          <w:iCs/>
          <w:color w:val="000000"/>
        </w:rPr>
        <w:t xml:space="preserve">Audio: </w:t>
      </w:r>
      <w:r w:rsidR="00AB01CC">
        <w:rPr>
          <w:bCs/>
          <w:iCs/>
          <w:color w:val="000000"/>
        </w:rPr>
        <w:tab/>
      </w:r>
      <w:r w:rsidRPr="00004849">
        <w:rPr>
          <w:bCs/>
          <w:iCs/>
          <w:color w:val="000000"/>
        </w:rPr>
        <w:t>100%</w:t>
      </w:r>
    </w:p>
    <w:p w:rsidR="008D07A8" w:rsidRPr="00004849" w:rsidRDefault="008D07A8" w:rsidP="00AB01CC">
      <w:pPr>
        <w:tabs>
          <w:tab w:val="left" w:pos="1440"/>
        </w:tabs>
        <w:contextualSpacing/>
        <w:rPr>
          <w:bCs/>
          <w:iCs/>
          <w:color w:val="000000"/>
        </w:rPr>
      </w:pPr>
      <w:r w:rsidRPr="00004849">
        <w:rPr>
          <w:bCs/>
          <w:iCs/>
          <w:color w:val="000000"/>
        </w:rPr>
        <w:t xml:space="preserve">Text: </w:t>
      </w:r>
      <w:r w:rsidR="00AB01CC">
        <w:rPr>
          <w:bCs/>
          <w:iCs/>
          <w:color w:val="000000"/>
        </w:rPr>
        <w:tab/>
      </w:r>
      <w:r w:rsidRPr="00004849">
        <w:rPr>
          <w:bCs/>
          <w:iCs/>
          <w:color w:val="000000"/>
        </w:rPr>
        <w:t>100%</w:t>
      </w:r>
    </w:p>
    <w:p w:rsidR="008D07A8" w:rsidRPr="00004849" w:rsidRDefault="008D07A8" w:rsidP="00AB01CC">
      <w:pPr>
        <w:tabs>
          <w:tab w:val="left" w:pos="1440"/>
        </w:tabs>
        <w:contextualSpacing/>
        <w:rPr>
          <w:bCs/>
          <w:iCs/>
          <w:color w:val="000000"/>
        </w:rPr>
      </w:pPr>
      <w:r w:rsidRPr="00004849">
        <w:rPr>
          <w:bCs/>
          <w:iCs/>
          <w:color w:val="000000"/>
        </w:rPr>
        <w:t xml:space="preserve">Electronic: </w:t>
      </w:r>
      <w:r w:rsidR="00AB01CC">
        <w:rPr>
          <w:bCs/>
          <w:iCs/>
          <w:color w:val="000000"/>
        </w:rPr>
        <w:tab/>
      </w:r>
      <w:r>
        <w:rPr>
          <w:bCs/>
          <w:iCs/>
          <w:color w:val="000000"/>
        </w:rPr>
        <w:t>50</w:t>
      </w:r>
      <w:r w:rsidRPr="00004849">
        <w:rPr>
          <w:bCs/>
          <w:iCs/>
          <w:color w:val="000000"/>
        </w:rPr>
        <w:t xml:space="preserve">% </w:t>
      </w:r>
    </w:p>
    <w:p w:rsidR="00630F6F" w:rsidRDefault="00630F6F" w:rsidP="007471A8">
      <w:pPr>
        <w:autoSpaceDE w:val="0"/>
        <w:autoSpaceDN w:val="0"/>
        <w:adjustRightInd w:val="0"/>
        <w:contextualSpacing/>
        <w:rPr>
          <w:b/>
          <w:i/>
          <w:iCs/>
        </w:rPr>
      </w:pPr>
    </w:p>
    <w:p w:rsidR="00630F6F" w:rsidRDefault="00630F6F" w:rsidP="007471A8">
      <w:pPr>
        <w:autoSpaceDE w:val="0"/>
        <w:autoSpaceDN w:val="0"/>
        <w:adjustRightInd w:val="0"/>
        <w:contextualSpacing/>
      </w:pPr>
      <w:r>
        <w:rPr>
          <w:b/>
          <w:i/>
          <w:iCs/>
        </w:rPr>
        <w:t xml:space="preserve">Performance Measure – Responsiveness: </w:t>
      </w:r>
      <w:r>
        <w:t xml:space="preserve">% of </w:t>
      </w:r>
      <w:r w:rsidR="008D07A8">
        <w:t>Intelligence Information Reports (</w:t>
      </w:r>
      <w:r>
        <w:t>IIRs</w:t>
      </w:r>
      <w:r w:rsidR="008D07A8">
        <w:t>)</w:t>
      </w:r>
      <w:r>
        <w:t xml:space="preserve"> citing U.S. Intelligence Community (USIC) Priority 1 or 2 requirements [New measure]</w:t>
      </w:r>
    </w:p>
    <w:p w:rsidR="00630F6F" w:rsidRDefault="00630F6F" w:rsidP="007471A8">
      <w:pPr>
        <w:autoSpaceDE w:val="0"/>
        <w:autoSpaceDN w:val="0"/>
        <w:adjustRightInd w:val="0"/>
        <w:contextualSpacing/>
        <w:rPr>
          <w:b/>
          <w:i/>
        </w:rPr>
      </w:pPr>
    </w:p>
    <w:p w:rsidR="00630F6F" w:rsidRDefault="00630F6F" w:rsidP="007471A8">
      <w:pPr>
        <w:autoSpaceDE w:val="0"/>
        <w:autoSpaceDN w:val="0"/>
        <w:adjustRightInd w:val="0"/>
        <w:contextualSpacing/>
      </w:pPr>
      <w:r>
        <w:rPr>
          <w:b/>
          <w:i/>
        </w:rPr>
        <w:t xml:space="preserve">FY 2013 Target: </w:t>
      </w:r>
      <w:r>
        <w:t>This is a new measure first being monitored and reported in FY</w:t>
      </w:r>
      <w:r w:rsidR="008D07A8">
        <w:t xml:space="preserve"> 20</w:t>
      </w:r>
      <w:r>
        <w:t>12. Once baseline data has been collected for FY 2012, a target will be set for FY 2013.</w:t>
      </w:r>
    </w:p>
    <w:p w:rsidR="00630F6F" w:rsidRDefault="00630F6F" w:rsidP="007471A8">
      <w:pPr>
        <w:pStyle w:val="NoSpacing"/>
        <w:contextualSpacing/>
        <w:rPr>
          <w:b/>
          <w:i/>
        </w:rPr>
      </w:pPr>
    </w:p>
    <w:p w:rsidR="00630F6F" w:rsidRPr="00FB26D9" w:rsidRDefault="00630F6F" w:rsidP="007471A8">
      <w:pPr>
        <w:pStyle w:val="NoSpacing"/>
        <w:contextualSpacing/>
      </w:pPr>
      <w:r>
        <w:rPr>
          <w:b/>
          <w:i/>
        </w:rPr>
        <w:t xml:space="preserve">Discussion: </w:t>
      </w:r>
      <w:r>
        <w:t xml:space="preserve">This is a new measure designed </w:t>
      </w:r>
      <w:r w:rsidRPr="00F004CB">
        <w:t xml:space="preserve">to determine whether the FBI is collecting and meeting the needs of the USIC by reporting against the highest priority requirements, as identified externally. To link reporting to collection requirements is a foundational intelligence capability, and one which should drive collection behavior toward higher priority needs.   </w:t>
      </w:r>
      <w:r w:rsidRPr="00FB26D9">
        <w:t>Th</w:t>
      </w:r>
      <w:r>
        <w:t>e current measures relating to “F</w:t>
      </w:r>
      <w:r w:rsidRPr="00FB26D9">
        <w:t xml:space="preserve">inished Intel reporting on NIPF topics” do not provide </w:t>
      </w:r>
      <w:r>
        <w:t xml:space="preserve">as much </w:t>
      </w:r>
      <w:r w:rsidRPr="00FB26D9">
        <w:t xml:space="preserve">value as the results always </w:t>
      </w:r>
      <w:r>
        <w:t>approach</w:t>
      </w:r>
      <w:r w:rsidRPr="00FB26D9">
        <w:t xml:space="preserve"> 100</w:t>
      </w:r>
      <w:r>
        <w:t xml:space="preserve"> percent</w:t>
      </w:r>
      <w:r w:rsidRPr="00FB26D9">
        <w:t xml:space="preserve"> due to the nature of the product and process.  The measure will determine </w:t>
      </w:r>
      <w:r>
        <w:t>the FBI’s</w:t>
      </w:r>
      <w:r w:rsidRPr="00FB26D9">
        <w:t xml:space="preserve"> responsiveness in meeting externally identified priority requirements and </w:t>
      </w:r>
      <w:r>
        <w:t>serving</w:t>
      </w:r>
      <w:r w:rsidRPr="00FB26D9">
        <w:t xml:space="preserve"> the needs of the USIC.  </w:t>
      </w:r>
      <w:r>
        <w:t xml:space="preserve">This measure replaces the three measures listed below, which are really sub-components of the same measure. </w:t>
      </w:r>
      <w:r w:rsidRPr="00FB26D9">
        <w:t>Results</w:t>
      </w:r>
      <w:r>
        <w:t xml:space="preserve"> on this new measure</w:t>
      </w:r>
      <w:r w:rsidRPr="00FB26D9">
        <w:t xml:space="preserve"> will </w:t>
      </w:r>
      <w:r>
        <w:t>provide</w:t>
      </w:r>
      <w:r w:rsidRPr="00FB26D9">
        <w:t xml:space="preserve"> a better understanding of </w:t>
      </w:r>
      <w:r>
        <w:t>the FBI’s</w:t>
      </w:r>
      <w:r w:rsidRPr="00FB26D9">
        <w:t xml:space="preserve"> capability to meet the given requirements and drive future collection efforts.</w:t>
      </w:r>
    </w:p>
    <w:p w:rsidR="00630F6F" w:rsidRDefault="00630F6F" w:rsidP="007471A8">
      <w:pPr>
        <w:autoSpaceDE w:val="0"/>
        <w:autoSpaceDN w:val="0"/>
        <w:adjustRightInd w:val="0"/>
        <w:contextualSpacing/>
        <w:rPr>
          <w:b/>
          <w:i/>
          <w:iCs/>
        </w:rPr>
      </w:pPr>
    </w:p>
    <w:p w:rsidR="00630F6F" w:rsidRPr="006C7AF9" w:rsidRDefault="00630F6F" w:rsidP="007471A8">
      <w:pPr>
        <w:autoSpaceDE w:val="0"/>
        <w:autoSpaceDN w:val="0"/>
        <w:adjustRightInd w:val="0"/>
        <w:contextualSpacing/>
        <w:rPr>
          <w:b/>
          <w:bCs/>
        </w:rPr>
      </w:pPr>
      <w:r w:rsidRPr="00B75506">
        <w:rPr>
          <w:b/>
          <w:i/>
          <w:iCs/>
        </w:rPr>
        <w:t>Performance Measure - Responsiveness</w:t>
      </w:r>
      <w:r w:rsidRPr="006C7AF9">
        <w:rPr>
          <w:i/>
          <w:iCs/>
        </w:rPr>
        <w:t xml:space="preserve">: </w:t>
      </w:r>
      <w:r>
        <w:t xml:space="preserve">% of FBI Headquarters finished </w:t>
      </w:r>
      <w:r w:rsidRPr="006C7AF9">
        <w:t>intelligence reports that are responsive to National Intelligence Priority Framework topics (</w:t>
      </w:r>
      <w:r>
        <w:t>Discontinue</w:t>
      </w:r>
      <w:r w:rsidRPr="006C7AF9">
        <w:t>)</w:t>
      </w:r>
    </w:p>
    <w:p w:rsidR="00630F6F" w:rsidRPr="00DF23A9" w:rsidRDefault="00630F6F" w:rsidP="007471A8">
      <w:pPr>
        <w:contextualSpacing/>
      </w:pPr>
    </w:p>
    <w:p w:rsidR="00630F6F" w:rsidRPr="009B4321" w:rsidRDefault="00630F6F" w:rsidP="007471A8">
      <w:pPr>
        <w:contextualSpacing/>
      </w:pPr>
      <w:r w:rsidRPr="001F6A3B">
        <w:rPr>
          <w:b/>
          <w:bCs/>
          <w:i/>
          <w:iCs/>
          <w:color w:val="000000"/>
        </w:rPr>
        <w:t xml:space="preserve">Discussion: </w:t>
      </w:r>
      <w:r w:rsidRPr="001F6A3B">
        <w:rPr>
          <w:color w:val="000000"/>
        </w:rPr>
        <w:t xml:space="preserve"> </w:t>
      </w:r>
      <w:r>
        <w:rPr>
          <w:color w:val="000000"/>
        </w:rPr>
        <w:t>As noted above, t</w:t>
      </w:r>
      <w:r w:rsidRPr="007150D2">
        <w:rPr>
          <w:color w:val="000000"/>
        </w:rPr>
        <w:t xml:space="preserve">he FBI proposes </w:t>
      </w:r>
      <w:r>
        <w:rPr>
          <w:color w:val="000000"/>
        </w:rPr>
        <w:t>discontinuing</w:t>
      </w:r>
      <w:r w:rsidRPr="007150D2">
        <w:rPr>
          <w:color w:val="000000"/>
        </w:rPr>
        <w:t xml:space="preserve"> this measure </w:t>
      </w:r>
      <w:r>
        <w:rPr>
          <w:color w:val="000000"/>
        </w:rPr>
        <w:t>and replacing it</w:t>
      </w:r>
      <w:r w:rsidRPr="007150D2">
        <w:rPr>
          <w:color w:val="000000"/>
        </w:rPr>
        <w:t xml:space="preserve"> with the measure above</w:t>
      </w:r>
      <w:r>
        <w:rPr>
          <w:color w:val="000000"/>
        </w:rPr>
        <w:t>.</w:t>
      </w:r>
    </w:p>
    <w:p w:rsidR="00630F6F" w:rsidRPr="001F6A3B" w:rsidRDefault="00630F6F" w:rsidP="007471A8">
      <w:pPr>
        <w:contextualSpacing/>
      </w:pPr>
    </w:p>
    <w:p w:rsidR="00630F6F" w:rsidRPr="001F6A3B" w:rsidRDefault="00630F6F" w:rsidP="007471A8">
      <w:pPr>
        <w:pStyle w:val="Heading3"/>
        <w:contextualSpacing/>
        <w:rPr>
          <w:b w:val="0"/>
          <w:bCs w:val="0"/>
        </w:rPr>
      </w:pPr>
      <w:r w:rsidRPr="001F6A3B">
        <w:rPr>
          <w:i/>
          <w:iCs/>
        </w:rPr>
        <w:t>Performance Measure - Responsiveness:</w:t>
      </w:r>
      <w:r w:rsidRPr="001F6A3B">
        <w:t xml:space="preserve"> </w:t>
      </w:r>
      <w:r w:rsidRPr="001F6A3B">
        <w:rPr>
          <w:b w:val="0"/>
          <w:bCs w:val="0"/>
        </w:rPr>
        <w:t>% of FBI Field Office finished intelligence reports that are responsive to National Intelligence Priority Framework topics. (</w:t>
      </w:r>
      <w:r>
        <w:rPr>
          <w:b w:val="0"/>
          <w:bCs w:val="0"/>
        </w:rPr>
        <w:t>Discontinue</w:t>
      </w:r>
      <w:r w:rsidRPr="001F6A3B">
        <w:rPr>
          <w:b w:val="0"/>
          <w:bCs w:val="0"/>
        </w:rPr>
        <w:t>)</w:t>
      </w:r>
    </w:p>
    <w:p w:rsidR="00630F6F" w:rsidRDefault="00630F6F" w:rsidP="007471A8">
      <w:pPr>
        <w:contextualSpacing/>
        <w:rPr>
          <w:b/>
          <w:bCs/>
          <w:i/>
          <w:iCs/>
        </w:rPr>
      </w:pPr>
    </w:p>
    <w:p w:rsidR="00630F6F" w:rsidRDefault="00630F6F" w:rsidP="007471A8">
      <w:pPr>
        <w:contextualSpacing/>
        <w:rPr>
          <w:color w:val="000000"/>
        </w:rPr>
      </w:pPr>
      <w:r w:rsidRPr="001F6A3B">
        <w:rPr>
          <w:b/>
          <w:bCs/>
          <w:i/>
          <w:iCs/>
          <w:color w:val="000000"/>
        </w:rPr>
        <w:t xml:space="preserve">Discussion: </w:t>
      </w:r>
      <w:r w:rsidRPr="001F6A3B">
        <w:rPr>
          <w:color w:val="000000"/>
        </w:rPr>
        <w:t xml:space="preserve"> </w:t>
      </w:r>
      <w:r>
        <w:rPr>
          <w:color w:val="000000"/>
        </w:rPr>
        <w:t>As noted above, t</w:t>
      </w:r>
      <w:r w:rsidRPr="007150D2">
        <w:rPr>
          <w:color w:val="000000"/>
        </w:rPr>
        <w:t xml:space="preserve">he FBI proposes </w:t>
      </w:r>
      <w:r>
        <w:rPr>
          <w:color w:val="000000"/>
        </w:rPr>
        <w:t>discontinuing</w:t>
      </w:r>
      <w:r w:rsidRPr="007150D2">
        <w:rPr>
          <w:color w:val="000000"/>
        </w:rPr>
        <w:t xml:space="preserve"> this measure </w:t>
      </w:r>
      <w:r>
        <w:rPr>
          <w:color w:val="000000"/>
        </w:rPr>
        <w:t>and replacing it</w:t>
      </w:r>
      <w:r w:rsidRPr="007150D2">
        <w:rPr>
          <w:color w:val="000000"/>
        </w:rPr>
        <w:t xml:space="preserve"> with the measure above</w:t>
      </w:r>
      <w:r>
        <w:rPr>
          <w:color w:val="000000"/>
        </w:rPr>
        <w:t>.</w:t>
      </w:r>
    </w:p>
    <w:p w:rsidR="00630F6F" w:rsidRPr="00D303D4" w:rsidRDefault="00630F6F" w:rsidP="007471A8">
      <w:pPr>
        <w:contextualSpacing/>
        <w:rPr>
          <w:color w:val="000000"/>
        </w:rPr>
      </w:pPr>
    </w:p>
    <w:p w:rsidR="00630F6F" w:rsidRPr="001F6A3B" w:rsidRDefault="00630F6F" w:rsidP="007471A8">
      <w:pPr>
        <w:pStyle w:val="Heading3"/>
        <w:contextualSpacing/>
        <w:rPr>
          <w:b w:val="0"/>
          <w:bCs w:val="0"/>
        </w:rPr>
      </w:pPr>
      <w:r w:rsidRPr="001F6A3B">
        <w:rPr>
          <w:i/>
          <w:iCs/>
        </w:rPr>
        <w:t>Performance Measure - Responsiveness:</w:t>
      </w:r>
      <w:r w:rsidRPr="001F6A3B">
        <w:t xml:space="preserve"> </w:t>
      </w:r>
      <w:r w:rsidRPr="001F6A3B">
        <w:rPr>
          <w:b w:val="0"/>
          <w:bCs w:val="0"/>
        </w:rPr>
        <w:t>% of FBI finished intelligence reports that are responsive to National Intelligence Priority Framework topics. (Disseminated to Intelligence Community)</w:t>
      </w:r>
      <w:r>
        <w:rPr>
          <w:b w:val="0"/>
          <w:bCs w:val="0"/>
        </w:rPr>
        <w:t xml:space="preserve"> (Discontinue)</w:t>
      </w:r>
    </w:p>
    <w:p w:rsidR="00630F6F" w:rsidRPr="001F6A3B" w:rsidRDefault="00630F6F" w:rsidP="007471A8">
      <w:pPr>
        <w:pStyle w:val="Heading3"/>
        <w:contextualSpacing/>
      </w:pPr>
    </w:p>
    <w:p w:rsidR="00630F6F" w:rsidRDefault="00630F6F" w:rsidP="007471A8">
      <w:pPr>
        <w:tabs>
          <w:tab w:val="left" w:pos="720"/>
          <w:tab w:val="left" w:pos="2160"/>
          <w:tab w:val="left" w:pos="2880"/>
          <w:tab w:val="left" w:pos="3600"/>
          <w:tab w:val="left" w:pos="4320"/>
          <w:tab w:val="left" w:pos="5040"/>
          <w:tab w:val="left" w:pos="5760"/>
          <w:tab w:val="left" w:pos="6480"/>
          <w:tab w:val="left" w:pos="7200"/>
          <w:tab w:val="left" w:pos="7920"/>
          <w:tab w:val="left" w:pos="8640"/>
        </w:tabs>
        <w:contextualSpacing/>
        <w:rPr>
          <w:color w:val="000000"/>
        </w:rPr>
      </w:pPr>
      <w:r w:rsidRPr="001F6A3B">
        <w:rPr>
          <w:b/>
          <w:bCs/>
          <w:i/>
          <w:iCs/>
          <w:color w:val="000000"/>
        </w:rPr>
        <w:t xml:space="preserve">Discussion: </w:t>
      </w:r>
      <w:r w:rsidRPr="001F6A3B">
        <w:rPr>
          <w:color w:val="000000"/>
        </w:rPr>
        <w:t xml:space="preserve"> </w:t>
      </w:r>
      <w:r>
        <w:rPr>
          <w:color w:val="000000"/>
        </w:rPr>
        <w:t>As noted above, t</w:t>
      </w:r>
      <w:r w:rsidRPr="007150D2">
        <w:rPr>
          <w:color w:val="000000"/>
        </w:rPr>
        <w:t xml:space="preserve">he FBI proposes </w:t>
      </w:r>
      <w:r>
        <w:rPr>
          <w:color w:val="000000"/>
        </w:rPr>
        <w:t>discontinuing</w:t>
      </w:r>
      <w:r w:rsidRPr="007150D2">
        <w:rPr>
          <w:color w:val="000000"/>
        </w:rPr>
        <w:t xml:space="preserve"> this measure </w:t>
      </w:r>
      <w:r>
        <w:rPr>
          <w:color w:val="000000"/>
        </w:rPr>
        <w:t>and replacing it</w:t>
      </w:r>
      <w:r w:rsidRPr="007150D2">
        <w:rPr>
          <w:color w:val="000000"/>
        </w:rPr>
        <w:t xml:space="preserve"> with the measure above</w:t>
      </w:r>
      <w:r>
        <w:rPr>
          <w:color w:val="000000"/>
        </w:rPr>
        <w:t>.</w:t>
      </w:r>
    </w:p>
    <w:p w:rsidR="00630F6F" w:rsidRPr="001F6A3B" w:rsidRDefault="00630F6F" w:rsidP="007471A8">
      <w:pPr>
        <w:contextualSpacing/>
        <w:rPr>
          <w:b/>
          <w:bCs/>
          <w:i/>
          <w:iCs/>
          <w:color w:val="000000"/>
        </w:rPr>
      </w:pPr>
    </w:p>
    <w:p w:rsidR="00F0004F" w:rsidRDefault="00F0004F">
      <w:pPr>
        <w:rPr>
          <w:b/>
          <w:i/>
          <w:iCs/>
        </w:rPr>
      </w:pPr>
      <w:r>
        <w:rPr>
          <w:b/>
          <w:i/>
          <w:iCs/>
        </w:rPr>
        <w:br w:type="page"/>
      </w:r>
    </w:p>
    <w:p w:rsidR="00630F6F" w:rsidRPr="00E14A92" w:rsidRDefault="00630F6F" w:rsidP="007471A8">
      <w:pPr>
        <w:contextualSpacing/>
        <w:rPr>
          <w:b/>
          <w:bCs/>
          <w:u w:val="single"/>
        </w:rPr>
      </w:pPr>
      <w:r w:rsidRPr="001430B3">
        <w:rPr>
          <w:b/>
          <w:i/>
          <w:iCs/>
        </w:rPr>
        <w:lastRenderedPageBreak/>
        <w:t>Performance Measure:</w:t>
      </w:r>
      <w:r w:rsidRPr="001430B3">
        <w:rPr>
          <w:i/>
          <w:iCs/>
        </w:rPr>
        <w:t xml:space="preserve"> </w:t>
      </w:r>
      <w:r w:rsidRPr="001430B3">
        <w:rPr>
          <w:iCs/>
        </w:rPr>
        <w:t>Number of datasets incorporated into DIVS</w:t>
      </w:r>
      <w:r>
        <w:rPr>
          <w:b/>
          <w:iCs/>
        </w:rPr>
        <w:t xml:space="preserve"> </w:t>
      </w:r>
    </w:p>
    <w:p w:rsidR="00E966E5" w:rsidRDefault="00EB00B9" w:rsidP="007471A8">
      <w:pPr>
        <w:contextualSpacing/>
        <w:rPr>
          <w:b/>
          <w:bCs/>
          <w:i/>
        </w:rPr>
      </w:pPr>
      <w:r>
        <w:rPr>
          <w:b/>
          <w:bCs/>
          <w:i/>
          <w:noProof/>
        </w:rPr>
        <w:drawing>
          <wp:anchor distT="0" distB="0" distL="114300" distR="114300" simplePos="0" relativeHeight="251704320" behindDoc="0" locked="0" layoutInCell="1" allowOverlap="1">
            <wp:simplePos x="0" y="0"/>
            <wp:positionH relativeFrom="margin">
              <wp:align>right</wp:align>
            </wp:positionH>
            <wp:positionV relativeFrom="paragraph">
              <wp:posOffset>31750</wp:posOffset>
            </wp:positionV>
            <wp:extent cx="2748915" cy="2477135"/>
            <wp:effectExtent l="19050" t="0" r="13335" b="0"/>
            <wp:wrapTight wrapText="bothSides">
              <wp:wrapPolygon edited="0">
                <wp:start x="-150" y="0"/>
                <wp:lineTo x="-150" y="21594"/>
                <wp:lineTo x="21705" y="21594"/>
                <wp:lineTo x="21705" y="0"/>
                <wp:lineTo x="-150" y="0"/>
              </wp:wrapPolygon>
            </wp:wrapTight>
            <wp:docPr id="37"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E966E5" w:rsidRDefault="00E966E5" w:rsidP="00AB01CC">
      <w:pPr>
        <w:tabs>
          <w:tab w:val="left" w:pos="2160"/>
        </w:tabs>
        <w:contextualSpacing/>
        <w:rPr>
          <w:b/>
          <w:bCs/>
          <w:i/>
        </w:rPr>
      </w:pPr>
      <w:r>
        <w:rPr>
          <w:b/>
          <w:bCs/>
          <w:i/>
        </w:rPr>
        <w:t xml:space="preserve">FY </w:t>
      </w:r>
      <w:r w:rsidR="00AB01CC">
        <w:rPr>
          <w:b/>
          <w:bCs/>
          <w:i/>
        </w:rPr>
        <w:t>20</w:t>
      </w:r>
      <w:r>
        <w:rPr>
          <w:b/>
          <w:bCs/>
          <w:i/>
        </w:rPr>
        <w:t xml:space="preserve">11 Target: </w:t>
      </w:r>
      <w:r w:rsidR="00AB01CC">
        <w:rPr>
          <w:b/>
          <w:bCs/>
          <w:i/>
        </w:rPr>
        <w:tab/>
      </w:r>
      <w:r w:rsidRPr="00182281">
        <w:rPr>
          <w:bCs/>
        </w:rPr>
        <w:t>N/A</w:t>
      </w:r>
    </w:p>
    <w:p w:rsidR="00E966E5" w:rsidRPr="00182281" w:rsidRDefault="00E966E5" w:rsidP="00AB01CC">
      <w:pPr>
        <w:tabs>
          <w:tab w:val="left" w:pos="2160"/>
        </w:tabs>
        <w:contextualSpacing/>
        <w:rPr>
          <w:b/>
          <w:bCs/>
          <w:i/>
        </w:rPr>
      </w:pPr>
      <w:r>
        <w:rPr>
          <w:b/>
          <w:bCs/>
          <w:i/>
        </w:rPr>
        <w:t xml:space="preserve">FY </w:t>
      </w:r>
      <w:r w:rsidR="00AB01CC">
        <w:rPr>
          <w:b/>
          <w:bCs/>
          <w:i/>
        </w:rPr>
        <w:t>20</w:t>
      </w:r>
      <w:r>
        <w:rPr>
          <w:b/>
          <w:bCs/>
          <w:i/>
        </w:rPr>
        <w:t xml:space="preserve">11 Actual: </w:t>
      </w:r>
      <w:r w:rsidR="00AB01CC">
        <w:rPr>
          <w:b/>
          <w:bCs/>
          <w:i/>
        </w:rPr>
        <w:tab/>
      </w:r>
      <w:r w:rsidRPr="00182281">
        <w:rPr>
          <w:bCs/>
        </w:rPr>
        <w:t>51</w:t>
      </w:r>
    </w:p>
    <w:p w:rsidR="00E966E5" w:rsidRDefault="00E966E5" w:rsidP="007471A8">
      <w:pPr>
        <w:contextualSpacing/>
        <w:rPr>
          <w:b/>
          <w:bCs/>
        </w:rPr>
      </w:pPr>
    </w:p>
    <w:p w:rsidR="00E966E5" w:rsidRDefault="00E966E5" w:rsidP="007471A8">
      <w:pPr>
        <w:contextualSpacing/>
        <w:rPr>
          <w:bCs/>
        </w:rPr>
      </w:pPr>
      <w:r>
        <w:rPr>
          <w:b/>
          <w:bCs/>
          <w:i/>
        </w:rPr>
        <w:t xml:space="preserve">Discussion: </w:t>
      </w:r>
      <w:r w:rsidRPr="0022117E">
        <w:rPr>
          <w:bCs/>
        </w:rPr>
        <w:t xml:space="preserve">The </w:t>
      </w:r>
      <w:r>
        <w:rPr>
          <w:bCs/>
        </w:rPr>
        <w:t xml:space="preserve">FBI’s </w:t>
      </w:r>
      <w:r w:rsidRPr="0022117E">
        <w:rPr>
          <w:bCs/>
        </w:rPr>
        <w:t xml:space="preserve">Special Technologies and Applications Section (STAS) continues to expand </w:t>
      </w:r>
    </w:p>
    <w:p w:rsidR="00E966E5" w:rsidRDefault="00E966E5" w:rsidP="007471A8">
      <w:pPr>
        <w:contextualSpacing/>
        <w:rPr>
          <w:bCs/>
        </w:rPr>
      </w:pPr>
      <w:proofErr w:type="gramStart"/>
      <w:r w:rsidRPr="0022117E">
        <w:rPr>
          <w:bCs/>
        </w:rPr>
        <w:t>on</w:t>
      </w:r>
      <w:proofErr w:type="gramEnd"/>
      <w:r w:rsidRPr="0022117E">
        <w:rPr>
          <w:bCs/>
        </w:rPr>
        <w:t xml:space="preserve"> </w:t>
      </w:r>
      <w:r>
        <w:rPr>
          <w:bCs/>
        </w:rPr>
        <w:t>the</w:t>
      </w:r>
      <w:r w:rsidRPr="0022117E">
        <w:rPr>
          <w:bCs/>
        </w:rPr>
        <w:t xml:space="preserve"> initial operating capa</w:t>
      </w:r>
      <w:r>
        <w:rPr>
          <w:bCs/>
        </w:rPr>
        <w:t>bility for the DIVS application</w:t>
      </w:r>
      <w:r w:rsidRPr="0022117E">
        <w:rPr>
          <w:bCs/>
        </w:rPr>
        <w:t xml:space="preserve">. The application initially went live </w:t>
      </w:r>
    </w:p>
    <w:p w:rsidR="00E966E5" w:rsidRDefault="00E966E5" w:rsidP="007471A8">
      <w:pPr>
        <w:contextualSpacing/>
        <w:rPr>
          <w:bCs/>
        </w:rPr>
      </w:pPr>
      <w:proofErr w:type="gramStart"/>
      <w:r w:rsidRPr="0022117E">
        <w:rPr>
          <w:bCs/>
        </w:rPr>
        <w:t>in</w:t>
      </w:r>
      <w:proofErr w:type="gramEnd"/>
      <w:r w:rsidRPr="0022117E">
        <w:rPr>
          <w:bCs/>
        </w:rPr>
        <w:t xml:space="preserve"> October 2010</w:t>
      </w:r>
      <w:r>
        <w:rPr>
          <w:bCs/>
        </w:rPr>
        <w:t>,</w:t>
      </w:r>
      <w:r w:rsidRPr="0022117E">
        <w:rPr>
          <w:bCs/>
        </w:rPr>
        <w:t xml:space="preserve"> with 24 data sets that were based </w:t>
      </w:r>
    </w:p>
    <w:p w:rsidR="00E966E5" w:rsidRPr="005C453B" w:rsidRDefault="00E966E5" w:rsidP="007471A8">
      <w:pPr>
        <w:contextualSpacing/>
        <w:rPr>
          <w:bCs/>
          <w:color w:val="FF0000"/>
        </w:rPr>
      </w:pPr>
      <w:proofErr w:type="gramStart"/>
      <w:r w:rsidRPr="0022117E">
        <w:rPr>
          <w:bCs/>
        </w:rPr>
        <w:t>on</w:t>
      </w:r>
      <w:proofErr w:type="gramEnd"/>
      <w:r w:rsidRPr="0022117E">
        <w:rPr>
          <w:bCs/>
        </w:rPr>
        <w:t xml:space="preserve"> prioritization from the Data Exploitation and Aggregation Group.  Throughout </w:t>
      </w:r>
      <w:r>
        <w:rPr>
          <w:bCs/>
        </w:rPr>
        <w:t>FY 2011, the team</w:t>
      </w:r>
      <w:r w:rsidRPr="0022117E">
        <w:rPr>
          <w:bCs/>
        </w:rPr>
        <w:t xml:space="preserve"> continued to deliver additional data sets, infrastructure improvements</w:t>
      </w:r>
      <w:r>
        <w:rPr>
          <w:bCs/>
        </w:rPr>
        <w:t>,</w:t>
      </w:r>
      <w:r w:rsidRPr="0022117E">
        <w:rPr>
          <w:bCs/>
        </w:rPr>
        <w:t xml:space="preserve"> and application enhancements that have improved end user accessibility to data across the FBI and job efficiencies through advanced search and discovery capabilities.  </w:t>
      </w:r>
      <w:r>
        <w:rPr>
          <w:bCs/>
        </w:rPr>
        <w:t>M</w:t>
      </w:r>
      <w:r w:rsidRPr="0022117E">
        <w:rPr>
          <w:bCs/>
        </w:rPr>
        <w:t xml:space="preserve">any challenges </w:t>
      </w:r>
      <w:r>
        <w:rPr>
          <w:bCs/>
        </w:rPr>
        <w:t>remain, however,</w:t>
      </w:r>
      <w:r w:rsidRPr="0022117E">
        <w:rPr>
          <w:bCs/>
        </w:rPr>
        <w:t xml:space="preserve"> for the incorporation of more data sets into DIVS, including: increased complexity for data transfer, ingest, indexing and access privileges; legal issues with types of data that are accessible for cross-correlation; and external dependencies related to the collaborative requirements for sharing data.</w:t>
      </w:r>
      <w:r>
        <w:rPr>
          <w:bCs/>
        </w:rPr>
        <w:t xml:space="preserve"> Targets</w:t>
      </w:r>
      <w:r w:rsidRPr="0001489D">
        <w:rPr>
          <w:bCs/>
        </w:rPr>
        <w:t xml:space="preserve"> for FY 2012 and FY 2013 were set based on historical productivity with existing resources and general timing requirements for acquiring the necessary legal reviews and approvals prior to ingesting new data into the DIVS environment.</w:t>
      </w:r>
      <w:r>
        <w:rPr>
          <w:bCs/>
        </w:rPr>
        <w:t xml:space="preserve"> </w:t>
      </w:r>
      <w:r w:rsidRPr="0001489D">
        <w:rPr>
          <w:bCs/>
        </w:rPr>
        <w:t>STAS expects to continue meeting its targets for the number of data sets incorporated into DIVS for the remainder of FY 2012 and through FY 2013.</w:t>
      </w:r>
      <w:r>
        <w:rPr>
          <w:bCs/>
        </w:rPr>
        <w:t xml:space="preserve"> </w:t>
      </w:r>
    </w:p>
    <w:p w:rsidR="00E966E5" w:rsidRDefault="00E966E5" w:rsidP="007471A8">
      <w:pPr>
        <w:contextualSpacing/>
        <w:rPr>
          <w:bCs/>
          <w:color w:val="FF0000"/>
        </w:rPr>
      </w:pPr>
    </w:p>
    <w:p w:rsidR="00E966E5" w:rsidRPr="00182281" w:rsidRDefault="00E966E5" w:rsidP="007471A8">
      <w:pPr>
        <w:contextualSpacing/>
        <w:rPr>
          <w:bCs/>
          <w:iCs/>
          <w:color w:val="000000"/>
          <w:u w:val="single"/>
        </w:rPr>
      </w:pPr>
      <w:r>
        <w:rPr>
          <w:b/>
          <w:bCs/>
          <w:i/>
          <w:iCs/>
          <w:color w:val="000000"/>
        </w:rPr>
        <w:t>FY 2012 Target:</w:t>
      </w:r>
      <w:r w:rsidR="00AB01CC">
        <w:rPr>
          <w:b/>
          <w:bCs/>
          <w:i/>
          <w:iCs/>
          <w:color w:val="000000"/>
        </w:rPr>
        <w:tab/>
      </w:r>
      <w:r w:rsidRPr="00F73E2C">
        <w:rPr>
          <w:bCs/>
          <w:iCs/>
          <w:color w:val="000000"/>
        </w:rPr>
        <w:t>20 (101 cumulatively)</w:t>
      </w:r>
    </w:p>
    <w:p w:rsidR="00E966E5" w:rsidRDefault="00E966E5" w:rsidP="00AB01CC">
      <w:pPr>
        <w:tabs>
          <w:tab w:val="left" w:pos="2160"/>
        </w:tabs>
        <w:contextualSpacing/>
        <w:rPr>
          <w:bCs/>
          <w:color w:val="FF0000"/>
        </w:rPr>
      </w:pPr>
      <w:r w:rsidRPr="00120534">
        <w:rPr>
          <w:b/>
          <w:bCs/>
          <w:i/>
          <w:iCs/>
        </w:rPr>
        <w:t>FY 201</w:t>
      </w:r>
      <w:r>
        <w:rPr>
          <w:b/>
          <w:bCs/>
          <w:i/>
          <w:iCs/>
        </w:rPr>
        <w:t>3</w:t>
      </w:r>
      <w:r w:rsidRPr="00120534">
        <w:rPr>
          <w:b/>
          <w:bCs/>
          <w:i/>
          <w:iCs/>
        </w:rPr>
        <w:t xml:space="preserve"> Target:</w:t>
      </w:r>
      <w:r w:rsidR="00AB01CC">
        <w:rPr>
          <w:b/>
          <w:bCs/>
          <w:i/>
          <w:iCs/>
        </w:rPr>
        <w:tab/>
      </w:r>
      <w:r>
        <w:t>30 (101 cumulatively)</w:t>
      </w:r>
      <w:r w:rsidRPr="00120534">
        <w:rPr>
          <w:i/>
          <w:iCs/>
        </w:rPr>
        <w:cr/>
      </w:r>
    </w:p>
    <w:p w:rsidR="00630F6F" w:rsidRDefault="00630F6F" w:rsidP="007471A8">
      <w:pPr>
        <w:pStyle w:val="Pa1"/>
        <w:spacing w:line="240" w:lineRule="auto"/>
        <w:contextualSpacing/>
        <w:rPr>
          <w:rFonts w:ascii="Times New Roman" w:eastAsia="Times New Roman" w:hAnsi="Times New Roman" w:cs="Times New Roman"/>
          <w:bCs/>
          <w:iCs/>
        </w:rPr>
      </w:pPr>
      <w:r w:rsidRPr="007E1F69">
        <w:rPr>
          <w:rFonts w:ascii="Times New Roman" w:hAnsi="Times New Roman" w:cs="Times New Roman"/>
          <w:b/>
          <w:bCs/>
        </w:rPr>
        <w:t>b. Strategies to Accomplish Outcomes</w:t>
      </w:r>
      <w:r w:rsidRPr="007E1F69">
        <w:rPr>
          <w:rFonts w:ascii="Times New Roman" w:hAnsi="Times New Roman" w:cs="Times New Roman"/>
        </w:rPr>
        <w:cr/>
      </w:r>
      <w:r w:rsidRPr="009552BF">
        <w:rPr>
          <w:rFonts w:ascii="Times New Roman" w:eastAsia="Times New Roman" w:hAnsi="Times New Roman" w:cs="Times New Roman"/>
          <w:bCs/>
          <w:iCs/>
        </w:rPr>
        <w:t>The FBI’s Intelligence Program strives to meet current and emerging national security and criminal threats by: aiming core investigative work proactively against threats to U.S. interests; building and sustaining enterprise-wide intelligence policies and capabilities; and providing useful, appropriate, and timely information and analysis to the national security, homeland security, and law enforcement communities. The FBI is committed to fulfilling its responsibility to safeguard national security. As such, it continues to proactively adapt and improve upon collection, analysis, and dissemination capabilities while also protecting the civil liberties and rights of all Americans.</w:t>
      </w:r>
    </w:p>
    <w:p w:rsidR="003D1F58" w:rsidRDefault="003D1F58" w:rsidP="007471A8">
      <w:pPr>
        <w:pStyle w:val="Default"/>
        <w:contextualSpacing/>
      </w:pPr>
    </w:p>
    <w:p w:rsidR="003D1F58" w:rsidRPr="003D1F58" w:rsidRDefault="003D1F58" w:rsidP="007471A8">
      <w:pPr>
        <w:pStyle w:val="BodyText"/>
        <w:contextualSpacing/>
        <w:rPr>
          <w:b/>
          <w:iCs/>
          <w:szCs w:val="24"/>
        </w:rPr>
      </w:pPr>
      <w:r w:rsidRPr="003D1F58">
        <w:rPr>
          <w:b/>
          <w:iCs/>
          <w:szCs w:val="24"/>
        </w:rPr>
        <w:t>c. Priority Goals</w:t>
      </w:r>
    </w:p>
    <w:p w:rsidR="00630F6F" w:rsidRPr="009552BF" w:rsidRDefault="003D1F58" w:rsidP="007471A8">
      <w:pPr>
        <w:pStyle w:val="BodyText"/>
        <w:contextualSpacing/>
        <w:rPr>
          <w:bCs/>
          <w:iCs/>
        </w:rPr>
      </w:pPr>
      <w:r>
        <w:rPr>
          <w:iCs/>
          <w:szCs w:val="24"/>
        </w:rPr>
        <w:t xml:space="preserve">The FBI contributes to the </w:t>
      </w:r>
      <w:r>
        <w:rPr>
          <w:bCs/>
          <w:szCs w:val="24"/>
        </w:rPr>
        <w:t>National Security</w:t>
      </w:r>
      <w:r>
        <w:rPr>
          <w:iCs/>
          <w:szCs w:val="24"/>
        </w:rPr>
        <w:t xml:space="preserve"> Priority Goal 1, which aims to b</w:t>
      </w:r>
      <w:r>
        <w:rPr>
          <w:szCs w:val="24"/>
        </w:rPr>
        <w:t>etter inform the Intelligence Community, thereby increasing the ability to protect Americans from terrorism and other threats to national security – both at home and abroad. By September 30, 2013, the FBI will increase by 6</w:t>
      </w:r>
      <w:r w:rsidR="00C77928">
        <w:rPr>
          <w:szCs w:val="24"/>
        </w:rPr>
        <w:t xml:space="preserve"> percent</w:t>
      </w:r>
      <w:r>
        <w:rPr>
          <w:szCs w:val="24"/>
        </w:rPr>
        <w:t xml:space="preserve"> the number of counterterrorism intelligence products shared with the U.S. Intelligence Community, state and local Law Enforcement Community partners, and foreign government agencies.  </w:t>
      </w:r>
      <w:r>
        <w:rPr>
          <w:iCs/>
          <w:szCs w:val="24"/>
        </w:rPr>
        <w:t>The FBI’s progress will be reported quarterly.</w:t>
      </w:r>
      <w:r w:rsidR="00630F6F" w:rsidRPr="009552BF">
        <w:rPr>
          <w:bCs/>
          <w:iCs/>
        </w:rPr>
        <w:br w:type="page"/>
      </w:r>
    </w:p>
    <w:p w:rsidR="00A424D3" w:rsidRPr="00A471A6" w:rsidRDefault="00A424D3" w:rsidP="007471A8">
      <w:pPr>
        <w:pStyle w:val="BodyText"/>
        <w:contextualSpacing/>
        <w:rPr>
          <w:rFonts w:cs="Arial"/>
          <w:b/>
          <w:bCs/>
        </w:rPr>
      </w:pPr>
      <w:bookmarkStart w:id="8" w:name="CTCI_DU"/>
      <w:bookmarkEnd w:id="8"/>
      <w:r w:rsidRPr="00A471A6">
        <w:rPr>
          <w:rFonts w:cs="Arial"/>
          <w:b/>
          <w:bCs/>
        </w:rPr>
        <w:lastRenderedPageBreak/>
        <w:t>B. Counterterrorism/Counterintelligence Decision Unit</w:t>
      </w:r>
    </w:p>
    <w:p w:rsidR="00A424D3" w:rsidRPr="00A471A6" w:rsidRDefault="00A424D3" w:rsidP="007471A8">
      <w:pPr>
        <w:pStyle w:val="BodyText"/>
        <w:contextualSpacing/>
        <w:rPr>
          <w:rFonts w:cs="Arial"/>
          <w:b/>
          <w:bCs/>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350"/>
        <w:gridCol w:w="1260"/>
        <w:gridCol w:w="1638"/>
      </w:tblGrid>
      <w:tr w:rsidR="00A424D3" w:rsidRPr="00A471A6" w:rsidTr="00415A34">
        <w:trPr>
          <w:jc w:val="center"/>
        </w:trPr>
        <w:tc>
          <w:tcPr>
            <w:tcW w:w="5328" w:type="dxa"/>
            <w:vAlign w:val="center"/>
          </w:tcPr>
          <w:p w:rsidR="00A424D3" w:rsidRPr="00A471A6" w:rsidRDefault="00A424D3" w:rsidP="007471A8">
            <w:pPr>
              <w:pStyle w:val="Title"/>
              <w:ind w:left="0"/>
              <w:contextualSpacing/>
              <w:jc w:val="left"/>
              <w:rPr>
                <w:i w:val="0"/>
                <w:szCs w:val="24"/>
              </w:rPr>
            </w:pPr>
            <w:r w:rsidRPr="00A471A6">
              <w:rPr>
                <w:i w:val="0"/>
                <w:szCs w:val="24"/>
              </w:rPr>
              <w:t>COUNTERTERRORISM/ COUNTERINTELLIGENCE DECISION UNIT TOTAL</w:t>
            </w:r>
          </w:p>
        </w:tc>
        <w:tc>
          <w:tcPr>
            <w:tcW w:w="1350" w:type="dxa"/>
            <w:vAlign w:val="center"/>
          </w:tcPr>
          <w:p w:rsidR="00A424D3" w:rsidRPr="00A471A6" w:rsidRDefault="00A424D3" w:rsidP="007471A8">
            <w:pPr>
              <w:pStyle w:val="Title"/>
              <w:ind w:left="0"/>
              <w:contextualSpacing/>
              <w:rPr>
                <w:i w:val="0"/>
                <w:szCs w:val="24"/>
              </w:rPr>
            </w:pPr>
            <w:r w:rsidRPr="00A471A6">
              <w:rPr>
                <w:i w:val="0"/>
                <w:szCs w:val="24"/>
              </w:rPr>
              <w:t xml:space="preserve">Perm. </w:t>
            </w:r>
            <w:proofErr w:type="gramStart"/>
            <w:r w:rsidRPr="00A471A6">
              <w:rPr>
                <w:i w:val="0"/>
                <w:szCs w:val="24"/>
              </w:rPr>
              <w:t>Pos.</w:t>
            </w:r>
            <w:proofErr w:type="gramEnd"/>
          </w:p>
        </w:tc>
        <w:tc>
          <w:tcPr>
            <w:tcW w:w="1260" w:type="dxa"/>
            <w:vAlign w:val="center"/>
          </w:tcPr>
          <w:p w:rsidR="00A424D3" w:rsidRPr="00A471A6" w:rsidRDefault="00A424D3" w:rsidP="007471A8">
            <w:pPr>
              <w:pStyle w:val="Title"/>
              <w:ind w:left="0"/>
              <w:contextualSpacing/>
              <w:rPr>
                <w:i w:val="0"/>
                <w:szCs w:val="24"/>
              </w:rPr>
            </w:pPr>
            <w:r w:rsidRPr="00A471A6">
              <w:rPr>
                <w:i w:val="0"/>
                <w:szCs w:val="24"/>
              </w:rPr>
              <w:t>FTE</w:t>
            </w:r>
          </w:p>
        </w:tc>
        <w:tc>
          <w:tcPr>
            <w:tcW w:w="1638" w:type="dxa"/>
            <w:vAlign w:val="center"/>
          </w:tcPr>
          <w:p w:rsidR="00A424D3" w:rsidRPr="00A471A6" w:rsidRDefault="00A424D3" w:rsidP="007471A8">
            <w:pPr>
              <w:pStyle w:val="Title"/>
              <w:ind w:left="0"/>
              <w:contextualSpacing/>
              <w:rPr>
                <w:i w:val="0"/>
                <w:szCs w:val="24"/>
              </w:rPr>
            </w:pPr>
            <w:r w:rsidRPr="00A471A6">
              <w:rPr>
                <w:i w:val="0"/>
                <w:szCs w:val="24"/>
              </w:rPr>
              <w:t>Amount ($000)</w:t>
            </w:r>
          </w:p>
        </w:tc>
      </w:tr>
      <w:tr w:rsidR="00A424D3" w:rsidRPr="00A471A6" w:rsidTr="00415A34">
        <w:trPr>
          <w:jc w:val="center"/>
        </w:trPr>
        <w:tc>
          <w:tcPr>
            <w:tcW w:w="5328" w:type="dxa"/>
          </w:tcPr>
          <w:p w:rsidR="00A424D3" w:rsidRPr="00A471A6" w:rsidRDefault="00A424D3" w:rsidP="007471A8">
            <w:pPr>
              <w:pStyle w:val="Title"/>
              <w:ind w:left="0"/>
              <w:contextualSpacing/>
              <w:jc w:val="left"/>
              <w:rPr>
                <w:b w:val="0"/>
                <w:bCs/>
                <w:i w:val="0"/>
                <w:szCs w:val="24"/>
              </w:rPr>
            </w:pPr>
            <w:r w:rsidRPr="00A471A6">
              <w:rPr>
                <w:b w:val="0"/>
                <w:bCs/>
                <w:i w:val="0"/>
                <w:szCs w:val="24"/>
              </w:rPr>
              <w:t xml:space="preserve">2011 Enacted </w:t>
            </w:r>
            <w:r w:rsidRPr="00A471A6">
              <w:rPr>
                <w:b w:val="0"/>
                <w:bCs/>
                <w:i w:val="0"/>
                <w:iCs/>
                <w:szCs w:val="24"/>
              </w:rPr>
              <w:t>w/Rescissions</w:t>
            </w:r>
          </w:p>
        </w:tc>
        <w:tc>
          <w:tcPr>
            <w:tcW w:w="1350" w:type="dxa"/>
          </w:tcPr>
          <w:p w:rsidR="00A424D3" w:rsidRPr="00A471A6" w:rsidRDefault="00A424D3" w:rsidP="007471A8">
            <w:pPr>
              <w:pStyle w:val="Title"/>
              <w:ind w:left="0"/>
              <w:contextualSpacing/>
              <w:jc w:val="right"/>
              <w:rPr>
                <w:b w:val="0"/>
                <w:bCs/>
                <w:i w:val="0"/>
                <w:szCs w:val="24"/>
              </w:rPr>
            </w:pPr>
            <w:r w:rsidRPr="00A471A6">
              <w:rPr>
                <w:b w:val="0"/>
                <w:bCs/>
                <w:i w:val="0"/>
                <w:szCs w:val="24"/>
              </w:rPr>
              <w:t>12,693</w:t>
            </w:r>
          </w:p>
        </w:tc>
        <w:tc>
          <w:tcPr>
            <w:tcW w:w="1260" w:type="dxa"/>
          </w:tcPr>
          <w:p w:rsidR="00A424D3" w:rsidRPr="00A471A6" w:rsidRDefault="00A424D3" w:rsidP="007471A8">
            <w:pPr>
              <w:pStyle w:val="Title"/>
              <w:ind w:left="0"/>
              <w:contextualSpacing/>
              <w:jc w:val="right"/>
              <w:rPr>
                <w:b w:val="0"/>
                <w:bCs/>
                <w:i w:val="0"/>
                <w:szCs w:val="24"/>
              </w:rPr>
            </w:pPr>
            <w:r w:rsidRPr="00A471A6">
              <w:rPr>
                <w:b w:val="0"/>
                <w:bCs/>
                <w:i w:val="0"/>
                <w:szCs w:val="24"/>
              </w:rPr>
              <w:t>12,484</w:t>
            </w:r>
          </w:p>
        </w:tc>
        <w:tc>
          <w:tcPr>
            <w:tcW w:w="1638" w:type="dxa"/>
          </w:tcPr>
          <w:p w:rsidR="00A424D3" w:rsidRPr="00A471A6" w:rsidRDefault="00A424D3" w:rsidP="007471A8">
            <w:pPr>
              <w:pStyle w:val="Title"/>
              <w:ind w:left="0"/>
              <w:contextualSpacing/>
              <w:jc w:val="right"/>
              <w:rPr>
                <w:b w:val="0"/>
                <w:bCs/>
                <w:i w:val="0"/>
                <w:szCs w:val="24"/>
              </w:rPr>
            </w:pPr>
            <w:r w:rsidRPr="00A471A6">
              <w:rPr>
                <w:b w:val="0"/>
                <w:bCs/>
                <w:i w:val="0"/>
                <w:szCs w:val="24"/>
              </w:rPr>
              <w:t>$3,225,897</w:t>
            </w:r>
          </w:p>
        </w:tc>
      </w:tr>
      <w:tr w:rsidR="00A424D3" w:rsidRPr="00A471A6" w:rsidTr="00415A34">
        <w:trPr>
          <w:trHeight w:val="278"/>
          <w:jc w:val="center"/>
        </w:trPr>
        <w:tc>
          <w:tcPr>
            <w:tcW w:w="5328" w:type="dxa"/>
          </w:tcPr>
          <w:p w:rsidR="00A424D3" w:rsidRPr="00A471A6" w:rsidRDefault="00A424D3" w:rsidP="007471A8">
            <w:pPr>
              <w:pStyle w:val="Title"/>
              <w:ind w:left="0"/>
              <w:contextualSpacing/>
              <w:jc w:val="left"/>
              <w:rPr>
                <w:b w:val="0"/>
                <w:bCs/>
                <w:i w:val="0"/>
                <w:szCs w:val="24"/>
              </w:rPr>
            </w:pPr>
            <w:r w:rsidRPr="00A471A6">
              <w:rPr>
                <w:b w:val="0"/>
                <w:bCs/>
                <w:i w:val="0"/>
                <w:szCs w:val="24"/>
              </w:rPr>
              <w:t>2012 Enacted</w:t>
            </w:r>
          </w:p>
        </w:tc>
        <w:tc>
          <w:tcPr>
            <w:tcW w:w="1350" w:type="dxa"/>
          </w:tcPr>
          <w:p w:rsidR="00A424D3" w:rsidRPr="00A471A6" w:rsidRDefault="00A424D3" w:rsidP="007471A8">
            <w:pPr>
              <w:pStyle w:val="Title"/>
              <w:ind w:left="0"/>
              <w:contextualSpacing/>
              <w:jc w:val="right"/>
              <w:rPr>
                <w:b w:val="0"/>
                <w:bCs/>
                <w:i w:val="0"/>
                <w:szCs w:val="24"/>
              </w:rPr>
            </w:pPr>
            <w:r w:rsidRPr="00A471A6">
              <w:rPr>
                <w:b w:val="0"/>
                <w:bCs/>
                <w:i w:val="0"/>
                <w:szCs w:val="24"/>
              </w:rPr>
              <w:t>12,757</w:t>
            </w:r>
          </w:p>
        </w:tc>
        <w:tc>
          <w:tcPr>
            <w:tcW w:w="1260" w:type="dxa"/>
          </w:tcPr>
          <w:p w:rsidR="00A424D3" w:rsidRPr="00A471A6" w:rsidRDefault="00A424D3" w:rsidP="007471A8">
            <w:pPr>
              <w:pStyle w:val="Title"/>
              <w:ind w:left="0"/>
              <w:contextualSpacing/>
              <w:jc w:val="right"/>
              <w:rPr>
                <w:b w:val="0"/>
                <w:bCs/>
                <w:i w:val="0"/>
                <w:szCs w:val="24"/>
              </w:rPr>
            </w:pPr>
            <w:r w:rsidRPr="00A471A6">
              <w:rPr>
                <w:b w:val="0"/>
                <w:bCs/>
                <w:i w:val="0"/>
                <w:szCs w:val="24"/>
              </w:rPr>
              <w:t>12,474</w:t>
            </w:r>
          </w:p>
        </w:tc>
        <w:tc>
          <w:tcPr>
            <w:tcW w:w="1638" w:type="dxa"/>
          </w:tcPr>
          <w:p w:rsidR="00A424D3" w:rsidRPr="00A471A6" w:rsidRDefault="00A424D3" w:rsidP="007471A8">
            <w:pPr>
              <w:pStyle w:val="Title"/>
              <w:ind w:left="0"/>
              <w:contextualSpacing/>
              <w:jc w:val="right"/>
              <w:rPr>
                <w:b w:val="0"/>
                <w:bCs/>
                <w:i w:val="0"/>
                <w:szCs w:val="24"/>
              </w:rPr>
            </w:pPr>
            <w:r w:rsidRPr="00A471A6">
              <w:rPr>
                <w:b w:val="0"/>
                <w:bCs/>
                <w:i w:val="0"/>
                <w:szCs w:val="24"/>
              </w:rPr>
              <w:t>3,229,096</w:t>
            </w:r>
          </w:p>
        </w:tc>
      </w:tr>
      <w:tr w:rsidR="00A424D3" w:rsidRPr="00A471A6" w:rsidTr="00415A34">
        <w:trPr>
          <w:jc w:val="center"/>
        </w:trPr>
        <w:tc>
          <w:tcPr>
            <w:tcW w:w="5328" w:type="dxa"/>
          </w:tcPr>
          <w:p w:rsidR="00A424D3" w:rsidRPr="00A471A6" w:rsidRDefault="00A424D3" w:rsidP="007471A8">
            <w:pPr>
              <w:pStyle w:val="Title"/>
              <w:ind w:left="0"/>
              <w:contextualSpacing/>
              <w:jc w:val="left"/>
              <w:rPr>
                <w:b w:val="0"/>
                <w:bCs/>
                <w:i w:val="0"/>
                <w:szCs w:val="24"/>
              </w:rPr>
            </w:pPr>
            <w:r w:rsidRPr="00A471A6">
              <w:rPr>
                <w:b w:val="0"/>
                <w:bCs/>
                <w:i w:val="0"/>
                <w:szCs w:val="24"/>
              </w:rPr>
              <w:t>Adjustments to Base and Technical Adjustments</w:t>
            </w:r>
          </w:p>
        </w:tc>
        <w:tc>
          <w:tcPr>
            <w:tcW w:w="1350" w:type="dxa"/>
            <w:vAlign w:val="center"/>
          </w:tcPr>
          <w:p w:rsidR="00A424D3" w:rsidRPr="00A471A6" w:rsidRDefault="00A424D3" w:rsidP="007471A8">
            <w:pPr>
              <w:pStyle w:val="Title"/>
              <w:ind w:left="0"/>
              <w:contextualSpacing/>
              <w:jc w:val="right"/>
              <w:rPr>
                <w:b w:val="0"/>
                <w:bCs/>
                <w:i w:val="0"/>
                <w:szCs w:val="24"/>
              </w:rPr>
            </w:pPr>
            <w:r w:rsidRPr="00A471A6">
              <w:rPr>
                <w:b w:val="0"/>
                <w:bCs/>
                <w:i w:val="0"/>
                <w:szCs w:val="24"/>
              </w:rPr>
              <w:t>26</w:t>
            </w:r>
          </w:p>
        </w:tc>
        <w:tc>
          <w:tcPr>
            <w:tcW w:w="1260" w:type="dxa"/>
            <w:vAlign w:val="center"/>
          </w:tcPr>
          <w:p w:rsidR="00A424D3" w:rsidRPr="00A471A6" w:rsidRDefault="00A424D3" w:rsidP="007471A8">
            <w:pPr>
              <w:pStyle w:val="Title"/>
              <w:ind w:left="0"/>
              <w:contextualSpacing/>
              <w:jc w:val="right"/>
              <w:rPr>
                <w:b w:val="0"/>
                <w:bCs/>
                <w:i w:val="0"/>
                <w:szCs w:val="24"/>
              </w:rPr>
            </w:pPr>
            <w:r w:rsidRPr="00A471A6">
              <w:rPr>
                <w:b w:val="0"/>
                <w:bCs/>
                <w:i w:val="0"/>
                <w:szCs w:val="24"/>
              </w:rPr>
              <w:t>72</w:t>
            </w:r>
          </w:p>
        </w:tc>
        <w:tc>
          <w:tcPr>
            <w:tcW w:w="1638" w:type="dxa"/>
            <w:vAlign w:val="center"/>
          </w:tcPr>
          <w:p w:rsidR="00A424D3" w:rsidRPr="00A471A6" w:rsidRDefault="00A424D3" w:rsidP="007471A8">
            <w:pPr>
              <w:pStyle w:val="Title"/>
              <w:ind w:left="0"/>
              <w:contextualSpacing/>
              <w:jc w:val="right"/>
              <w:rPr>
                <w:b w:val="0"/>
                <w:bCs/>
                <w:i w:val="0"/>
                <w:szCs w:val="24"/>
              </w:rPr>
            </w:pPr>
            <w:r w:rsidRPr="00A471A6">
              <w:rPr>
                <w:b w:val="0"/>
                <w:bCs/>
                <w:i w:val="0"/>
                <w:szCs w:val="24"/>
              </w:rPr>
              <w:t>91,007</w:t>
            </w:r>
          </w:p>
        </w:tc>
      </w:tr>
      <w:tr w:rsidR="00A424D3" w:rsidRPr="00A471A6" w:rsidTr="00415A34">
        <w:trPr>
          <w:jc w:val="center"/>
        </w:trPr>
        <w:tc>
          <w:tcPr>
            <w:tcW w:w="5328" w:type="dxa"/>
          </w:tcPr>
          <w:p w:rsidR="00A424D3" w:rsidRPr="00A471A6" w:rsidRDefault="00A424D3" w:rsidP="007471A8">
            <w:pPr>
              <w:pStyle w:val="Title"/>
              <w:ind w:left="0"/>
              <w:contextualSpacing/>
              <w:jc w:val="left"/>
              <w:rPr>
                <w:b w:val="0"/>
                <w:bCs/>
                <w:i w:val="0"/>
                <w:szCs w:val="24"/>
              </w:rPr>
            </w:pPr>
            <w:r w:rsidRPr="00A471A6">
              <w:rPr>
                <w:b w:val="0"/>
                <w:bCs/>
                <w:i w:val="0"/>
                <w:szCs w:val="24"/>
              </w:rPr>
              <w:t>2013 Current Services</w:t>
            </w:r>
          </w:p>
        </w:tc>
        <w:tc>
          <w:tcPr>
            <w:tcW w:w="1350" w:type="dxa"/>
          </w:tcPr>
          <w:p w:rsidR="00A424D3" w:rsidRPr="00A471A6" w:rsidRDefault="00A424D3" w:rsidP="007471A8">
            <w:pPr>
              <w:pStyle w:val="Title"/>
              <w:ind w:left="0"/>
              <w:contextualSpacing/>
              <w:jc w:val="right"/>
              <w:rPr>
                <w:b w:val="0"/>
                <w:bCs/>
                <w:i w:val="0"/>
                <w:szCs w:val="24"/>
              </w:rPr>
            </w:pPr>
            <w:r w:rsidRPr="00A471A6">
              <w:rPr>
                <w:b w:val="0"/>
                <w:bCs/>
                <w:i w:val="0"/>
                <w:szCs w:val="24"/>
              </w:rPr>
              <w:t>12,783</w:t>
            </w:r>
          </w:p>
        </w:tc>
        <w:tc>
          <w:tcPr>
            <w:tcW w:w="1260" w:type="dxa"/>
          </w:tcPr>
          <w:p w:rsidR="00A424D3" w:rsidRPr="00A471A6" w:rsidRDefault="00A424D3" w:rsidP="007471A8">
            <w:pPr>
              <w:pStyle w:val="Title"/>
              <w:ind w:left="0"/>
              <w:contextualSpacing/>
              <w:jc w:val="right"/>
              <w:rPr>
                <w:b w:val="0"/>
                <w:bCs/>
                <w:i w:val="0"/>
                <w:szCs w:val="24"/>
              </w:rPr>
            </w:pPr>
            <w:r w:rsidRPr="00A471A6">
              <w:rPr>
                <w:b w:val="0"/>
                <w:bCs/>
                <w:i w:val="0"/>
                <w:szCs w:val="24"/>
              </w:rPr>
              <w:t>12,546</w:t>
            </w:r>
          </w:p>
        </w:tc>
        <w:tc>
          <w:tcPr>
            <w:tcW w:w="1638" w:type="dxa"/>
          </w:tcPr>
          <w:p w:rsidR="00A424D3" w:rsidRPr="00A471A6" w:rsidRDefault="00A424D3" w:rsidP="007471A8">
            <w:pPr>
              <w:pStyle w:val="Title"/>
              <w:ind w:left="0"/>
              <w:contextualSpacing/>
              <w:jc w:val="right"/>
              <w:rPr>
                <w:b w:val="0"/>
                <w:bCs/>
                <w:i w:val="0"/>
                <w:szCs w:val="24"/>
              </w:rPr>
            </w:pPr>
            <w:r w:rsidRPr="00A471A6">
              <w:rPr>
                <w:b w:val="0"/>
                <w:bCs/>
                <w:i w:val="0"/>
                <w:szCs w:val="24"/>
              </w:rPr>
              <w:t>3,320,103</w:t>
            </w:r>
          </w:p>
        </w:tc>
      </w:tr>
      <w:tr w:rsidR="00A424D3" w:rsidRPr="00A471A6" w:rsidTr="00415A34">
        <w:trPr>
          <w:jc w:val="center"/>
        </w:trPr>
        <w:tc>
          <w:tcPr>
            <w:tcW w:w="5328" w:type="dxa"/>
          </w:tcPr>
          <w:p w:rsidR="00A424D3" w:rsidRPr="00A471A6" w:rsidRDefault="00A424D3" w:rsidP="007471A8">
            <w:pPr>
              <w:pStyle w:val="Title"/>
              <w:ind w:left="0"/>
              <w:contextualSpacing/>
              <w:jc w:val="left"/>
              <w:rPr>
                <w:b w:val="0"/>
                <w:bCs/>
                <w:i w:val="0"/>
                <w:szCs w:val="24"/>
              </w:rPr>
            </w:pPr>
            <w:r w:rsidRPr="00A471A6">
              <w:rPr>
                <w:b w:val="0"/>
                <w:bCs/>
                <w:i w:val="0"/>
                <w:szCs w:val="24"/>
              </w:rPr>
              <w:t>2013 Program Increases</w:t>
            </w:r>
          </w:p>
        </w:tc>
        <w:tc>
          <w:tcPr>
            <w:tcW w:w="1350" w:type="dxa"/>
          </w:tcPr>
          <w:p w:rsidR="00A424D3" w:rsidRPr="00A471A6" w:rsidRDefault="00A424D3" w:rsidP="007471A8">
            <w:pPr>
              <w:pStyle w:val="Title"/>
              <w:ind w:left="0"/>
              <w:contextualSpacing/>
              <w:jc w:val="right"/>
              <w:rPr>
                <w:b w:val="0"/>
                <w:bCs/>
                <w:i w:val="0"/>
                <w:szCs w:val="24"/>
              </w:rPr>
            </w:pPr>
            <w:r w:rsidRPr="00A471A6">
              <w:rPr>
                <w:b w:val="0"/>
                <w:bCs/>
                <w:i w:val="0"/>
                <w:szCs w:val="24"/>
              </w:rPr>
              <w:t>…</w:t>
            </w:r>
          </w:p>
        </w:tc>
        <w:tc>
          <w:tcPr>
            <w:tcW w:w="1260" w:type="dxa"/>
          </w:tcPr>
          <w:p w:rsidR="00A424D3" w:rsidRPr="00A471A6" w:rsidRDefault="00A424D3" w:rsidP="007471A8">
            <w:pPr>
              <w:pStyle w:val="Title"/>
              <w:ind w:left="0"/>
              <w:contextualSpacing/>
              <w:jc w:val="right"/>
              <w:rPr>
                <w:b w:val="0"/>
                <w:bCs/>
                <w:i w:val="0"/>
                <w:szCs w:val="24"/>
              </w:rPr>
            </w:pPr>
            <w:r w:rsidRPr="00A471A6">
              <w:rPr>
                <w:b w:val="0"/>
                <w:bCs/>
                <w:i w:val="0"/>
                <w:szCs w:val="24"/>
              </w:rPr>
              <w:t>…</w:t>
            </w:r>
          </w:p>
        </w:tc>
        <w:tc>
          <w:tcPr>
            <w:tcW w:w="1638" w:type="dxa"/>
          </w:tcPr>
          <w:p w:rsidR="00A424D3" w:rsidRPr="00A471A6" w:rsidRDefault="00A424D3" w:rsidP="007471A8">
            <w:pPr>
              <w:pStyle w:val="Title"/>
              <w:ind w:left="0"/>
              <w:contextualSpacing/>
              <w:jc w:val="right"/>
              <w:rPr>
                <w:b w:val="0"/>
                <w:bCs/>
                <w:i w:val="0"/>
                <w:szCs w:val="24"/>
              </w:rPr>
            </w:pPr>
            <w:r w:rsidRPr="00A471A6">
              <w:rPr>
                <w:b w:val="0"/>
                <w:bCs/>
                <w:i w:val="0"/>
                <w:szCs w:val="24"/>
              </w:rPr>
              <w:t>4,239</w:t>
            </w:r>
          </w:p>
        </w:tc>
      </w:tr>
      <w:tr w:rsidR="00A424D3" w:rsidRPr="00A471A6" w:rsidTr="00415A34">
        <w:trPr>
          <w:jc w:val="center"/>
        </w:trPr>
        <w:tc>
          <w:tcPr>
            <w:tcW w:w="5328" w:type="dxa"/>
          </w:tcPr>
          <w:p w:rsidR="00A424D3" w:rsidRPr="00A471A6" w:rsidRDefault="00A424D3" w:rsidP="007471A8">
            <w:pPr>
              <w:pStyle w:val="Title"/>
              <w:ind w:left="0"/>
              <w:contextualSpacing/>
              <w:jc w:val="left"/>
              <w:rPr>
                <w:b w:val="0"/>
                <w:bCs/>
                <w:i w:val="0"/>
                <w:szCs w:val="24"/>
              </w:rPr>
            </w:pPr>
            <w:r w:rsidRPr="00A471A6">
              <w:rPr>
                <w:b w:val="0"/>
                <w:bCs/>
                <w:i w:val="0"/>
                <w:szCs w:val="24"/>
              </w:rPr>
              <w:t>2013 Program Offsets</w:t>
            </w:r>
          </w:p>
        </w:tc>
        <w:tc>
          <w:tcPr>
            <w:tcW w:w="1350" w:type="dxa"/>
          </w:tcPr>
          <w:p w:rsidR="00A424D3" w:rsidRPr="00A471A6" w:rsidRDefault="00A424D3" w:rsidP="007471A8">
            <w:pPr>
              <w:pStyle w:val="Title"/>
              <w:ind w:left="0"/>
              <w:contextualSpacing/>
              <w:jc w:val="right"/>
              <w:rPr>
                <w:b w:val="0"/>
                <w:bCs/>
                <w:i w:val="0"/>
                <w:szCs w:val="24"/>
              </w:rPr>
            </w:pPr>
            <w:r w:rsidRPr="00A471A6">
              <w:rPr>
                <w:b w:val="0"/>
                <w:bCs/>
                <w:i w:val="0"/>
                <w:szCs w:val="24"/>
              </w:rPr>
              <w:t>…</w:t>
            </w:r>
          </w:p>
        </w:tc>
        <w:tc>
          <w:tcPr>
            <w:tcW w:w="1260" w:type="dxa"/>
          </w:tcPr>
          <w:p w:rsidR="00A424D3" w:rsidRPr="00A471A6" w:rsidRDefault="00A424D3" w:rsidP="007471A8">
            <w:pPr>
              <w:pStyle w:val="Title"/>
              <w:ind w:left="0"/>
              <w:contextualSpacing/>
              <w:jc w:val="right"/>
              <w:rPr>
                <w:b w:val="0"/>
                <w:bCs/>
                <w:i w:val="0"/>
                <w:szCs w:val="24"/>
              </w:rPr>
            </w:pPr>
            <w:r w:rsidRPr="00A471A6">
              <w:rPr>
                <w:b w:val="0"/>
                <w:bCs/>
                <w:i w:val="0"/>
                <w:szCs w:val="24"/>
              </w:rPr>
              <w:t>…</w:t>
            </w:r>
          </w:p>
        </w:tc>
        <w:tc>
          <w:tcPr>
            <w:tcW w:w="1638" w:type="dxa"/>
          </w:tcPr>
          <w:p w:rsidR="00A424D3" w:rsidRPr="00A471A6" w:rsidRDefault="00A424D3" w:rsidP="007471A8">
            <w:pPr>
              <w:pStyle w:val="Title"/>
              <w:ind w:left="0"/>
              <w:contextualSpacing/>
              <w:jc w:val="right"/>
              <w:rPr>
                <w:b w:val="0"/>
                <w:bCs/>
                <w:i w:val="0"/>
                <w:szCs w:val="24"/>
              </w:rPr>
            </w:pPr>
            <w:r w:rsidRPr="00A471A6">
              <w:rPr>
                <w:b w:val="0"/>
                <w:bCs/>
                <w:i w:val="0"/>
                <w:szCs w:val="24"/>
              </w:rPr>
              <w:t>(24,328)</w:t>
            </w:r>
          </w:p>
        </w:tc>
      </w:tr>
      <w:tr w:rsidR="00A424D3" w:rsidRPr="00A471A6" w:rsidTr="00415A34">
        <w:trPr>
          <w:jc w:val="center"/>
        </w:trPr>
        <w:tc>
          <w:tcPr>
            <w:tcW w:w="5328" w:type="dxa"/>
          </w:tcPr>
          <w:p w:rsidR="00A424D3" w:rsidRPr="00A471A6" w:rsidRDefault="00A424D3" w:rsidP="007471A8">
            <w:pPr>
              <w:pStyle w:val="Title"/>
              <w:ind w:left="0"/>
              <w:contextualSpacing/>
              <w:jc w:val="left"/>
              <w:rPr>
                <w:b w:val="0"/>
                <w:bCs/>
                <w:i w:val="0"/>
                <w:szCs w:val="24"/>
              </w:rPr>
            </w:pPr>
            <w:r w:rsidRPr="00A471A6">
              <w:rPr>
                <w:b w:val="0"/>
                <w:bCs/>
                <w:i w:val="0"/>
                <w:szCs w:val="24"/>
              </w:rPr>
              <w:t>2013 Request</w:t>
            </w:r>
          </w:p>
        </w:tc>
        <w:tc>
          <w:tcPr>
            <w:tcW w:w="1350" w:type="dxa"/>
          </w:tcPr>
          <w:p w:rsidR="00A424D3" w:rsidRPr="00A471A6" w:rsidRDefault="00A424D3" w:rsidP="007471A8">
            <w:pPr>
              <w:pStyle w:val="Title"/>
              <w:ind w:left="0"/>
              <w:contextualSpacing/>
              <w:jc w:val="right"/>
              <w:rPr>
                <w:b w:val="0"/>
                <w:bCs/>
                <w:i w:val="0"/>
                <w:szCs w:val="24"/>
              </w:rPr>
            </w:pPr>
            <w:r w:rsidRPr="00A471A6">
              <w:rPr>
                <w:b w:val="0"/>
                <w:bCs/>
                <w:i w:val="0"/>
                <w:szCs w:val="24"/>
              </w:rPr>
              <w:t>12,783</w:t>
            </w:r>
          </w:p>
        </w:tc>
        <w:tc>
          <w:tcPr>
            <w:tcW w:w="1260" w:type="dxa"/>
          </w:tcPr>
          <w:p w:rsidR="00A424D3" w:rsidRPr="00A471A6" w:rsidRDefault="00A424D3" w:rsidP="007471A8">
            <w:pPr>
              <w:pStyle w:val="Title"/>
              <w:ind w:left="0"/>
              <w:contextualSpacing/>
              <w:jc w:val="right"/>
              <w:rPr>
                <w:b w:val="0"/>
                <w:bCs/>
                <w:i w:val="0"/>
                <w:szCs w:val="24"/>
              </w:rPr>
            </w:pPr>
            <w:r w:rsidRPr="00A471A6">
              <w:rPr>
                <w:b w:val="0"/>
                <w:bCs/>
                <w:i w:val="0"/>
                <w:szCs w:val="24"/>
              </w:rPr>
              <w:t>12,546</w:t>
            </w:r>
          </w:p>
        </w:tc>
        <w:tc>
          <w:tcPr>
            <w:tcW w:w="1638" w:type="dxa"/>
          </w:tcPr>
          <w:p w:rsidR="00A424D3" w:rsidRPr="00A471A6" w:rsidRDefault="00A424D3" w:rsidP="007471A8">
            <w:pPr>
              <w:pStyle w:val="Title"/>
              <w:ind w:left="0"/>
              <w:contextualSpacing/>
              <w:jc w:val="right"/>
              <w:rPr>
                <w:b w:val="0"/>
                <w:bCs/>
                <w:i w:val="0"/>
                <w:szCs w:val="24"/>
              </w:rPr>
            </w:pPr>
            <w:r w:rsidRPr="00A471A6">
              <w:rPr>
                <w:b w:val="0"/>
                <w:bCs/>
                <w:i w:val="0"/>
                <w:szCs w:val="24"/>
              </w:rPr>
              <w:t>3,300,014</w:t>
            </w:r>
          </w:p>
        </w:tc>
      </w:tr>
      <w:tr w:rsidR="00A424D3" w:rsidRPr="00A471A6" w:rsidTr="00415A34">
        <w:trPr>
          <w:jc w:val="center"/>
        </w:trPr>
        <w:tc>
          <w:tcPr>
            <w:tcW w:w="5328" w:type="dxa"/>
            <w:shd w:val="clear" w:color="auto" w:fill="C0C0C0"/>
          </w:tcPr>
          <w:p w:rsidR="00A424D3" w:rsidRPr="00A471A6" w:rsidRDefault="00A424D3" w:rsidP="007471A8">
            <w:pPr>
              <w:pStyle w:val="Title"/>
              <w:ind w:left="0"/>
              <w:contextualSpacing/>
              <w:jc w:val="left"/>
              <w:rPr>
                <w:i w:val="0"/>
                <w:szCs w:val="24"/>
              </w:rPr>
            </w:pPr>
            <w:r w:rsidRPr="00A471A6">
              <w:rPr>
                <w:i w:val="0"/>
                <w:szCs w:val="24"/>
              </w:rPr>
              <w:t>Total Change 2012-2013</w:t>
            </w:r>
          </w:p>
        </w:tc>
        <w:tc>
          <w:tcPr>
            <w:tcW w:w="1350" w:type="dxa"/>
            <w:shd w:val="clear" w:color="auto" w:fill="C0C0C0"/>
          </w:tcPr>
          <w:p w:rsidR="00A424D3" w:rsidRPr="00A471A6" w:rsidRDefault="00A424D3" w:rsidP="007471A8">
            <w:pPr>
              <w:pStyle w:val="Title"/>
              <w:ind w:left="0"/>
              <w:contextualSpacing/>
              <w:jc w:val="right"/>
              <w:rPr>
                <w:i w:val="0"/>
                <w:szCs w:val="24"/>
              </w:rPr>
            </w:pPr>
            <w:r>
              <w:rPr>
                <w:i w:val="0"/>
                <w:szCs w:val="24"/>
              </w:rPr>
              <w:t>26</w:t>
            </w:r>
          </w:p>
        </w:tc>
        <w:tc>
          <w:tcPr>
            <w:tcW w:w="1260" w:type="dxa"/>
            <w:shd w:val="clear" w:color="auto" w:fill="C0C0C0"/>
          </w:tcPr>
          <w:p w:rsidR="00A424D3" w:rsidRPr="00A471A6" w:rsidRDefault="00A424D3" w:rsidP="007471A8">
            <w:pPr>
              <w:pStyle w:val="Title"/>
              <w:ind w:left="0"/>
              <w:contextualSpacing/>
              <w:jc w:val="right"/>
              <w:rPr>
                <w:i w:val="0"/>
                <w:szCs w:val="24"/>
              </w:rPr>
            </w:pPr>
            <w:r>
              <w:rPr>
                <w:i w:val="0"/>
                <w:szCs w:val="24"/>
              </w:rPr>
              <w:t>72</w:t>
            </w:r>
          </w:p>
        </w:tc>
        <w:tc>
          <w:tcPr>
            <w:tcW w:w="1638" w:type="dxa"/>
            <w:shd w:val="clear" w:color="auto" w:fill="C0C0C0"/>
          </w:tcPr>
          <w:p w:rsidR="00A424D3" w:rsidRPr="00A471A6" w:rsidRDefault="00A424D3" w:rsidP="007471A8">
            <w:pPr>
              <w:pStyle w:val="Title"/>
              <w:ind w:left="0"/>
              <w:contextualSpacing/>
              <w:jc w:val="right"/>
              <w:rPr>
                <w:i w:val="0"/>
                <w:szCs w:val="24"/>
              </w:rPr>
            </w:pPr>
            <w:r>
              <w:rPr>
                <w:i w:val="0"/>
                <w:szCs w:val="24"/>
              </w:rPr>
              <w:t>$70,918</w:t>
            </w:r>
          </w:p>
        </w:tc>
      </w:tr>
    </w:tbl>
    <w:p w:rsidR="00A424D3" w:rsidRPr="00A471A6" w:rsidRDefault="00A424D3" w:rsidP="007471A8">
      <w:pPr>
        <w:autoSpaceDE w:val="0"/>
        <w:autoSpaceDN w:val="0"/>
        <w:adjustRightInd w:val="0"/>
        <w:contextualSpacing/>
        <w:rPr>
          <w:rFonts w:eastAsia="SimSun"/>
          <w:sz w:val="20"/>
          <w:szCs w:val="20"/>
          <w:lang w:eastAsia="zh-CN"/>
        </w:rPr>
      </w:pPr>
    </w:p>
    <w:p w:rsidR="00A424D3" w:rsidRPr="00A471A6" w:rsidRDefault="00C77928" w:rsidP="007471A8">
      <w:pPr>
        <w:pStyle w:val="xl27"/>
        <w:spacing w:before="0" w:after="0"/>
        <w:contextualSpacing/>
        <w:rPr>
          <w:rFonts w:ascii="Times New Roman" w:hAnsi="Times New Roman"/>
        </w:rPr>
      </w:pPr>
      <w:r>
        <w:rPr>
          <w:rFonts w:ascii="Times New Roman" w:hAnsi="Times New Roman"/>
        </w:rPr>
        <w:t xml:space="preserve">1. </w:t>
      </w:r>
      <w:r w:rsidR="00A424D3" w:rsidRPr="00A471A6">
        <w:rPr>
          <w:rFonts w:ascii="Times New Roman" w:hAnsi="Times New Roman"/>
        </w:rPr>
        <w:t>Program Description</w:t>
      </w:r>
    </w:p>
    <w:p w:rsidR="00A424D3" w:rsidRPr="00A471A6" w:rsidRDefault="00A424D3" w:rsidP="007471A8">
      <w:pPr>
        <w:contextualSpacing/>
      </w:pPr>
      <w:r w:rsidRPr="00A471A6">
        <w:t xml:space="preserve">The FBI’s Counterterrorism/Counterintelligence (CT/CI) Decision Unit is comprised of the Counterterrorism </w:t>
      </w:r>
      <w:r>
        <w:t xml:space="preserve">(CT) </w:t>
      </w:r>
      <w:r w:rsidRPr="00A471A6">
        <w:t xml:space="preserve">Program, the Weapons of Mass Destruction Directorate (WMDD), the </w:t>
      </w:r>
      <w:r>
        <w:t>Counterintelligence (</w:t>
      </w:r>
      <w:r w:rsidRPr="00A471A6">
        <w:t>CI) Program, a portion of the Cyber Computer Intrusions Program, a portion of the Critical Incident Response Group</w:t>
      </w:r>
      <w:r>
        <w:t xml:space="preserve"> (CIRG)</w:t>
      </w:r>
      <w:r w:rsidRPr="00A471A6">
        <w:t>, and the portion of the Legal Attaché (</w:t>
      </w:r>
      <w:r>
        <w:t>LEGAT</w:t>
      </w:r>
      <w:r w:rsidRPr="00A471A6">
        <w:t xml:space="preserve">) Program that supports the FBI’s CT and CI missions.  Additionally, to capture all resources that support these programs, a prorated share of resources from the FBI's support divisions (including Training, Laboratory, Security, Information Technology </w:t>
      </w:r>
      <w:r>
        <w:t>Divisions</w:t>
      </w:r>
      <w:r w:rsidRPr="00A471A6">
        <w:t>, administrative divisions, and staff offices) is calculated and scored to the decision unit.</w:t>
      </w:r>
    </w:p>
    <w:p w:rsidR="00A424D3" w:rsidRPr="00A471A6" w:rsidRDefault="00A424D3" w:rsidP="007471A8">
      <w:pPr>
        <w:contextualSpacing/>
      </w:pPr>
    </w:p>
    <w:p w:rsidR="00A424D3" w:rsidRPr="00A471A6" w:rsidRDefault="00A424D3" w:rsidP="007471A8">
      <w:pPr>
        <w:contextualSpacing/>
        <w:rPr>
          <w:b/>
          <w:bCs/>
        </w:rPr>
      </w:pPr>
      <w:r w:rsidRPr="00A471A6">
        <w:rPr>
          <w:b/>
          <w:bCs/>
          <w:i/>
          <w:iCs/>
        </w:rPr>
        <w:t xml:space="preserve">Counterterrorism Program  </w:t>
      </w:r>
    </w:p>
    <w:p w:rsidR="00A424D3" w:rsidRPr="00A471A6" w:rsidRDefault="00A424D3" w:rsidP="007471A8">
      <w:pPr>
        <w:contextualSpacing/>
      </w:pPr>
      <w:r w:rsidRPr="00A471A6">
        <w:t>The mission of the FBI’s CT program is to prevent, disrupt, and defeat terrorist operations before they occur; to pursue the appropriate sanctions for those who have conducted, aided, and abetted those engaged in terrorist acts; and to provide crisis management following acts of terrorism against the U.S. and U.S. interests.  This mission is accomplished by gathering intelligence from all sources and using intelligence and analysis to enhance preventive efforts and exploit links between terrorist groups and their support networks.  Threat information is shared with all affected agencies and personnel to create and maintain efficient threat mitigation response procedures and provide timely and accurate analysis to the Intelligence Community (IC) and senior policy makers.</w:t>
      </w:r>
    </w:p>
    <w:p w:rsidR="00A424D3" w:rsidRPr="00A471A6" w:rsidRDefault="00A424D3" w:rsidP="007471A8">
      <w:pPr>
        <w:ind w:right="-18"/>
        <w:contextualSpacing/>
      </w:pPr>
    </w:p>
    <w:p w:rsidR="00A424D3" w:rsidRPr="00A471A6" w:rsidRDefault="00A424D3" w:rsidP="007471A8">
      <w:pPr>
        <w:ind w:right="-18"/>
        <w:contextualSpacing/>
      </w:pPr>
      <w:r w:rsidRPr="00A471A6">
        <w:t>The FBI is committed to stopping terrorism at any stage, from thwarting those intending to conduct an act of terrorism to investigating the financiers of terrorist operations.  All CT investigations are managed at FBI Headquarters, thereby employing and enhancing a national perspective that focuses on the CT strategy of creating an inhospitable terrorist environment.</w:t>
      </w:r>
    </w:p>
    <w:p w:rsidR="00A424D3" w:rsidRPr="00A471A6" w:rsidRDefault="00A424D3" w:rsidP="007471A8">
      <w:pPr>
        <w:pStyle w:val="NormalWeb"/>
        <w:spacing w:before="0" w:beforeAutospacing="0" w:after="0" w:afterAutospacing="0"/>
        <w:ind w:right="-18"/>
        <w:contextualSpacing/>
      </w:pPr>
    </w:p>
    <w:p w:rsidR="00A424D3" w:rsidRDefault="00A424D3" w:rsidP="007471A8">
      <w:pPr>
        <w:pStyle w:val="NormalWeb"/>
        <w:spacing w:before="0" w:beforeAutospacing="0" w:after="0" w:afterAutospacing="0"/>
        <w:ind w:right="-18"/>
        <w:contextualSpacing/>
      </w:pPr>
      <w:r w:rsidRPr="00A471A6">
        <w:t>The FBI aims to protect the U.S. from terrorist attacks by disrupting terrorists’ ability to perpetrate harm.  Training, finances, recruiting, logistical support, pre-attack planning, and preparation are all required components of terrorist operations.  These requirements create vulnerabilities, and the FBI focuses on creating a comprehensive intelligence base to exploit these vulnerabilities.</w:t>
      </w:r>
    </w:p>
    <w:p w:rsidR="00A424D3" w:rsidRDefault="00A424D3" w:rsidP="007471A8">
      <w:pPr>
        <w:pStyle w:val="NormalWeb"/>
        <w:spacing w:before="0" w:beforeAutospacing="0" w:after="0" w:afterAutospacing="0"/>
        <w:ind w:right="-18"/>
        <w:contextualSpacing/>
      </w:pPr>
    </w:p>
    <w:p w:rsidR="00A424D3" w:rsidRPr="00A471A6" w:rsidRDefault="00A424D3" w:rsidP="007471A8">
      <w:pPr>
        <w:pStyle w:val="NormalWeb"/>
        <w:spacing w:before="0" w:beforeAutospacing="0" w:after="0" w:afterAutospacing="0"/>
        <w:ind w:right="-18"/>
        <w:contextualSpacing/>
      </w:pPr>
      <w:r w:rsidRPr="00A471A6">
        <w:t>To develop a comprehensive intelligence base, the FBI employs its Model Counterterrorism Investigative Strategy, focusing each terrorist case on intelligence, specifically on identification of terrorist training, fundraising, recruiting, logistical support, and pre-attack planning.</w:t>
      </w:r>
    </w:p>
    <w:p w:rsidR="00A424D3" w:rsidRPr="00A471A6" w:rsidRDefault="00A424D3" w:rsidP="007471A8">
      <w:pPr>
        <w:contextualSpacing/>
        <w:rPr>
          <w:u w:val="single"/>
        </w:rPr>
      </w:pPr>
    </w:p>
    <w:p w:rsidR="00A424D3" w:rsidRPr="00A471A6" w:rsidRDefault="00A424D3" w:rsidP="007471A8">
      <w:pPr>
        <w:pStyle w:val="Default"/>
        <w:ind w:right="116"/>
        <w:contextualSpacing/>
      </w:pPr>
      <w:r w:rsidRPr="00A471A6">
        <w:lastRenderedPageBreak/>
        <w:t xml:space="preserve">Under the leadership of Director Mueller, the FBI has moved aggressively to implement a comprehensive plan that has fundamentally transformed the FBI.  The </w:t>
      </w:r>
      <w:r>
        <w:t>Bureau</w:t>
      </w:r>
      <w:r w:rsidRPr="00A471A6">
        <w:t xml:space="preserve"> has overhauled its counterterrorism operations, expanded its intelligence capabilities, modernized its business practices and technology, and improved coordination with its partners.  The FBI is no longer content to concentrate on investigating terrorist crimes after they occur; it is dedicated to disrupting terrorist plots before they are executed.  The FBI’s CT Program has five priorities:</w:t>
      </w:r>
    </w:p>
    <w:p w:rsidR="00A424D3" w:rsidRPr="00A471A6" w:rsidRDefault="00A424D3" w:rsidP="007471A8">
      <w:pPr>
        <w:pStyle w:val="Default"/>
        <w:ind w:left="360" w:right="116" w:hanging="360"/>
        <w:contextualSpacing/>
      </w:pPr>
    </w:p>
    <w:p w:rsidR="00A424D3" w:rsidRPr="00A471A6" w:rsidRDefault="00A424D3" w:rsidP="007471A8">
      <w:pPr>
        <w:numPr>
          <w:ilvl w:val="0"/>
          <w:numId w:val="47"/>
        </w:numPr>
        <w:tabs>
          <w:tab w:val="clear" w:pos="720"/>
          <w:tab w:val="left" w:pos="0"/>
        </w:tabs>
        <w:ind w:hanging="360"/>
        <w:contextualSpacing/>
      </w:pPr>
      <w:r w:rsidRPr="00A471A6">
        <w:t xml:space="preserve">To detect, disrupt, and dismantle terrorist sleeper cells in the </w:t>
      </w:r>
      <w:smartTag w:uri="urn:schemas-microsoft-com:office:smarttags" w:element="place">
        <w:smartTag w:uri="urn:schemas-microsoft-com:office:smarttags" w:element="country-region">
          <w:r w:rsidRPr="00A471A6">
            <w:t>U.S.</w:t>
          </w:r>
        </w:smartTag>
      </w:smartTag>
      <w:r w:rsidRPr="00A471A6">
        <w:t xml:space="preserve"> before they act;</w:t>
      </w:r>
    </w:p>
    <w:p w:rsidR="00A424D3" w:rsidRPr="00A471A6" w:rsidRDefault="00A424D3" w:rsidP="007471A8">
      <w:pPr>
        <w:numPr>
          <w:ilvl w:val="0"/>
          <w:numId w:val="47"/>
        </w:numPr>
        <w:tabs>
          <w:tab w:val="clear" w:pos="720"/>
          <w:tab w:val="left" w:pos="0"/>
        </w:tabs>
        <w:ind w:hanging="360"/>
        <w:contextualSpacing/>
      </w:pPr>
      <w:r w:rsidRPr="00A471A6">
        <w:t>To identify and prevent acts of terrorism by individuals with a terrorist agenda acting alone;</w:t>
      </w:r>
    </w:p>
    <w:p w:rsidR="00A424D3" w:rsidRPr="00A471A6" w:rsidRDefault="00A424D3" w:rsidP="007471A8">
      <w:pPr>
        <w:numPr>
          <w:ilvl w:val="0"/>
          <w:numId w:val="47"/>
        </w:numPr>
        <w:tabs>
          <w:tab w:val="clear" w:pos="720"/>
          <w:tab w:val="left" w:pos="0"/>
        </w:tabs>
        <w:ind w:hanging="360"/>
        <w:contextualSpacing/>
      </w:pPr>
      <w:r w:rsidRPr="00A471A6">
        <w:t>To detect, disrupt, and dismantle terrorist support networks, including financial support networks;</w:t>
      </w:r>
    </w:p>
    <w:p w:rsidR="00A424D3" w:rsidRPr="00A471A6" w:rsidRDefault="00A424D3" w:rsidP="007471A8">
      <w:pPr>
        <w:numPr>
          <w:ilvl w:val="0"/>
          <w:numId w:val="47"/>
        </w:numPr>
        <w:tabs>
          <w:tab w:val="clear" w:pos="720"/>
          <w:tab w:val="left" w:pos="0"/>
        </w:tabs>
        <w:ind w:hanging="360"/>
        <w:contextualSpacing/>
      </w:pPr>
      <w:r w:rsidRPr="00A471A6">
        <w:t>To enhance its capability to quickly ascertain the reliability, implications and details of terrorist threats and to improve the capacity to disseminate threat-related information to local, state, and federal agencies, and to the private sector as needed; and</w:t>
      </w:r>
    </w:p>
    <w:p w:rsidR="00A424D3" w:rsidRPr="00A471A6" w:rsidRDefault="00A424D3" w:rsidP="007471A8">
      <w:pPr>
        <w:numPr>
          <w:ilvl w:val="0"/>
          <w:numId w:val="47"/>
        </w:numPr>
        <w:tabs>
          <w:tab w:val="clear" w:pos="720"/>
          <w:tab w:val="left" w:pos="0"/>
        </w:tabs>
        <w:ind w:hanging="360"/>
        <w:contextualSpacing/>
      </w:pPr>
      <w:r w:rsidRPr="00A471A6">
        <w:t>To enhance its overall contribution to the IC and senior policy makers in government by providing timely and accurate in-depth analysis of the terrorist threat and other information of value on an on-going basis.</w:t>
      </w:r>
    </w:p>
    <w:p w:rsidR="00A424D3" w:rsidRPr="00A471A6" w:rsidRDefault="00A424D3" w:rsidP="007471A8">
      <w:pPr>
        <w:pStyle w:val="Default"/>
        <w:ind w:left="360" w:right="116"/>
        <w:contextualSpacing/>
      </w:pPr>
    </w:p>
    <w:p w:rsidR="00A424D3" w:rsidRPr="00A471A6" w:rsidRDefault="00A424D3" w:rsidP="007471A8">
      <w:pPr>
        <w:pStyle w:val="CM12"/>
        <w:spacing w:line="240" w:lineRule="auto"/>
        <w:contextualSpacing/>
        <w:rPr>
          <w:rFonts w:ascii="Times New Roman" w:hAnsi="Times New Roman"/>
        </w:rPr>
      </w:pPr>
      <w:r w:rsidRPr="00A471A6">
        <w:rPr>
          <w:rFonts w:ascii="Times New Roman" w:hAnsi="Times New Roman"/>
        </w:rPr>
        <w:t>To implement these priorities, the FBI has increased the number of Special Agents</w:t>
      </w:r>
      <w:r>
        <w:rPr>
          <w:rFonts w:ascii="Times New Roman" w:hAnsi="Times New Roman"/>
        </w:rPr>
        <w:t xml:space="preserve"> (SAs)</w:t>
      </w:r>
      <w:r w:rsidRPr="00A471A6">
        <w:rPr>
          <w:rFonts w:ascii="Times New Roman" w:hAnsi="Times New Roman"/>
        </w:rPr>
        <w:t xml:space="preserve"> assigned to terrorism matters.  The FBI has also established a number of operational units and entities that provide new or improved capabilities to address the terrorist threat.  The National Joint Terrorism Task Force (NJTTF) and the around-the-clock Counterterrorism Watch manage and share threat information.  The Terrorism Financing Operations Section centralizes efforts to stop terrorist financing.  The FBI also utilizes document/media exploitation squads to exploit material found both domestically and overseas for its intelligence value.  Deployable “Fly Teams” lend counterterrorism expertise wherever it is needed.  The T</w:t>
      </w:r>
      <w:r>
        <w:rPr>
          <w:rFonts w:ascii="Times New Roman" w:hAnsi="Times New Roman"/>
        </w:rPr>
        <w:t xml:space="preserve">errorist </w:t>
      </w:r>
      <w:r w:rsidRPr="00A471A6">
        <w:rPr>
          <w:rFonts w:ascii="Times New Roman" w:hAnsi="Times New Roman"/>
        </w:rPr>
        <w:t>S</w:t>
      </w:r>
      <w:r>
        <w:rPr>
          <w:rFonts w:ascii="Times New Roman" w:hAnsi="Times New Roman"/>
        </w:rPr>
        <w:t xml:space="preserve">creening </w:t>
      </w:r>
      <w:r w:rsidRPr="00A471A6">
        <w:rPr>
          <w:rFonts w:ascii="Times New Roman" w:hAnsi="Times New Roman"/>
        </w:rPr>
        <w:t>C</w:t>
      </w:r>
      <w:r>
        <w:rPr>
          <w:rFonts w:ascii="Times New Roman" w:hAnsi="Times New Roman"/>
        </w:rPr>
        <w:t>enter</w:t>
      </w:r>
      <w:r w:rsidRPr="00A471A6">
        <w:rPr>
          <w:rFonts w:ascii="Times New Roman" w:hAnsi="Times New Roman"/>
        </w:rPr>
        <w:t xml:space="preserve"> </w:t>
      </w:r>
      <w:r>
        <w:rPr>
          <w:rFonts w:ascii="Times New Roman" w:hAnsi="Times New Roman"/>
        </w:rPr>
        <w:t xml:space="preserve">(TSC) </w:t>
      </w:r>
      <w:r w:rsidRPr="00A471A6">
        <w:rPr>
          <w:rFonts w:ascii="Times New Roman" w:hAnsi="Times New Roman"/>
        </w:rPr>
        <w:t xml:space="preserve">and </w:t>
      </w:r>
      <w:r>
        <w:rPr>
          <w:rFonts w:ascii="Times New Roman" w:hAnsi="Times New Roman"/>
        </w:rPr>
        <w:t>Foreign Terrorist Tracking Task Force (</w:t>
      </w:r>
      <w:r w:rsidRPr="00A471A6">
        <w:rPr>
          <w:rFonts w:ascii="Times New Roman" w:hAnsi="Times New Roman"/>
        </w:rPr>
        <w:t>FTTTF</w:t>
      </w:r>
      <w:r>
        <w:rPr>
          <w:rFonts w:ascii="Times New Roman" w:hAnsi="Times New Roman"/>
        </w:rPr>
        <w:t>)</w:t>
      </w:r>
      <w:r w:rsidRPr="00A471A6">
        <w:rPr>
          <w:rStyle w:val="FootnoteReference"/>
          <w:rFonts w:ascii="Times New Roman" w:hAnsi="Times New Roman"/>
        </w:rPr>
        <w:footnoteReference w:id="1"/>
      </w:r>
      <w:r w:rsidRPr="00A471A6">
        <w:rPr>
          <w:rFonts w:ascii="Times New Roman" w:hAnsi="Times New Roman"/>
        </w:rPr>
        <w:t xml:space="preserve"> help identify terrorists and keep them out of the </w:t>
      </w:r>
      <w:r w:rsidR="00C90C45">
        <w:rPr>
          <w:rFonts w:ascii="Times New Roman" w:hAnsi="Times New Roman"/>
        </w:rPr>
        <w:t>U.S</w:t>
      </w:r>
      <w:r w:rsidRPr="00A471A6">
        <w:rPr>
          <w:rFonts w:ascii="Times New Roman" w:hAnsi="Times New Roman"/>
        </w:rPr>
        <w:t>.  Finally, the Counterterrorism Analysis Section</w:t>
      </w:r>
      <w:r w:rsidRPr="00AF63BA">
        <w:rPr>
          <w:rFonts w:ascii="Times New Roman" w:hAnsi="Times New Roman"/>
          <w:vertAlign w:val="superscript"/>
        </w:rPr>
        <w:t>1</w:t>
      </w:r>
      <w:r w:rsidRPr="00A471A6">
        <w:rPr>
          <w:rFonts w:ascii="Times New Roman" w:hAnsi="Times New Roman"/>
        </w:rPr>
        <w:t xml:space="preserve"> “connects the dots” and assesses the indicators of terrorist activity against the </w:t>
      </w:r>
      <w:smartTag w:uri="urn:schemas-microsoft-com:office:smarttags" w:element="country-region">
        <w:smartTag w:uri="urn:schemas-microsoft-com:office:smarttags" w:element="place">
          <w:r w:rsidRPr="00A471A6">
            <w:rPr>
              <w:rFonts w:ascii="Times New Roman" w:hAnsi="Times New Roman"/>
            </w:rPr>
            <w:t>U.S.</w:t>
          </w:r>
        </w:smartTag>
      </w:smartTag>
      <w:r w:rsidRPr="00A471A6">
        <w:rPr>
          <w:rFonts w:ascii="Times New Roman" w:hAnsi="Times New Roman"/>
        </w:rPr>
        <w:t xml:space="preserve"> from a strategic perspective.  </w:t>
      </w:r>
    </w:p>
    <w:p w:rsidR="00A424D3" w:rsidRPr="00A471A6" w:rsidRDefault="00A424D3" w:rsidP="007471A8">
      <w:pPr>
        <w:pStyle w:val="CM12"/>
        <w:spacing w:line="240" w:lineRule="auto"/>
        <w:contextualSpacing/>
        <w:rPr>
          <w:rFonts w:ascii="Times New Roman" w:hAnsi="Times New Roman"/>
        </w:rPr>
      </w:pPr>
    </w:p>
    <w:p w:rsidR="00A424D3" w:rsidRPr="00A471A6" w:rsidRDefault="00A424D3" w:rsidP="007471A8">
      <w:pPr>
        <w:pStyle w:val="CM12"/>
        <w:spacing w:line="240" w:lineRule="auto"/>
        <w:contextualSpacing/>
        <w:rPr>
          <w:rFonts w:ascii="Times New Roman" w:hAnsi="Times New Roman"/>
        </w:rPr>
      </w:pPr>
      <w:r w:rsidRPr="00A471A6">
        <w:rPr>
          <w:rFonts w:ascii="Times New Roman" w:hAnsi="Times New Roman"/>
        </w:rPr>
        <w:t>Re-engineering efforts are making the FBI more efficient and more responsive to operational needs.  The FBI has revised its approach to strategic planning and refocused recruiting and hiring efforts to attract individuals with skills critical to its counterterrorism and intelligence missions. The FBI has also developed a comprehensive training program and instituted new leadership initiatives to keep its workforce flexible.</w:t>
      </w:r>
    </w:p>
    <w:p w:rsidR="00A424D3" w:rsidRPr="00A471A6" w:rsidRDefault="00A424D3" w:rsidP="007471A8">
      <w:pPr>
        <w:pStyle w:val="Default"/>
        <w:contextualSpacing/>
      </w:pPr>
    </w:p>
    <w:p w:rsidR="00A424D3" w:rsidRPr="00A471A6" w:rsidRDefault="00A424D3" w:rsidP="007471A8">
      <w:pPr>
        <w:pStyle w:val="CM10"/>
        <w:spacing w:line="240" w:lineRule="auto"/>
        <w:contextualSpacing/>
        <w:rPr>
          <w:rFonts w:ascii="Times New Roman" w:hAnsi="Times New Roman"/>
        </w:rPr>
      </w:pPr>
      <w:r w:rsidRPr="00A471A6">
        <w:rPr>
          <w:rFonts w:ascii="Times New Roman" w:hAnsi="Times New Roman"/>
        </w:rPr>
        <w:t xml:space="preserve">The FBI has divided its CT operations into branches, each of which focuses on a different aspect of the current terrorism threat facing the U.S.  These components are staffed with </w:t>
      </w:r>
      <w:r>
        <w:rPr>
          <w:rFonts w:ascii="Times New Roman" w:hAnsi="Times New Roman"/>
        </w:rPr>
        <w:t>SAs</w:t>
      </w:r>
      <w:r w:rsidRPr="00A471A6">
        <w:rPr>
          <w:rFonts w:ascii="Times New Roman" w:hAnsi="Times New Roman"/>
        </w:rPr>
        <w:t>, Intelligence Analysts</w:t>
      </w:r>
      <w:r>
        <w:rPr>
          <w:rFonts w:ascii="Times New Roman" w:hAnsi="Times New Roman"/>
        </w:rPr>
        <w:t xml:space="preserve"> (IAs)</w:t>
      </w:r>
      <w:r w:rsidRPr="00A471A6">
        <w:rPr>
          <w:rFonts w:ascii="Times New Roman" w:hAnsi="Times New Roman"/>
        </w:rPr>
        <w:t>, and subject matter experts who work closely with investigators in the field and integrate intelligence across component lines.  This integration allows for real-time responses to threat information and quick communication with decision-makers and the field.</w:t>
      </w:r>
    </w:p>
    <w:p w:rsidR="00A424D3" w:rsidRPr="00A471A6" w:rsidRDefault="00A424D3" w:rsidP="007471A8">
      <w:pPr>
        <w:pStyle w:val="CM15"/>
        <w:spacing w:line="240" w:lineRule="auto"/>
        <w:contextualSpacing/>
        <w:rPr>
          <w:rFonts w:ascii="Times New Roman" w:hAnsi="Times New Roman"/>
        </w:rPr>
      </w:pPr>
    </w:p>
    <w:p w:rsidR="00A424D3" w:rsidRPr="00A471A6" w:rsidRDefault="00A424D3" w:rsidP="007471A8">
      <w:pPr>
        <w:pStyle w:val="CM15"/>
        <w:spacing w:line="240" w:lineRule="auto"/>
        <w:contextualSpacing/>
        <w:rPr>
          <w:rFonts w:ascii="Times New Roman" w:hAnsi="Times New Roman"/>
          <w:color w:val="000000"/>
        </w:rPr>
      </w:pPr>
      <w:r w:rsidRPr="00A471A6">
        <w:rPr>
          <w:rFonts w:ascii="Times New Roman" w:hAnsi="Times New Roman"/>
          <w:color w:val="000000"/>
        </w:rPr>
        <w:t xml:space="preserve">The FBI has also established strong working relationships with other members of the IC.  </w:t>
      </w:r>
      <w:r>
        <w:rPr>
          <w:rFonts w:ascii="Times New Roman" w:hAnsi="Times New Roman"/>
          <w:color w:val="000000"/>
        </w:rPr>
        <w:t>Through</w:t>
      </w:r>
      <w:r w:rsidRPr="00A471A6">
        <w:rPr>
          <w:rFonts w:ascii="Times New Roman" w:hAnsi="Times New Roman"/>
          <w:color w:val="000000"/>
        </w:rPr>
        <w:t xml:space="preserve"> the Director’s daily meetings with other IC executives, the regular exchange of personnel among agencies, joint efforts in specific investigations and in the National Counterterrorism Center (NCTC), the </w:t>
      </w:r>
      <w:smartTag w:uri="urn:schemas-microsoft-com:office:smarttags" w:element="stockticker">
        <w:r w:rsidRPr="00A471A6">
          <w:rPr>
            <w:rFonts w:ascii="Times New Roman" w:hAnsi="Times New Roman"/>
            <w:color w:val="000000"/>
          </w:rPr>
          <w:t>TSC</w:t>
        </w:r>
      </w:smartTag>
      <w:r w:rsidRPr="00A471A6">
        <w:rPr>
          <w:rFonts w:ascii="Times New Roman" w:hAnsi="Times New Roman"/>
          <w:color w:val="000000"/>
        </w:rPr>
        <w:t xml:space="preserve">, </w:t>
      </w:r>
      <w:r w:rsidRPr="00A471A6">
        <w:rPr>
          <w:rFonts w:ascii="Times New Roman" w:hAnsi="Times New Roman"/>
          <w:color w:val="000000"/>
        </w:rPr>
        <w:lastRenderedPageBreak/>
        <w:t xml:space="preserve">and other multi-agency entities, </w:t>
      </w:r>
      <w:r>
        <w:rPr>
          <w:rFonts w:ascii="Times New Roman" w:hAnsi="Times New Roman"/>
          <w:color w:val="000000"/>
        </w:rPr>
        <w:t xml:space="preserve">and </w:t>
      </w:r>
      <w:r w:rsidRPr="00A471A6">
        <w:rPr>
          <w:rFonts w:ascii="Times New Roman" w:hAnsi="Times New Roman"/>
          <w:color w:val="000000"/>
        </w:rPr>
        <w:t xml:space="preserve">the co-location of personnel at Liberty Crossing, </w:t>
      </w:r>
      <w:r>
        <w:rPr>
          <w:rFonts w:ascii="Times New Roman" w:hAnsi="Times New Roman"/>
          <w:color w:val="000000"/>
        </w:rPr>
        <w:t xml:space="preserve">it is clear that </w:t>
      </w:r>
      <w:r w:rsidRPr="00A471A6">
        <w:rPr>
          <w:rFonts w:ascii="Times New Roman" w:hAnsi="Times New Roman"/>
          <w:color w:val="000000"/>
        </w:rPr>
        <w:t>the FBI and its partners in the IC are now integrated at virtually every level of operations.</w:t>
      </w:r>
    </w:p>
    <w:p w:rsidR="00A424D3" w:rsidRPr="00A471A6" w:rsidRDefault="00A424D3" w:rsidP="007471A8">
      <w:pPr>
        <w:pStyle w:val="CM15"/>
        <w:spacing w:line="240" w:lineRule="auto"/>
        <w:contextualSpacing/>
        <w:rPr>
          <w:rFonts w:ascii="Times New Roman" w:hAnsi="Times New Roman"/>
        </w:rPr>
      </w:pPr>
    </w:p>
    <w:p w:rsidR="00A424D3" w:rsidRPr="00A471A6" w:rsidRDefault="00A424D3" w:rsidP="007471A8">
      <w:pPr>
        <w:pStyle w:val="CM15"/>
        <w:spacing w:line="240" w:lineRule="auto"/>
        <w:contextualSpacing/>
        <w:rPr>
          <w:rFonts w:ascii="Times New Roman" w:hAnsi="Times New Roman"/>
        </w:rPr>
      </w:pPr>
      <w:r w:rsidRPr="00A471A6">
        <w:rPr>
          <w:rFonts w:ascii="Times New Roman" w:hAnsi="Times New Roman"/>
        </w:rPr>
        <w:t xml:space="preserve">With terrorists traveling, communicating, and planning attacks all around the world, coordination with foreign partners has become more critical than ever before. The FBI has steadily increased its overseas presence and now routinely deploys </w:t>
      </w:r>
      <w:r>
        <w:rPr>
          <w:rFonts w:ascii="Times New Roman" w:hAnsi="Times New Roman"/>
        </w:rPr>
        <w:t>SAs</w:t>
      </w:r>
      <w:r w:rsidRPr="00A471A6">
        <w:rPr>
          <w:rFonts w:ascii="Times New Roman" w:hAnsi="Times New Roman"/>
        </w:rPr>
        <w:t xml:space="preserve"> and crime scene experts to assist in the investigation of overseas attacks. Their efforts have played a critical role in successful international operations.</w:t>
      </w:r>
    </w:p>
    <w:p w:rsidR="00A424D3" w:rsidRPr="00A471A6" w:rsidRDefault="00A424D3" w:rsidP="007471A8">
      <w:pPr>
        <w:pStyle w:val="Default"/>
        <w:contextualSpacing/>
      </w:pPr>
    </w:p>
    <w:p w:rsidR="00A424D3" w:rsidRPr="00A471A6" w:rsidRDefault="00A424D3" w:rsidP="007471A8">
      <w:pPr>
        <w:autoSpaceDE w:val="0"/>
        <w:autoSpaceDN w:val="0"/>
        <w:adjustRightInd w:val="0"/>
        <w:contextualSpacing/>
      </w:pPr>
      <w:r w:rsidRPr="00A471A6">
        <w:rPr>
          <w:b/>
          <w:bCs/>
          <w:i/>
          <w:iCs/>
        </w:rPr>
        <w:t>Weapons of Mass Destruction (</w:t>
      </w:r>
      <w:smartTag w:uri="urn:schemas-microsoft-com:office:smarttags" w:element="stockticker">
        <w:r w:rsidRPr="00A471A6">
          <w:rPr>
            <w:b/>
            <w:bCs/>
            <w:i/>
            <w:iCs/>
          </w:rPr>
          <w:t>WMD</w:t>
        </w:r>
      </w:smartTag>
      <w:r w:rsidRPr="00A471A6">
        <w:rPr>
          <w:b/>
          <w:bCs/>
          <w:i/>
          <w:iCs/>
        </w:rPr>
        <w:t>) Directorate</w:t>
      </w:r>
    </w:p>
    <w:p w:rsidR="00A424D3" w:rsidRPr="00A471A6" w:rsidRDefault="00A424D3" w:rsidP="007471A8">
      <w:pPr>
        <w:contextualSpacing/>
      </w:pPr>
      <w:r>
        <w:t xml:space="preserve">The </w:t>
      </w:r>
      <w:r w:rsidRPr="00A471A6">
        <w:t>Weapons of Mass Destruction Directorate (WMDD) was established to create a unique combination of law enforcement authorities, intelligence analysis capabilities, and technical subject matter expertise that exists nowhere else in the U</w:t>
      </w:r>
      <w:r>
        <w:t>.</w:t>
      </w:r>
      <w:r w:rsidRPr="00A471A6">
        <w:t>S</w:t>
      </w:r>
      <w:r>
        <w:t>.</w:t>
      </w:r>
      <w:r w:rsidRPr="00A471A6">
        <w:t xml:space="preserve"> Government (USG).  Creation of the WMDD enabled the FBI to bring its WMD preparedness, prevention, and response capabilities into a single, focused organization</w:t>
      </w:r>
      <w:r>
        <w:t>,</w:t>
      </w:r>
      <w:r w:rsidRPr="00A471A6">
        <w:t xml:space="preserve"> which builds a cohesive and coordinated FBI approach to WMD.</w:t>
      </w:r>
    </w:p>
    <w:p w:rsidR="00A424D3" w:rsidRPr="00A471A6" w:rsidRDefault="00A424D3" w:rsidP="007471A8">
      <w:pPr>
        <w:contextualSpacing/>
      </w:pPr>
    </w:p>
    <w:p w:rsidR="00A424D3" w:rsidRPr="00A471A6" w:rsidRDefault="00A424D3" w:rsidP="007471A8">
      <w:pPr>
        <w:contextualSpacing/>
      </w:pPr>
      <w:r w:rsidRPr="00A471A6">
        <w:t>The WMDD’s mission is to lead the FBI’s efforts to deny state and non-state sponsored adver</w:t>
      </w:r>
      <w:r>
        <w:t>saries’ access to WMD materials</w:t>
      </w:r>
      <w:r w:rsidRPr="00A471A6">
        <w:t xml:space="preserve"> and technologies, to detect and disrupt the use of WMD</w:t>
      </w:r>
      <w:r>
        <w:t>s</w:t>
      </w:r>
      <w:r w:rsidRPr="00A471A6">
        <w:t>, and to respond to WMD threats and incidents.  WMDD is responsible for preventing, countering, and investigating threats of terrorism or proliferation involving chemical, biological, radiological, nuclear, and explosive weapons.</w:t>
      </w:r>
    </w:p>
    <w:p w:rsidR="00A424D3" w:rsidRPr="00A471A6" w:rsidRDefault="00A424D3" w:rsidP="007471A8">
      <w:pPr>
        <w:contextualSpacing/>
      </w:pPr>
    </w:p>
    <w:p w:rsidR="00A424D3" w:rsidRPr="00A471A6" w:rsidRDefault="00A424D3" w:rsidP="007471A8">
      <w:pPr>
        <w:contextualSpacing/>
      </w:pPr>
      <w:r w:rsidRPr="00A471A6">
        <w:t>The WMDD coordinates the FBI’s WMD program through a multifaceted approach that addresses all areas of the WMD incident spectrum from prevention through response</w:t>
      </w:r>
      <w:r>
        <w:t>. This approach includes:</w:t>
      </w:r>
    </w:p>
    <w:p w:rsidR="00A424D3" w:rsidRPr="00A471A6" w:rsidRDefault="00A424D3" w:rsidP="007471A8">
      <w:pPr>
        <w:contextualSpacing/>
      </w:pPr>
    </w:p>
    <w:p w:rsidR="00A424D3" w:rsidRPr="00A471A6" w:rsidRDefault="00A424D3" w:rsidP="007471A8">
      <w:pPr>
        <w:pStyle w:val="ListParagraph"/>
        <w:numPr>
          <w:ilvl w:val="0"/>
          <w:numId w:val="60"/>
        </w:numPr>
        <w:contextualSpacing/>
      </w:pPr>
      <w:r w:rsidRPr="00A471A6">
        <w:t>Preparedness - This perspective incorporates the development of comprehensive plans and policies</w:t>
      </w:r>
      <w:r>
        <w:t>.</w:t>
      </w:r>
      <w:r w:rsidRPr="00A471A6">
        <w:t xml:space="preserve"> </w:t>
      </w:r>
      <w:r>
        <w:t xml:space="preserve">It also </w:t>
      </w:r>
      <w:r w:rsidRPr="00A471A6">
        <w:t xml:space="preserve">implements planning, training, and </w:t>
      </w:r>
      <w:r>
        <w:t xml:space="preserve">practice </w:t>
      </w:r>
      <w:r w:rsidRPr="00A471A6">
        <w:t>exercises to ensure that the FBI and its USG partners are ready to respond to WMD threats.</w:t>
      </w:r>
    </w:p>
    <w:p w:rsidR="00A424D3" w:rsidRPr="00A471A6" w:rsidRDefault="00A424D3" w:rsidP="007471A8">
      <w:pPr>
        <w:pStyle w:val="ListParagraph"/>
        <w:contextualSpacing/>
      </w:pPr>
    </w:p>
    <w:p w:rsidR="00A424D3" w:rsidRPr="00A471A6" w:rsidRDefault="00A424D3" w:rsidP="007471A8">
      <w:pPr>
        <w:pStyle w:val="ListParagraph"/>
        <w:numPr>
          <w:ilvl w:val="0"/>
          <w:numId w:val="60"/>
        </w:numPr>
        <w:contextualSpacing/>
      </w:pPr>
      <w:r w:rsidRPr="00A471A6">
        <w:t>Countermeasures – Countermeasures are actions taken to counter, eliminate, or offset the WMD threat.  This includes outreach activities, tripwires</w:t>
      </w:r>
      <w:r>
        <w:t>,</w:t>
      </w:r>
      <w:r w:rsidRPr="00A471A6">
        <w:t xml:space="preserve"> and more specialized countermeasures.</w:t>
      </w:r>
    </w:p>
    <w:p w:rsidR="00A424D3" w:rsidRPr="00A471A6" w:rsidRDefault="00A424D3" w:rsidP="007471A8">
      <w:pPr>
        <w:pStyle w:val="ListParagraph"/>
        <w:contextualSpacing/>
      </w:pPr>
    </w:p>
    <w:p w:rsidR="00A424D3" w:rsidRPr="00A471A6" w:rsidRDefault="00A424D3" w:rsidP="007471A8">
      <w:pPr>
        <w:pStyle w:val="ListParagraph"/>
        <w:numPr>
          <w:ilvl w:val="0"/>
          <w:numId w:val="60"/>
        </w:numPr>
        <w:contextualSpacing/>
      </w:pPr>
      <w:r w:rsidRPr="00A471A6">
        <w:t>Investigations and Operations – The WMDD investigates the threatened, attempted, and actual use of a WMD, as well as the attempted or actual transfer of materials, knowledge, and technology needed to create a WMD.  WMDD coordinates the FBI</w:t>
      </w:r>
      <w:r>
        <w:t>’s</w:t>
      </w:r>
      <w:r w:rsidRPr="00A471A6">
        <w:t xml:space="preserve"> efforts to ensure a robust capability that can collect evidence in contaminated areas, disarm hazardous devices, and provide direct command and control support in on-scene situations.</w:t>
      </w:r>
    </w:p>
    <w:p w:rsidR="00A424D3" w:rsidRPr="00A471A6" w:rsidRDefault="00A424D3" w:rsidP="007471A8">
      <w:pPr>
        <w:contextualSpacing/>
      </w:pPr>
    </w:p>
    <w:p w:rsidR="00A424D3" w:rsidRPr="00A471A6" w:rsidRDefault="00A424D3" w:rsidP="007471A8">
      <w:pPr>
        <w:pStyle w:val="ListParagraph"/>
        <w:numPr>
          <w:ilvl w:val="0"/>
          <w:numId w:val="60"/>
        </w:numPr>
        <w:contextualSpacing/>
      </w:pPr>
      <w:r w:rsidRPr="00A471A6">
        <w:t>Intelligence – The WMDD proactively leverages timely and relevant intelligence to drive preparedness, countermeasures, and investigative programs; each designed to prevent a threat from becoming a reality.  The FBI utilizes this intelligence to combat WMD threats and events and also shares the intelligence products with the intelligence community to globally improve awareness of the WMD threat.</w:t>
      </w:r>
    </w:p>
    <w:p w:rsidR="00A424D3" w:rsidRPr="00A471A6" w:rsidRDefault="00A424D3" w:rsidP="007471A8">
      <w:pPr>
        <w:pStyle w:val="ListParagraph"/>
        <w:contextualSpacing/>
      </w:pPr>
    </w:p>
    <w:p w:rsidR="00A424D3" w:rsidRPr="00A471A6" w:rsidRDefault="00A424D3" w:rsidP="007471A8">
      <w:pPr>
        <w:contextualSpacing/>
      </w:pPr>
      <w:r w:rsidRPr="00A471A6">
        <w:t xml:space="preserve">WMDD’s case management responsibilities fall into two primary categories: WMD terrorism and WMD proliferation.  The WMD terrorism cases include non-attributed instances involving the threat, attempt, or use of a WMD.  </w:t>
      </w:r>
      <w:r>
        <w:t xml:space="preserve">Cases fall into the proliferation category, however, </w:t>
      </w:r>
      <w:r w:rsidRPr="00A471A6">
        <w:t xml:space="preserve">when an organization or nation state attempts to acquire material and expertise relevant to a WMD program.  </w:t>
      </w:r>
    </w:p>
    <w:p w:rsidR="00A424D3" w:rsidRPr="00A471A6" w:rsidRDefault="00A424D3" w:rsidP="007471A8">
      <w:pPr>
        <w:contextualSpacing/>
        <w:rPr>
          <w:szCs w:val="20"/>
        </w:rPr>
      </w:pPr>
    </w:p>
    <w:p w:rsidR="00A424D3" w:rsidRPr="00A471A6" w:rsidRDefault="00A424D3" w:rsidP="007471A8">
      <w:pPr>
        <w:contextualSpacing/>
      </w:pPr>
      <w:r w:rsidRPr="00A471A6">
        <w:lastRenderedPageBreak/>
        <w:t xml:space="preserve">In </w:t>
      </w:r>
      <w:r>
        <w:t>July 2011, the FBI</w:t>
      </w:r>
      <w:r w:rsidRPr="00A471A6">
        <w:t xml:space="preserve"> combined the operational activities of the Counterintelligence Division's </w:t>
      </w:r>
      <w:proofErr w:type="spellStart"/>
      <w:r w:rsidRPr="00A471A6">
        <w:t>counterproliferation</w:t>
      </w:r>
      <w:proofErr w:type="spellEnd"/>
      <w:r w:rsidRPr="00A471A6">
        <w:t xml:space="preserve"> program with the subject matter expertise of the WMDD and the analytical capabilities of the Directorate of Intelligence to create a </w:t>
      </w:r>
      <w:proofErr w:type="spellStart"/>
      <w:r w:rsidRPr="00A471A6">
        <w:t>Counterproliferation</w:t>
      </w:r>
      <w:proofErr w:type="spellEnd"/>
      <w:r w:rsidRPr="00A471A6">
        <w:t xml:space="preserve"> Center (CPC)</w:t>
      </w:r>
      <w:r>
        <w:t xml:space="preserve"> in </w:t>
      </w:r>
      <w:r w:rsidRPr="00A471A6">
        <w:t xml:space="preserve">order to detect, deter, and defeat the threat posed by state-sponsored groups, individuals, and/or organizations as they attempt to obtain WMD or other </w:t>
      </w:r>
      <w:r>
        <w:t>sensitive technologies</w:t>
      </w:r>
      <w:r w:rsidRPr="00A471A6">
        <w:t xml:space="preserve">.  The CPC is a team initiative with a multi-tiered management system.  All investigations concerning </w:t>
      </w:r>
      <w:proofErr w:type="spellStart"/>
      <w:r w:rsidRPr="00A471A6">
        <w:t>counterproliferation</w:t>
      </w:r>
      <w:proofErr w:type="spellEnd"/>
      <w:r w:rsidRPr="00A471A6">
        <w:t xml:space="preserve"> will be managed by the CPC, including all investigations directed to prevent the acquisition of information and technologies which would enhance </w:t>
      </w:r>
      <w:r w:rsidRPr="000E5CEA">
        <w:t>a foreign government’s</w:t>
      </w:r>
      <w:r w:rsidRPr="00A471A6">
        <w:t xml:space="preserve"> abilities to create, use, share, or sell WMD</w:t>
      </w:r>
      <w:r>
        <w:t xml:space="preserve">s, including: </w:t>
      </w:r>
      <w:r w:rsidRPr="00A471A6">
        <w:t xml:space="preserve">Chemical, Biological, Radiological, Nuclear, Explosive, missile delivery system, space or advanced conventional weapons or components.  </w:t>
      </w:r>
    </w:p>
    <w:p w:rsidR="00A424D3" w:rsidRPr="00A471A6" w:rsidRDefault="00A424D3" w:rsidP="007471A8">
      <w:pPr>
        <w:contextualSpacing/>
        <w:rPr>
          <w:b/>
          <w:bCs/>
          <w:i/>
          <w:iCs/>
        </w:rPr>
      </w:pPr>
    </w:p>
    <w:p w:rsidR="00A424D3" w:rsidRPr="00A471A6" w:rsidRDefault="00A424D3" w:rsidP="007471A8">
      <w:pPr>
        <w:contextualSpacing/>
        <w:rPr>
          <w:b/>
          <w:bCs/>
          <w:i/>
          <w:iCs/>
        </w:rPr>
      </w:pPr>
      <w:r w:rsidRPr="00A471A6">
        <w:rPr>
          <w:b/>
          <w:bCs/>
          <w:i/>
          <w:iCs/>
        </w:rPr>
        <w:t>Counterintelligence Program</w:t>
      </w:r>
    </w:p>
    <w:p w:rsidR="00A424D3" w:rsidRPr="00466E4D" w:rsidRDefault="00A424D3" w:rsidP="007471A8">
      <w:pPr>
        <w:contextualSpacing/>
      </w:pPr>
      <w:r w:rsidRPr="00466E4D">
        <w:t>Please refer to classified addendum for additional information.</w:t>
      </w:r>
    </w:p>
    <w:p w:rsidR="00A424D3" w:rsidRDefault="00A424D3" w:rsidP="007471A8">
      <w:pPr>
        <w:contextualSpacing/>
      </w:pPr>
    </w:p>
    <w:p w:rsidR="00A424D3" w:rsidRPr="00A471A6" w:rsidRDefault="00A424D3" w:rsidP="007471A8">
      <w:pPr>
        <w:contextualSpacing/>
        <w:rPr>
          <w:b/>
          <w:bCs/>
          <w:i/>
          <w:iCs/>
        </w:rPr>
      </w:pPr>
      <w:r w:rsidRPr="00A471A6">
        <w:rPr>
          <w:b/>
          <w:bCs/>
          <w:i/>
          <w:iCs/>
        </w:rPr>
        <w:t>Dedicated Technical Program</w:t>
      </w:r>
    </w:p>
    <w:p w:rsidR="00A424D3" w:rsidRPr="00A471A6" w:rsidRDefault="00A424D3" w:rsidP="007471A8">
      <w:pPr>
        <w:contextualSpacing/>
      </w:pPr>
      <w:r w:rsidRPr="00A471A6">
        <w:t>The FBI’s Dedicated Technical Program (DTP) administers resources to provide technical support as well as research and development activities through which the FBI ensures that investigative tools keep pace with evolving investigative requirements and private sector technologies.  In compliance with Executive Order 12333 and Director of National Intelligence (DNI) requests/guidance, the DTP deploys technical systems in support of foreign intelligence requirements of other IC entities.  The DTP provides support enabling achievement of the following strategic goals:</w:t>
      </w:r>
    </w:p>
    <w:p w:rsidR="00A424D3" w:rsidRPr="00A471A6" w:rsidRDefault="00A424D3" w:rsidP="007471A8">
      <w:pPr>
        <w:contextualSpacing/>
      </w:pPr>
    </w:p>
    <w:p w:rsidR="00A424D3" w:rsidRDefault="00A424D3" w:rsidP="007471A8">
      <w:pPr>
        <w:pStyle w:val="ListParagraph"/>
        <w:numPr>
          <w:ilvl w:val="0"/>
          <w:numId w:val="60"/>
        </w:numPr>
        <w:contextualSpacing/>
      </w:pPr>
      <w:r>
        <w:t>Identify, prevent, and defeat intelligence operations conducted by any foreign power within the U.S. or against certain U.S. interests abroad that constitute a threat to U.S. national security; and</w:t>
      </w:r>
    </w:p>
    <w:p w:rsidR="00A424D3" w:rsidRDefault="00A424D3" w:rsidP="007471A8">
      <w:pPr>
        <w:pStyle w:val="ListParagraph"/>
        <w:contextualSpacing/>
      </w:pPr>
    </w:p>
    <w:p w:rsidR="00A424D3" w:rsidRDefault="00A424D3" w:rsidP="007471A8">
      <w:pPr>
        <w:pStyle w:val="ListParagraph"/>
        <w:numPr>
          <w:ilvl w:val="0"/>
          <w:numId w:val="60"/>
        </w:numPr>
        <w:contextualSpacing/>
      </w:pPr>
      <w:r>
        <w:t>Prevent, disrupt, and defeat terrorist operations.</w:t>
      </w:r>
    </w:p>
    <w:p w:rsidR="00A424D3" w:rsidRPr="00A471A6" w:rsidRDefault="00A424D3" w:rsidP="007471A8">
      <w:pPr>
        <w:contextualSpacing/>
        <w:rPr>
          <w:b/>
          <w:bCs/>
          <w:i/>
          <w:iCs/>
        </w:rPr>
      </w:pPr>
    </w:p>
    <w:p w:rsidR="00A424D3" w:rsidRPr="00A471A6" w:rsidRDefault="00A424D3" w:rsidP="007471A8">
      <w:pPr>
        <w:contextualSpacing/>
        <w:rPr>
          <w:b/>
          <w:bCs/>
          <w:i/>
          <w:iCs/>
        </w:rPr>
      </w:pPr>
      <w:r w:rsidRPr="00A471A6">
        <w:rPr>
          <w:b/>
          <w:bCs/>
          <w:i/>
          <w:iCs/>
        </w:rPr>
        <w:t>Cyber Program</w:t>
      </w:r>
    </w:p>
    <w:p w:rsidR="00A424D3" w:rsidRDefault="00A424D3" w:rsidP="007471A8">
      <w:pPr>
        <w:contextualSpacing/>
      </w:pPr>
      <w:r w:rsidRPr="00A471A6">
        <w:t>The FBI’s Cyber Program integrates Headquarters and field resources dedicated to combating national security computer intrusions. This enables the Cyber Program to coordinate, supervise, and facilitate the FBI's investigation of those federal violations in which the Internet, computer systems, or networks are exploited as the principal instruments or targets of terrorist organizations, foreign government-sponsored intelligence operations, or criminal activity. Included under the purview of the Cyber Program within the CT/CI DU are counterterrorism, counterintelligence, and national security computer intrusion investigations.</w:t>
      </w:r>
    </w:p>
    <w:p w:rsidR="00A424D3" w:rsidRDefault="00A424D3" w:rsidP="007471A8">
      <w:pPr>
        <w:contextualSpacing/>
        <w:rPr>
          <w:color w:val="1F497D"/>
        </w:rPr>
      </w:pPr>
    </w:p>
    <w:p w:rsidR="00A424D3" w:rsidRPr="00215B81" w:rsidRDefault="00A424D3" w:rsidP="007471A8">
      <w:pPr>
        <w:contextualSpacing/>
      </w:pPr>
      <w:r w:rsidRPr="00215B81">
        <w:t xml:space="preserve">Also within the FBI Cyber Program is the FBI-led National Cyber Investigative Joint Task Force (NCIJTF).  The NCIJTF is congressionally authorized, and presidentially mandated to serve as the multi-agency national focal point for coordinating, integrating, and sharing pertinent information relating to </w:t>
      </w:r>
      <w:proofErr w:type="spellStart"/>
      <w:r w:rsidRPr="00215B81">
        <w:t>cybersecurity</w:t>
      </w:r>
      <w:proofErr w:type="spellEnd"/>
      <w:r w:rsidRPr="00215B81">
        <w:t xml:space="preserve"> threat investigations.  The NCIJTF maximizes the government’s impact under a unified strategy that identifies, mitigates and neutralizes cyber threats through the combined counterintelligence, counterterrorism, intelligence, and law enforcement authorities and capabilities of its member agencies. </w:t>
      </w:r>
    </w:p>
    <w:p w:rsidR="00A424D3" w:rsidRPr="00A471A6" w:rsidRDefault="00A424D3" w:rsidP="007471A8">
      <w:pPr>
        <w:contextualSpacing/>
      </w:pPr>
    </w:p>
    <w:p w:rsidR="00F0004F" w:rsidRDefault="00F0004F">
      <w:pPr>
        <w:rPr>
          <w:b/>
          <w:bCs/>
          <w:i/>
          <w:iCs/>
        </w:rPr>
      </w:pPr>
      <w:r>
        <w:rPr>
          <w:b/>
          <w:bCs/>
          <w:i/>
          <w:iCs/>
        </w:rPr>
        <w:br w:type="page"/>
      </w:r>
    </w:p>
    <w:p w:rsidR="00A424D3" w:rsidRPr="00A471A6" w:rsidRDefault="00A424D3" w:rsidP="007471A8">
      <w:pPr>
        <w:contextualSpacing/>
        <w:rPr>
          <w:b/>
          <w:bCs/>
          <w:i/>
          <w:iCs/>
        </w:rPr>
      </w:pPr>
      <w:r w:rsidRPr="00A471A6">
        <w:rPr>
          <w:b/>
          <w:bCs/>
          <w:i/>
          <w:iCs/>
        </w:rPr>
        <w:lastRenderedPageBreak/>
        <w:t>Critical Incident Response Program</w:t>
      </w:r>
    </w:p>
    <w:p w:rsidR="00A424D3" w:rsidRPr="00A471A6" w:rsidRDefault="00A424D3" w:rsidP="007471A8">
      <w:pPr>
        <w:contextualSpacing/>
        <w:rPr>
          <w:color w:val="000000"/>
        </w:rPr>
      </w:pPr>
      <w:r w:rsidRPr="00A471A6">
        <w:rPr>
          <w:color w:val="000000"/>
        </w:rPr>
        <w:t xml:space="preserve">The Critical Incident Response Group (CIRG) facilitates the FBI's rapid response to, and management of, crisis incidents.  CIRG was established to integrate tactical and investigative resources and expertise for incidents requiring an immediate law enforcement response.  CIRG furnishes distinctive operational assistance and training to FBI field personnel as well as state, local, federal, tribal and international law enforcement partners.  CIRG personnel are on call around the clock to respond to crisis incidents.  </w:t>
      </w:r>
    </w:p>
    <w:p w:rsidR="00A424D3" w:rsidRPr="00A471A6" w:rsidRDefault="00A424D3" w:rsidP="007471A8">
      <w:pPr>
        <w:contextualSpacing/>
      </w:pPr>
    </w:p>
    <w:p w:rsidR="00A424D3" w:rsidRPr="00A471A6" w:rsidRDefault="00A424D3" w:rsidP="007471A8">
      <w:pPr>
        <w:contextualSpacing/>
        <w:rPr>
          <w:color w:val="000000"/>
        </w:rPr>
      </w:pPr>
      <w:r w:rsidRPr="00A471A6">
        <w:rPr>
          <w:color w:val="000000"/>
        </w:rPr>
        <w:t>CIRG’s continual readiness posture provides the U.S. Government with the ability to counter a myriad of CT/CI threats—from incidents involving WMD</w:t>
      </w:r>
      <w:r>
        <w:rPr>
          <w:color w:val="000000"/>
        </w:rPr>
        <w:t>s</w:t>
      </w:r>
      <w:r w:rsidRPr="00A471A6">
        <w:rPr>
          <w:color w:val="000000"/>
        </w:rPr>
        <w:t xml:space="preserve"> to a mass hostage taking.  The FBI's crisis response protocols are built upon lessons learned from past incidents.  They include a tiered response, streamlined command and control, standardized training, equipment, and operating procedures, and coordination with other partners.  To counter the range of potential crises, an integrated response package that brings command and control, aviation, and technical and tactical assets under a unified structure is essential; CIRG encompasses all of these elements.</w:t>
      </w:r>
    </w:p>
    <w:p w:rsidR="00A424D3" w:rsidRPr="00A471A6" w:rsidRDefault="00A424D3" w:rsidP="007471A8">
      <w:pPr>
        <w:contextualSpacing/>
        <w:rPr>
          <w:color w:val="000000"/>
        </w:rPr>
      </w:pPr>
    </w:p>
    <w:p w:rsidR="00A424D3" w:rsidRPr="00A471A6" w:rsidRDefault="00A424D3" w:rsidP="007471A8">
      <w:pPr>
        <w:contextualSpacing/>
        <w:rPr>
          <w:color w:val="000000"/>
        </w:rPr>
      </w:pPr>
      <w:r w:rsidRPr="00A471A6">
        <w:rPr>
          <w:color w:val="000000"/>
        </w:rPr>
        <w:t xml:space="preserve">CIRG also manages the FBI’s mobile surveillance programs – the Mobile Surveillance Teams - Armed (MSTA) (formerly known as the Special Operations Groups (SOGs) and the Mobile Surveillance Teams (MST) (formerly known as the Special Surveillance Groups (SSGs)) – and its Aviation Surveillance program.  MSTAs are comprised of armed agents </w:t>
      </w:r>
      <w:r>
        <w:rPr>
          <w:color w:val="000000"/>
        </w:rPr>
        <w:t>who</w:t>
      </w:r>
      <w:r w:rsidRPr="00A471A6">
        <w:rPr>
          <w:color w:val="000000"/>
        </w:rPr>
        <w:t xml:space="preserve"> perform surveillances of targets that might have the propensity for violence; MSTs are comprised of unarmed investigative specialists </w:t>
      </w:r>
      <w:r>
        <w:rPr>
          <w:color w:val="000000"/>
        </w:rPr>
        <w:t>who are unlikely to be violent.</w:t>
      </w:r>
      <w:r w:rsidRPr="00A471A6">
        <w:rPr>
          <w:color w:val="000000"/>
        </w:rPr>
        <w:t xml:space="preserve">  MSTAs, MSTs, and Aviation Surveillance provide critical support to CT and CI investigations.</w:t>
      </w:r>
    </w:p>
    <w:p w:rsidR="00A424D3" w:rsidRPr="00A471A6" w:rsidRDefault="00A424D3" w:rsidP="007471A8">
      <w:pPr>
        <w:contextualSpacing/>
        <w:rPr>
          <w:b/>
          <w:bCs/>
          <w:i/>
          <w:iCs/>
        </w:rPr>
      </w:pPr>
    </w:p>
    <w:p w:rsidR="00A424D3" w:rsidRPr="00A471A6" w:rsidRDefault="00A424D3" w:rsidP="007471A8">
      <w:pPr>
        <w:contextualSpacing/>
        <w:rPr>
          <w:b/>
          <w:bCs/>
          <w:i/>
          <w:iCs/>
        </w:rPr>
      </w:pPr>
      <w:r w:rsidRPr="00A471A6">
        <w:rPr>
          <w:b/>
          <w:bCs/>
          <w:i/>
          <w:iCs/>
        </w:rPr>
        <w:t>Legal Attaché (</w:t>
      </w:r>
      <w:r>
        <w:rPr>
          <w:b/>
          <w:bCs/>
          <w:i/>
          <w:iCs/>
        </w:rPr>
        <w:t>LEGAT</w:t>
      </w:r>
      <w:r w:rsidRPr="00A471A6">
        <w:rPr>
          <w:b/>
          <w:bCs/>
          <w:i/>
          <w:iCs/>
        </w:rPr>
        <w:t>) Program</w:t>
      </w:r>
    </w:p>
    <w:p w:rsidR="00A424D3" w:rsidRDefault="00A424D3" w:rsidP="007471A8">
      <w:pPr>
        <w:contextualSpacing/>
      </w:pPr>
      <w:r>
        <w:t>LEGATs</w:t>
      </w:r>
      <w:r w:rsidRPr="00A471A6">
        <w:t xml:space="preserve"> are the forward element of the FBI's international law enforcement effort and often provide the first response to crimes against the U.S. and its citizens that have an international nexus.  The counterterrorism component of the </w:t>
      </w:r>
      <w:r>
        <w:t>LEGAT</w:t>
      </w:r>
      <w:r w:rsidRPr="00A471A6">
        <w:t xml:space="preserve"> Program is comprised of </w:t>
      </w:r>
      <w:r>
        <w:t>SAs</w:t>
      </w:r>
      <w:r w:rsidRPr="00A471A6">
        <w:t xml:space="preserve"> stationed overseas who work closely with their foreign counterparts to prevent terrorism from reaching into the U.S., help solve crimes, and assist with the apprehension of international terrorists who violate U.S. laws.</w:t>
      </w:r>
      <w:r>
        <w:t xml:space="preserve">  </w:t>
      </w:r>
    </w:p>
    <w:p w:rsidR="00A424D3" w:rsidRDefault="00A424D3" w:rsidP="007471A8">
      <w:pPr>
        <w:contextualSpacing/>
        <w:sectPr w:rsidR="00A424D3" w:rsidSect="0036067B">
          <w:headerReference w:type="default" r:id="rId24"/>
          <w:footerReference w:type="even" r:id="rId25"/>
          <w:footerReference w:type="default" r:id="rId26"/>
          <w:pgSz w:w="12240" w:h="15840" w:code="1"/>
          <w:pgMar w:top="1080" w:right="1080" w:bottom="1080" w:left="1080" w:header="432" w:footer="432" w:gutter="0"/>
          <w:pgNumType w:start="8"/>
          <w:cols w:space="720"/>
          <w:docGrid w:linePitch="326"/>
        </w:sectPr>
      </w:pPr>
    </w:p>
    <w:tbl>
      <w:tblPr>
        <w:tblW w:w="13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2032"/>
        <w:gridCol w:w="2953"/>
        <w:gridCol w:w="720"/>
        <w:gridCol w:w="896"/>
        <w:gridCol w:w="724"/>
        <w:gridCol w:w="892"/>
        <w:gridCol w:w="728"/>
        <w:gridCol w:w="888"/>
        <w:gridCol w:w="808"/>
        <w:gridCol w:w="842"/>
        <w:gridCol w:w="702"/>
        <w:gridCol w:w="881"/>
      </w:tblGrid>
      <w:tr w:rsidR="00B75B18" w:rsidRPr="00EB13D2" w:rsidTr="00BA0919">
        <w:trPr>
          <w:cantSplit/>
          <w:trHeight w:val="413"/>
          <w:tblHeader/>
          <w:jc w:val="center"/>
        </w:trPr>
        <w:tc>
          <w:tcPr>
            <w:tcW w:w="13066" w:type="dxa"/>
            <w:gridSpan w:val="12"/>
            <w:shd w:val="clear" w:color="auto" w:fill="FFFFCC"/>
            <w:vAlign w:val="center"/>
          </w:tcPr>
          <w:p w:rsidR="00B75B18" w:rsidRPr="00630216" w:rsidRDefault="00B75B18" w:rsidP="00B75B18">
            <w:pPr>
              <w:contextualSpacing/>
              <w:jc w:val="center"/>
              <w:rPr>
                <w:b/>
                <w:bCs/>
                <w:color w:val="000000"/>
                <w:sz w:val="20"/>
                <w:szCs w:val="20"/>
              </w:rPr>
            </w:pPr>
            <w:r w:rsidRPr="00537201">
              <w:rPr>
                <w:b/>
                <w:bCs/>
                <w:color w:val="000000"/>
                <w:sz w:val="22"/>
                <w:szCs w:val="22"/>
              </w:rPr>
              <w:lastRenderedPageBreak/>
              <w:br w:type="page"/>
            </w:r>
            <w:r w:rsidRPr="00537201">
              <w:rPr>
                <w:b/>
                <w:bCs/>
                <w:color w:val="000000"/>
                <w:sz w:val="22"/>
                <w:szCs w:val="22"/>
              </w:rPr>
              <w:br w:type="page"/>
            </w:r>
            <w:r w:rsidRPr="00886A25">
              <w:rPr>
                <w:b/>
                <w:bCs/>
                <w:color w:val="000000"/>
                <w:sz w:val="20"/>
                <w:szCs w:val="20"/>
                <w:shd w:val="clear" w:color="auto" w:fill="FFFFCC"/>
              </w:rPr>
              <w:t>PERFORMANCE/RESOURCES TABLE</w:t>
            </w:r>
          </w:p>
        </w:tc>
      </w:tr>
      <w:tr w:rsidR="00B75B18" w:rsidRPr="00EB13D2" w:rsidTr="00B75B18">
        <w:trPr>
          <w:cantSplit/>
          <w:trHeight w:val="350"/>
          <w:jc w:val="center"/>
        </w:trPr>
        <w:tc>
          <w:tcPr>
            <w:tcW w:w="13066" w:type="dxa"/>
            <w:gridSpan w:val="12"/>
            <w:vAlign w:val="center"/>
          </w:tcPr>
          <w:p w:rsidR="00B75B18" w:rsidRPr="00EB13D2" w:rsidRDefault="00B75B18" w:rsidP="00B75B18">
            <w:pPr>
              <w:contextualSpacing/>
              <w:rPr>
                <w:sz w:val="18"/>
                <w:szCs w:val="18"/>
              </w:rPr>
            </w:pPr>
            <w:r w:rsidRPr="00EB13D2">
              <w:rPr>
                <w:b/>
                <w:bCs/>
                <w:sz w:val="18"/>
                <w:szCs w:val="18"/>
              </w:rPr>
              <w:t xml:space="preserve">Decision Unit:   </w:t>
            </w:r>
            <w:r w:rsidRPr="00EB13D2">
              <w:rPr>
                <w:sz w:val="18"/>
                <w:szCs w:val="18"/>
              </w:rPr>
              <w:t>Counterterrorism/Counterintelligence</w:t>
            </w:r>
          </w:p>
        </w:tc>
      </w:tr>
      <w:tr w:rsidR="00B75B18" w:rsidRPr="00EB13D2" w:rsidTr="00B75B18">
        <w:trPr>
          <w:cantSplit/>
          <w:trHeight w:val="350"/>
          <w:jc w:val="center"/>
        </w:trPr>
        <w:tc>
          <w:tcPr>
            <w:tcW w:w="13066" w:type="dxa"/>
            <w:gridSpan w:val="12"/>
            <w:vAlign w:val="center"/>
          </w:tcPr>
          <w:p w:rsidR="00B75B18" w:rsidRPr="00EB13D2" w:rsidRDefault="00B75B18" w:rsidP="00B75B18">
            <w:pPr>
              <w:contextualSpacing/>
              <w:rPr>
                <w:sz w:val="18"/>
                <w:szCs w:val="18"/>
              </w:rPr>
            </w:pPr>
            <w:r w:rsidRPr="00EB13D2">
              <w:rPr>
                <w:b/>
                <w:bCs/>
                <w:sz w:val="18"/>
                <w:szCs w:val="18"/>
              </w:rPr>
              <w:t xml:space="preserve">DOJ Strategic Goal/Objective </w:t>
            </w:r>
            <w:r w:rsidRPr="00EB13D2">
              <w:rPr>
                <w:sz w:val="18"/>
                <w:szCs w:val="18"/>
              </w:rPr>
              <w:t xml:space="preserve">Goal 1: </w:t>
            </w:r>
            <w:r>
              <w:rPr>
                <w:sz w:val="18"/>
                <w:szCs w:val="18"/>
              </w:rPr>
              <w:t>Prevent Terrorism and Promote the Nation’s Security Consistent with the Rule of Law</w:t>
            </w:r>
            <w:r w:rsidRPr="00EB13D2">
              <w:rPr>
                <w:sz w:val="18"/>
                <w:szCs w:val="18"/>
              </w:rPr>
              <w:t xml:space="preserve"> (Objectives 1.1</w:t>
            </w:r>
            <w:r>
              <w:rPr>
                <w:sz w:val="18"/>
                <w:szCs w:val="18"/>
              </w:rPr>
              <w:t xml:space="preserve"> and 1.3</w:t>
            </w:r>
            <w:r w:rsidRPr="00EB13D2">
              <w:rPr>
                <w:sz w:val="18"/>
                <w:szCs w:val="18"/>
              </w:rPr>
              <w:t>)</w:t>
            </w:r>
          </w:p>
        </w:tc>
      </w:tr>
      <w:tr w:rsidR="00B75B18" w:rsidRPr="00EB13D2" w:rsidTr="00B75B18">
        <w:trPr>
          <w:cantSplit/>
          <w:jc w:val="center"/>
        </w:trPr>
        <w:tc>
          <w:tcPr>
            <w:tcW w:w="4985" w:type="dxa"/>
            <w:gridSpan w:val="2"/>
            <w:vMerge w:val="restart"/>
            <w:vAlign w:val="center"/>
          </w:tcPr>
          <w:p w:rsidR="00B75B18" w:rsidRPr="00EB13D2" w:rsidRDefault="00B75B18" w:rsidP="00B75B18">
            <w:pPr>
              <w:tabs>
                <w:tab w:val="left" w:pos="-1440"/>
              </w:tabs>
              <w:contextualSpacing/>
              <w:jc w:val="center"/>
              <w:rPr>
                <w:b/>
                <w:bCs/>
                <w:sz w:val="20"/>
                <w:szCs w:val="20"/>
              </w:rPr>
            </w:pPr>
            <w:r w:rsidRPr="00EB13D2">
              <w:rPr>
                <w:b/>
                <w:bCs/>
                <w:color w:val="000000"/>
                <w:sz w:val="18"/>
                <w:szCs w:val="18"/>
              </w:rPr>
              <w:t>WORKLOAD/ RESOURCES</w:t>
            </w:r>
          </w:p>
        </w:tc>
        <w:tc>
          <w:tcPr>
            <w:tcW w:w="1616" w:type="dxa"/>
            <w:gridSpan w:val="2"/>
            <w:tcBorders>
              <w:bottom w:val="single" w:sz="4" w:space="0" w:color="auto"/>
            </w:tcBorders>
            <w:vAlign w:val="center"/>
          </w:tcPr>
          <w:p w:rsidR="00B75B18" w:rsidRPr="00537201" w:rsidRDefault="00B75B18" w:rsidP="00B75B18">
            <w:pPr>
              <w:contextualSpacing/>
              <w:jc w:val="center"/>
              <w:rPr>
                <w:b/>
                <w:bCs/>
                <w:sz w:val="16"/>
                <w:szCs w:val="16"/>
              </w:rPr>
            </w:pPr>
            <w:r w:rsidRPr="00C07527">
              <w:rPr>
                <w:b/>
                <w:bCs/>
                <w:sz w:val="16"/>
                <w:szCs w:val="16"/>
              </w:rPr>
              <w:t>Final Target</w:t>
            </w:r>
          </w:p>
        </w:tc>
        <w:tc>
          <w:tcPr>
            <w:tcW w:w="1616" w:type="dxa"/>
            <w:gridSpan w:val="2"/>
            <w:tcBorders>
              <w:bottom w:val="single" w:sz="4" w:space="0" w:color="auto"/>
            </w:tcBorders>
            <w:vAlign w:val="center"/>
          </w:tcPr>
          <w:p w:rsidR="00B75B18" w:rsidRPr="00440991" w:rsidRDefault="00B75B18" w:rsidP="00B75B18">
            <w:pPr>
              <w:contextualSpacing/>
              <w:jc w:val="center"/>
              <w:rPr>
                <w:b/>
                <w:bCs/>
                <w:sz w:val="16"/>
                <w:szCs w:val="16"/>
              </w:rPr>
            </w:pPr>
            <w:r w:rsidRPr="00440991">
              <w:rPr>
                <w:b/>
                <w:bCs/>
                <w:sz w:val="16"/>
                <w:szCs w:val="16"/>
              </w:rPr>
              <w:t>Actual</w:t>
            </w:r>
          </w:p>
        </w:tc>
        <w:tc>
          <w:tcPr>
            <w:tcW w:w="1616" w:type="dxa"/>
            <w:gridSpan w:val="2"/>
            <w:tcBorders>
              <w:bottom w:val="single" w:sz="4" w:space="0" w:color="auto"/>
            </w:tcBorders>
            <w:vAlign w:val="center"/>
          </w:tcPr>
          <w:p w:rsidR="00B75B18" w:rsidRPr="003A622B" w:rsidRDefault="00B75B18" w:rsidP="00B75B18">
            <w:pPr>
              <w:contextualSpacing/>
              <w:jc w:val="center"/>
              <w:rPr>
                <w:b/>
                <w:bCs/>
                <w:sz w:val="16"/>
                <w:szCs w:val="16"/>
              </w:rPr>
            </w:pPr>
            <w:r w:rsidRPr="003A622B">
              <w:rPr>
                <w:b/>
                <w:bCs/>
                <w:sz w:val="16"/>
                <w:szCs w:val="16"/>
              </w:rPr>
              <w:t xml:space="preserve">Projected                 </w:t>
            </w:r>
          </w:p>
        </w:tc>
        <w:tc>
          <w:tcPr>
            <w:tcW w:w="1650" w:type="dxa"/>
            <w:gridSpan w:val="2"/>
            <w:tcBorders>
              <w:bottom w:val="single" w:sz="4" w:space="0" w:color="auto"/>
            </w:tcBorders>
            <w:vAlign w:val="center"/>
          </w:tcPr>
          <w:p w:rsidR="00B75B18" w:rsidRPr="003A622B" w:rsidRDefault="00B75B18" w:rsidP="00B75B18">
            <w:pPr>
              <w:contextualSpacing/>
              <w:jc w:val="center"/>
              <w:rPr>
                <w:b/>
                <w:bCs/>
                <w:sz w:val="16"/>
                <w:szCs w:val="16"/>
              </w:rPr>
            </w:pPr>
            <w:r w:rsidRPr="003A622B">
              <w:rPr>
                <w:b/>
                <w:bCs/>
                <w:sz w:val="16"/>
                <w:szCs w:val="16"/>
              </w:rPr>
              <w:t xml:space="preserve">Changes                      </w:t>
            </w:r>
          </w:p>
        </w:tc>
        <w:tc>
          <w:tcPr>
            <w:tcW w:w="1583" w:type="dxa"/>
            <w:gridSpan w:val="2"/>
            <w:tcBorders>
              <w:bottom w:val="single" w:sz="4" w:space="0" w:color="auto"/>
            </w:tcBorders>
            <w:vAlign w:val="center"/>
          </w:tcPr>
          <w:p w:rsidR="00B75B18" w:rsidRPr="003A622B" w:rsidRDefault="00B75B18" w:rsidP="00B75B18">
            <w:pPr>
              <w:contextualSpacing/>
              <w:jc w:val="center"/>
              <w:rPr>
                <w:sz w:val="16"/>
                <w:szCs w:val="16"/>
              </w:rPr>
            </w:pPr>
            <w:r w:rsidRPr="003A622B">
              <w:rPr>
                <w:b/>
                <w:bCs/>
                <w:sz w:val="16"/>
                <w:szCs w:val="16"/>
              </w:rPr>
              <w:t xml:space="preserve">Requested (Total) </w:t>
            </w:r>
          </w:p>
        </w:tc>
      </w:tr>
      <w:tr w:rsidR="00B75B18" w:rsidRPr="00EB13D2" w:rsidTr="00B75B18">
        <w:trPr>
          <w:cantSplit/>
          <w:jc w:val="center"/>
        </w:trPr>
        <w:tc>
          <w:tcPr>
            <w:tcW w:w="4985" w:type="dxa"/>
            <w:gridSpan w:val="2"/>
            <w:vMerge/>
            <w:vAlign w:val="center"/>
          </w:tcPr>
          <w:p w:rsidR="00B75B18" w:rsidRPr="00EB13D2" w:rsidRDefault="00B75B18" w:rsidP="00B75B18">
            <w:pPr>
              <w:tabs>
                <w:tab w:val="left" w:pos="-1440"/>
              </w:tabs>
              <w:contextualSpacing/>
              <w:jc w:val="center"/>
              <w:rPr>
                <w:b/>
                <w:bCs/>
                <w:sz w:val="16"/>
                <w:szCs w:val="16"/>
              </w:rPr>
            </w:pPr>
          </w:p>
        </w:tc>
        <w:tc>
          <w:tcPr>
            <w:tcW w:w="1616" w:type="dxa"/>
            <w:gridSpan w:val="2"/>
            <w:shd w:val="clear" w:color="auto" w:fill="FFAC99"/>
            <w:vAlign w:val="center"/>
          </w:tcPr>
          <w:p w:rsidR="00B75B18" w:rsidRPr="00537201" w:rsidRDefault="00B75B18" w:rsidP="00B75B18">
            <w:pPr>
              <w:contextualSpacing/>
              <w:jc w:val="center"/>
              <w:rPr>
                <w:b/>
                <w:bCs/>
                <w:sz w:val="16"/>
                <w:szCs w:val="16"/>
              </w:rPr>
            </w:pPr>
            <w:r w:rsidRPr="00C07527">
              <w:rPr>
                <w:b/>
                <w:bCs/>
                <w:sz w:val="16"/>
                <w:szCs w:val="16"/>
              </w:rPr>
              <w:t xml:space="preserve">FY </w:t>
            </w:r>
            <w:r>
              <w:rPr>
                <w:b/>
                <w:bCs/>
                <w:sz w:val="16"/>
                <w:szCs w:val="16"/>
              </w:rPr>
              <w:t>2011</w:t>
            </w:r>
          </w:p>
        </w:tc>
        <w:tc>
          <w:tcPr>
            <w:tcW w:w="1616" w:type="dxa"/>
            <w:gridSpan w:val="2"/>
            <w:shd w:val="clear" w:color="auto" w:fill="FFAC99"/>
            <w:vAlign w:val="center"/>
          </w:tcPr>
          <w:p w:rsidR="00B75B18" w:rsidRPr="00537201" w:rsidRDefault="00B75B18" w:rsidP="00B75B18">
            <w:pPr>
              <w:contextualSpacing/>
              <w:jc w:val="center"/>
              <w:rPr>
                <w:b/>
                <w:bCs/>
                <w:sz w:val="16"/>
                <w:szCs w:val="16"/>
              </w:rPr>
            </w:pPr>
            <w:r w:rsidRPr="00C07527">
              <w:rPr>
                <w:b/>
                <w:bCs/>
                <w:sz w:val="16"/>
                <w:szCs w:val="16"/>
              </w:rPr>
              <w:t xml:space="preserve">FY </w:t>
            </w:r>
            <w:r>
              <w:rPr>
                <w:b/>
                <w:bCs/>
                <w:sz w:val="16"/>
                <w:szCs w:val="16"/>
              </w:rPr>
              <w:t>2011</w:t>
            </w:r>
          </w:p>
        </w:tc>
        <w:tc>
          <w:tcPr>
            <w:tcW w:w="1616" w:type="dxa"/>
            <w:gridSpan w:val="2"/>
            <w:shd w:val="clear" w:color="auto" w:fill="FFAC99"/>
            <w:vAlign w:val="center"/>
          </w:tcPr>
          <w:p w:rsidR="00B75B18" w:rsidRDefault="00B75B18" w:rsidP="00B75B18">
            <w:pPr>
              <w:contextualSpacing/>
              <w:jc w:val="center"/>
              <w:rPr>
                <w:b/>
                <w:bCs/>
                <w:i/>
                <w:iCs/>
                <w:color w:val="4F81BD"/>
                <w:sz w:val="16"/>
                <w:szCs w:val="16"/>
              </w:rPr>
            </w:pPr>
            <w:r>
              <w:rPr>
                <w:b/>
                <w:bCs/>
                <w:sz w:val="16"/>
                <w:szCs w:val="16"/>
              </w:rPr>
              <w:t>FY 2012 Projected</w:t>
            </w:r>
          </w:p>
        </w:tc>
        <w:tc>
          <w:tcPr>
            <w:tcW w:w="1650" w:type="dxa"/>
            <w:gridSpan w:val="2"/>
            <w:shd w:val="clear" w:color="auto" w:fill="FFAC99"/>
            <w:vAlign w:val="center"/>
          </w:tcPr>
          <w:p w:rsidR="0098208F" w:rsidRDefault="00B75B18" w:rsidP="00B75B18">
            <w:pPr>
              <w:contextualSpacing/>
              <w:jc w:val="center"/>
              <w:rPr>
                <w:b/>
                <w:bCs/>
                <w:sz w:val="16"/>
                <w:szCs w:val="16"/>
              </w:rPr>
            </w:pPr>
            <w:r w:rsidRPr="00C07527">
              <w:rPr>
                <w:b/>
                <w:bCs/>
                <w:sz w:val="16"/>
                <w:szCs w:val="16"/>
              </w:rPr>
              <w:t>Curre</w:t>
            </w:r>
            <w:r>
              <w:rPr>
                <w:b/>
                <w:bCs/>
                <w:sz w:val="16"/>
                <w:szCs w:val="16"/>
              </w:rPr>
              <w:t xml:space="preserve">nt Services Adjustments &amp; </w:t>
            </w:r>
          </w:p>
          <w:p w:rsidR="00B75B18" w:rsidRPr="00537201" w:rsidRDefault="00B75B18" w:rsidP="00B75B18">
            <w:pPr>
              <w:contextualSpacing/>
              <w:jc w:val="center"/>
              <w:rPr>
                <w:b/>
                <w:bCs/>
                <w:sz w:val="16"/>
                <w:szCs w:val="16"/>
              </w:rPr>
            </w:pPr>
            <w:r>
              <w:rPr>
                <w:b/>
                <w:bCs/>
                <w:sz w:val="16"/>
                <w:szCs w:val="16"/>
              </w:rPr>
              <w:t>FY</w:t>
            </w:r>
            <w:r w:rsidR="0098208F">
              <w:rPr>
                <w:b/>
                <w:bCs/>
                <w:sz w:val="16"/>
                <w:szCs w:val="16"/>
              </w:rPr>
              <w:t xml:space="preserve"> </w:t>
            </w:r>
            <w:r>
              <w:rPr>
                <w:b/>
                <w:bCs/>
                <w:sz w:val="16"/>
                <w:szCs w:val="16"/>
              </w:rPr>
              <w:t>2013</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583" w:type="dxa"/>
            <w:gridSpan w:val="2"/>
            <w:shd w:val="clear" w:color="auto" w:fill="FFAC99"/>
            <w:vAlign w:val="center"/>
          </w:tcPr>
          <w:p w:rsidR="00B75B18" w:rsidRPr="00537201" w:rsidRDefault="00B75B18" w:rsidP="00B75B18">
            <w:pPr>
              <w:contextualSpacing/>
              <w:jc w:val="center"/>
              <w:rPr>
                <w:b/>
                <w:bCs/>
                <w:sz w:val="16"/>
                <w:szCs w:val="16"/>
              </w:rPr>
            </w:pPr>
            <w:r w:rsidRPr="00C07527">
              <w:rPr>
                <w:b/>
                <w:bCs/>
                <w:sz w:val="16"/>
                <w:szCs w:val="16"/>
              </w:rPr>
              <w:t>FY 20</w:t>
            </w:r>
            <w:r>
              <w:rPr>
                <w:b/>
                <w:bCs/>
                <w:sz w:val="16"/>
                <w:szCs w:val="16"/>
              </w:rPr>
              <w:t>13</w:t>
            </w:r>
            <w:r w:rsidRPr="00C07527">
              <w:rPr>
                <w:b/>
                <w:bCs/>
                <w:sz w:val="16"/>
                <w:szCs w:val="16"/>
              </w:rPr>
              <w:t xml:space="preserve"> Request</w:t>
            </w:r>
          </w:p>
        </w:tc>
      </w:tr>
      <w:tr w:rsidR="00B75B18" w:rsidRPr="00EB13D2" w:rsidTr="00B75B18">
        <w:trPr>
          <w:cantSplit/>
          <w:jc w:val="center"/>
        </w:trPr>
        <w:tc>
          <w:tcPr>
            <w:tcW w:w="4985" w:type="dxa"/>
            <w:gridSpan w:val="2"/>
          </w:tcPr>
          <w:p w:rsidR="00B75B18" w:rsidRPr="00EB13D2" w:rsidRDefault="00B75B18" w:rsidP="00B75B18">
            <w:pPr>
              <w:contextualSpacing/>
              <w:rPr>
                <w:sz w:val="18"/>
                <w:szCs w:val="18"/>
              </w:rPr>
            </w:pPr>
            <w:r w:rsidRPr="00EB13D2">
              <w:rPr>
                <w:sz w:val="18"/>
                <w:szCs w:val="18"/>
              </w:rPr>
              <w:t>Number of Cases:  Counterterrorism, Counterintelligence, &amp; Computer Intrusions</w:t>
            </w:r>
          </w:p>
        </w:tc>
        <w:tc>
          <w:tcPr>
            <w:tcW w:w="1616" w:type="dxa"/>
            <w:gridSpan w:val="2"/>
            <w:vAlign w:val="center"/>
          </w:tcPr>
          <w:p w:rsidR="00B75B18" w:rsidRPr="00EB13D2" w:rsidRDefault="00B75B18" w:rsidP="00B75B18">
            <w:pPr>
              <w:contextualSpacing/>
              <w:jc w:val="right"/>
              <w:rPr>
                <w:sz w:val="16"/>
                <w:szCs w:val="26"/>
              </w:rPr>
            </w:pPr>
            <w:r w:rsidRPr="00EB13D2">
              <w:rPr>
                <w:sz w:val="16"/>
                <w:szCs w:val="26"/>
              </w:rPr>
              <w:t>†</w:t>
            </w:r>
          </w:p>
        </w:tc>
        <w:tc>
          <w:tcPr>
            <w:tcW w:w="1616" w:type="dxa"/>
            <w:gridSpan w:val="2"/>
            <w:vAlign w:val="center"/>
          </w:tcPr>
          <w:p w:rsidR="00B75B18" w:rsidRPr="00610FAC" w:rsidRDefault="00B75B18" w:rsidP="00B75B18">
            <w:pPr>
              <w:contextualSpacing/>
              <w:jc w:val="right"/>
              <w:rPr>
                <w:sz w:val="16"/>
                <w:szCs w:val="26"/>
              </w:rPr>
            </w:pPr>
            <w:r w:rsidRPr="00B67BA4">
              <w:rPr>
                <w:sz w:val="16"/>
                <w:szCs w:val="26"/>
              </w:rPr>
              <w:t>30,806</w:t>
            </w:r>
          </w:p>
        </w:tc>
        <w:tc>
          <w:tcPr>
            <w:tcW w:w="1616" w:type="dxa"/>
            <w:gridSpan w:val="2"/>
            <w:vAlign w:val="center"/>
          </w:tcPr>
          <w:p w:rsidR="00B75B18" w:rsidRPr="00EB13D2" w:rsidRDefault="00B75B18" w:rsidP="00B75B18">
            <w:pPr>
              <w:contextualSpacing/>
              <w:jc w:val="right"/>
              <w:rPr>
                <w:sz w:val="16"/>
                <w:szCs w:val="26"/>
              </w:rPr>
            </w:pPr>
            <w:r w:rsidRPr="00EB13D2">
              <w:rPr>
                <w:sz w:val="16"/>
                <w:szCs w:val="26"/>
              </w:rPr>
              <w:t>†</w:t>
            </w:r>
          </w:p>
        </w:tc>
        <w:tc>
          <w:tcPr>
            <w:tcW w:w="1650" w:type="dxa"/>
            <w:gridSpan w:val="2"/>
            <w:vAlign w:val="center"/>
          </w:tcPr>
          <w:p w:rsidR="00B75B18" w:rsidRPr="00EB13D2" w:rsidRDefault="00B75B18" w:rsidP="00B75B18">
            <w:pPr>
              <w:contextualSpacing/>
              <w:jc w:val="right"/>
              <w:rPr>
                <w:sz w:val="16"/>
                <w:szCs w:val="26"/>
              </w:rPr>
            </w:pPr>
            <w:r w:rsidRPr="00EB13D2">
              <w:rPr>
                <w:sz w:val="16"/>
                <w:szCs w:val="26"/>
              </w:rPr>
              <w:t>†</w:t>
            </w:r>
          </w:p>
        </w:tc>
        <w:tc>
          <w:tcPr>
            <w:tcW w:w="1583" w:type="dxa"/>
            <w:gridSpan w:val="2"/>
            <w:vAlign w:val="center"/>
          </w:tcPr>
          <w:p w:rsidR="00B75B18" w:rsidRPr="00EB13D2" w:rsidRDefault="00B75B18" w:rsidP="00B75B18">
            <w:pPr>
              <w:contextualSpacing/>
              <w:jc w:val="right"/>
              <w:rPr>
                <w:sz w:val="16"/>
                <w:szCs w:val="26"/>
              </w:rPr>
            </w:pPr>
            <w:r w:rsidRPr="00EB13D2">
              <w:rPr>
                <w:sz w:val="16"/>
                <w:szCs w:val="26"/>
              </w:rPr>
              <w:t>†</w:t>
            </w:r>
          </w:p>
        </w:tc>
      </w:tr>
      <w:tr w:rsidR="00B75B18" w:rsidRPr="00EB13D2" w:rsidTr="00B75B18">
        <w:trPr>
          <w:cantSplit/>
          <w:jc w:val="center"/>
        </w:trPr>
        <w:tc>
          <w:tcPr>
            <w:tcW w:w="4985" w:type="dxa"/>
            <w:gridSpan w:val="2"/>
          </w:tcPr>
          <w:p w:rsidR="00B75B18" w:rsidRPr="00EB13D2" w:rsidRDefault="00B75B18" w:rsidP="00B75B18">
            <w:pPr>
              <w:contextualSpacing/>
              <w:rPr>
                <w:sz w:val="18"/>
                <w:szCs w:val="18"/>
              </w:rPr>
            </w:pPr>
            <w:r w:rsidRPr="00EB13D2">
              <w:rPr>
                <w:sz w:val="18"/>
                <w:szCs w:val="18"/>
              </w:rPr>
              <w:t>Positive encounters with subjects through screening process</w:t>
            </w:r>
          </w:p>
        </w:tc>
        <w:tc>
          <w:tcPr>
            <w:tcW w:w="1616" w:type="dxa"/>
            <w:gridSpan w:val="2"/>
            <w:tcBorders>
              <w:bottom w:val="single" w:sz="4" w:space="0" w:color="auto"/>
            </w:tcBorders>
            <w:vAlign w:val="center"/>
          </w:tcPr>
          <w:p w:rsidR="00B75B18" w:rsidRPr="00EB13D2" w:rsidRDefault="00B75B18" w:rsidP="00B75B18">
            <w:pPr>
              <w:tabs>
                <w:tab w:val="left" w:pos="-1440"/>
              </w:tabs>
              <w:contextualSpacing/>
              <w:jc w:val="right"/>
              <w:rPr>
                <w:sz w:val="16"/>
                <w:szCs w:val="16"/>
              </w:rPr>
            </w:pPr>
            <w:r>
              <w:rPr>
                <w:sz w:val="16"/>
                <w:szCs w:val="16"/>
              </w:rPr>
              <w:t>N/A</w:t>
            </w:r>
          </w:p>
        </w:tc>
        <w:tc>
          <w:tcPr>
            <w:tcW w:w="1616" w:type="dxa"/>
            <w:gridSpan w:val="2"/>
            <w:tcBorders>
              <w:bottom w:val="single" w:sz="4" w:space="0" w:color="auto"/>
            </w:tcBorders>
            <w:vAlign w:val="center"/>
          </w:tcPr>
          <w:p w:rsidR="00B75B18" w:rsidRDefault="00B75B18" w:rsidP="00B75B18">
            <w:pPr>
              <w:tabs>
                <w:tab w:val="left" w:pos="-1440"/>
              </w:tabs>
              <w:contextualSpacing/>
              <w:jc w:val="right"/>
              <w:rPr>
                <w:sz w:val="16"/>
                <w:szCs w:val="16"/>
                <w:highlight w:val="yellow"/>
              </w:rPr>
            </w:pPr>
            <w:r w:rsidRPr="00B67BA4">
              <w:rPr>
                <w:sz w:val="16"/>
                <w:szCs w:val="16"/>
              </w:rPr>
              <w:t>20,806</w:t>
            </w:r>
          </w:p>
        </w:tc>
        <w:tc>
          <w:tcPr>
            <w:tcW w:w="1616" w:type="dxa"/>
            <w:gridSpan w:val="2"/>
            <w:tcBorders>
              <w:bottom w:val="single" w:sz="4" w:space="0" w:color="auto"/>
            </w:tcBorders>
            <w:vAlign w:val="center"/>
          </w:tcPr>
          <w:p w:rsidR="00B75B18" w:rsidRPr="00EB13D2" w:rsidRDefault="00B75B18" w:rsidP="00B75B18">
            <w:pPr>
              <w:tabs>
                <w:tab w:val="left" w:pos="-1440"/>
              </w:tabs>
              <w:contextualSpacing/>
              <w:jc w:val="right"/>
              <w:rPr>
                <w:sz w:val="16"/>
                <w:szCs w:val="16"/>
              </w:rPr>
            </w:pPr>
            <w:r>
              <w:rPr>
                <w:sz w:val="16"/>
                <w:szCs w:val="16"/>
              </w:rPr>
              <w:t>N/A</w:t>
            </w:r>
          </w:p>
        </w:tc>
        <w:tc>
          <w:tcPr>
            <w:tcW w:w="1650" w:type="dxa"/>
            <w:gridSpan w:val="2"/>
            <w:tcBorders>
              <w:bottom w:val="single" w:sz="4" w:space="0" w:color="auto"/>
            </w:tcBorders>
            <w:vAlign w:val="center"/>
          </w:tcPr>
          <w:p w:rsidR="00B75B18" w:rsidRPr="00EB13D2" w:rsidRDefault="00B75B18" w:rsidP="00B75B18">
            <w:pPr>
              <w:tabs>
                <w:tab w:val="left" w:pos="-1440"/>
              </w:tabs>
              <w:contextualSpacing/>
              <w:jc w:val="right"/>
              <w:rPr>
                <w:sz w:val="16"/>
                <w:szCs w:val="16"/>
              </w:rPr>
            </w:pPr>
            <w:r>
              <w:rPr>
                <w:sz w:val="16"/>
                <w:szCs w:val="16"/>
              </w:rPr>
              <w:t>N/A</w:t>
            </w:r>
          </w:p>
        </w:tc>
        <w:tc>
          <w:tcPr>
            <w:tcW w:w="1583" w:type="dxa"/>
            <w:gridSpan w:val="2"/>
            <w:tcBorders>
              <w:bottom w:val="single" w:sz="4" w:space="0" w:color="auto"/>
            </w:tcBorders>
            <w:vAlign w:val="center"/>
          </w:tcPr>
          <w:p w:rsidR="00B75B18" w:rsidRPr="00EB13D2" w:rsidRDefault="00B75B18" w:rsidP="00B75B18">
            <w:pPr>
              <w:tabs>
                <w:tab w:val="left" w:pos="-1440"/>
              </w:tabs>
              <w:contextualSpacing/>
              <w:jc w:val="right"/>
              <w:rPr>
                <w:sz w:val="16"/>
                <w:szCs w:val="16"/>
              </w:rPr>
            </w:pPr>
            <w:r>
              <w:rPr>
                <w:sz w:val="16"/>
                <w:szCs w:val="16"/>
              </w:rPr>
              <w:t>N/A</w:t>
            </w:r>
          </w:p>
        </w:tc>
      </w:tr>
      <w:tr w:rsidR="00B75B18" w:rsidRPr="00EB13D2" w:rsidTr="00B75B18">
        <w:trPr>
          <w:cantSplit/>
          <w:trHeight w:val="237"/>
          <w:jc w:val="center"/>
        </w:trPr>
        <w:tc>
          <w:tcPr>
            <w:tcW w:w="4985" w:type="dxa"/>
            <w:gridSpan w:val="2"/>
            <w:vMerge w:val="restart"/>
            <w:vAlign w:val="center"/>
          </w:tcPr>
          <w:p w:rsidR="00B75B18" w:rsidRPr="00EB13D2" w:rsidRDefault="00B75B18" w:rsidP="00B75B18">
            <w:pPr>
              <w:contextualSpacing/>
              <w:rPr>
                <w:b/>
                <w:bCs/>
                <w:sz w:val="18"/>
                <w:szCs w:val="18"/>
              </w:rPr>
            </w:pPr>
            <w:r w:rsidRPr="00EB13D2">
              <w:rPr>
                <w:b/>
                <w:bCs/>
                <w:sz w:val="18"/>
                <w:szCs w:val="18"/>
              </w:rPr>
              <w:t>Total Costs and FTE</w:t>
            </w:r>
          </w:p>
        </w:tc>
        <w:tc>
          <w:tcPr>
            <w:tcW w:w="720"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6"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4"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80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4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0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1"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r>
      <w:tr w:rsidR="00B75B18" w:rsidRPr="00EB13D2" w:rsidTr="00B75B18">
        <w:trPr>
          <w:cantSplit/>
          <w:trHeight w:val="75"/>
          <w:jc w:val="center"/>
        </w:trPr>
        <w:tc>
          <w:tcPr>
            <w:tcW w:w="4985" w:type="dxa"/>
            <w:gridSpan w:val="2"/>
            <w:vMerge/>
          </w:tcPr>
          <w:p w:rsidR="00B75B18" w:rsidRPr="00EB13D2" w:rsidRDefault="00B75B18" w:rsidP="00B75B18">
            <w:pPr>
              <w:tabs>
                <w:tab w:val="left" w:pos="-1440"/>
              </w:tabs>
              <w:contextualSpacing/>
              <w:jc w:val="center"/>
              <w:rPr>
                <w:sz w:val="16"/>
                <w:szCs w:val="16"/>
              </w:rPr>
            </w:pPr>
          </w:p>
        </w:tc>
        <w:tc>
          <w:tcPr>
            <w:tcW w:w="720" w:type="dxa"/>
            <w:tcBorders>
              <w:bottom w:val="single" w:sz="4" w:space="0" w:color="auto"/>
            </w:tcBorders>
            <w:vAlign w:val="center"/>
          </w:tcPr>
          <w:p w:rsidR="00B75B18" w:rsidRPr="00EB13D2" w:rsidRDefault="00B75B18" w:rsidP="00B75B18">
            <w:pPr>
              <w:contextualSpacing/>
              <w:jc w:val="center"/>
              <w:rPr>
                <w:sz w:val="16"/>
                <w:szCs w:val="16"/>
              </w:rPr>
            </w:pPr>
            <w:r>
              <w:rPr>
                <w:sz w:val="16"/>
                <w:szCs w:val="16"/>
              </w:rPr>
              <w:t>12,484</w:t>
            </w:r>
          </w:p>
        </w:tc>
        <w:tc>
          <w:tcPr>
            <w:tcW w:w="896" w:type="dxa"/>
            <w:tcBorders>
              <w:bottom w:val="single" w:sz="4" w:space="0" w:color="auto"/>
            </w:tcBorders>
            <w:vAlign w:val="center"/>
          </w:tcPr>
          <w:p w:rsidR="00B75B18" w:rsidRPr="00EB13D2" w:rsidRDefault="00B75B18" w:rsidP="00B75B18">
            <w:pPr>
              <w:contextualSpacing/>
              <w:jc w:val="right"/>
              <w:rPr>
                <w:sz w:val="16"/>
                <w:szCs w:val="16"/>
              </w:rPr>
            </w:pPr>
            <w:r>
              <w:rPr>
                <w:sz w:val="16"/>
                <w:szCs w:val="16"/>
              </w:rPr>
              <w:t>3,225,897</w:t>
            </w:r>
          </w:p>
        </w:tc>
        <w:tc>
          <w:tcPr>
            <w:tcW w:w="724" w:type="dxa"/>
            <w:tcBorders>
              <w:bottom w:val="single" w:sz="4" w:space="0" w:color="auto"/>
            </w:tcBorders>
            <w:vAlign w:val="center"/>
          </w:tcPr>
          <w:p w:rsidR="00B75B18" w:rsidRPr="00E86C58" w:rsidRDefault="00B75B18" w:rsidP="00B75B18">
            <w:pPr>
              <w:tabs>
                <w:tab w:val="left" w:pos="-1440"/>
              </w:tabs>
              <w:contextualSpacing/>
              <w:jc w:val="right"/>
              <w:rPr>
                <w:sz w:val="16"/>
                <w:szCs w:val="16"/>
                <w:highlight w:val="yellow"/>
              </w:rPr>
            </w:pPr>
            <w:r w:rsidRPr="00276B42">
              <w:rPr>
                <w:sz w:val="16"/>
                <w:szCs w:val="16"/>
              </w:rPr>
              <w:t>12,311</w:t>
            </w:r>
          </w:p>
        </w:tc>
        <w:tc>
          <w:tcPr>
            <w:tcW w:w="892" w:type="dxa"/>
            <w:tcBorders>
              <w:bottom w:val="single" w:sz="4" w:space="0" w:color="auto"/>
            </w:tcBorders>
            <w:vAlign w:val="center"/>
          </w:tcPr>
          <w:p w:rsidR="00B75B18" w:rsidRPr="00E86C58" w:rsidRDefault="00B75B18" w:rsidP="00B75B18">
            <w:pPr>
              <w:tabs>
                <w:tab w:val="left" w:pos="-1440"/>
              </w:tabs>
              <w:contextualSpacing/>
              <w:jc w:val="right"/>
              <w:rPr>
                <w:sz w:val="16"/>
                <w:szCs w:val="16"/>
                <w:highlight w:val="yellow"/>
              </w:rPr>
            </w:pPr>
            <w:r w:rsidRPr="00276B42">
              <w:rPr>
                <w:sz w:val="16"/>
                <w:szCs w:val="16"/>
              </w:rPr>
              <w:t>3,383,000</w:t>
            </w:r>
          </w:p>
        </w:tc>
        <w:tc>
          <w:tcPr>
            <w:tcW w:w="728" w:type="dxa"/>
            <w:tcBorders>
              <w:bottom w:val="single" w:sz="4" w:space="0" w:color="auto"/>
            </w:tcBorders>
            <w:vAlign w:val="center"/>
          </w:tcPr>
          <w:p w:rsidR="00B75B18" w:rsidRPr="00EB13D2" w:rsidRDefault="00B75B18" w:rsidP="00B75B18">
            <w:pPr>
              <w:contextualSpacing/>
              <w:jc w:val="center"/>
              <w:rPr>
                <w:sz w:val="16"/>
                <w:szCs w:val="16"/>
              </w:rPr>
            </w:pPr>
            <w:r>
              <w:rPr>
                <w:sz w:val="16"/>
                <w:szCs w:val="16"/>
              </w:rPr>
              <w:t>12,474</w:t>
            </w:r>
          </w:p>
        </w:tc>
        <w:tc>
          <w:tcPr>
            <w:tcW w:w="888" w:type="dxa"/>
            <w:tcBorders>
              <w:bottom w:val="single" w:sz="4" w:space="0" w:color="auto"/>
            </w:tcBorders>
            <w:vAlign w:val="center"/>
          </w:tcPr>
          <w:p w:rsidR="00B75B18" w:rsidRPr="00EB13D2" w:rsidRDefault="00B75B18" w:rsidP="00B75B18">
            <w:pPr>
              <w:pStyle w:val="Title"/>
              <w:ind w:left="-96"/>
              <w:contextualSpacing/>
              <w:jc w:val="right"/>
              <w:rPr>
                <w:b w:val="0"/>
                <w:bCs/>
                <w:i w:val="0"/>
                <w:sz w:val="16"/>
                <w:szCs w:val="16"/>
              </w:rPr>
            </w:pPr>
            <w:r>
              <w:rPr>
                <w:b w:val="0"/>
                <w:bCs/>
                <w:i w:val="0"/>
                <w:sz w:val="16"/>
                <w:szCs w:val="16"/>
              </w:rPr>
              <w:t>3,229,096</w:t>
            </w:r>
          </w:p>
        </w:tc>
        <w:tc>
          <w:tcPr>
            <w:tcW w:w="808" w:type="dxa"/>
            <w:tcBorders>
              <w:bottom w:val="single" w:sz="4" w:space="0" w:color="auto"/>
            </w:tcBorders>
            <w:vAlign w:val="center"/>
          </w:tcPr>
          <w:p w:rsidR="00B75B18" w:rsidRPr="00EB13D2" w:rsidRDefault="00B75B18" w:rsidP="00B75B18">
            <w:pPr>
              <w:tabs>
                <w:tab w:val="left" w:pos="-1440"/>
              </w:tabs>
              <w:contextualSpacing/>
              <w:jc w:val="center"/>
              <w:rPr>
                <w:sz w:val="16"/>
                <w:szCs w:val="16"/>
              </w:rPr>
            </w:pPr>
            <w:r>
              <w:rPr>
                <w:sz w:val="16"/>
                <w:szCs w:val="16"/>
              </w:rPr>
              <w:t>72</w:t>
            </w:r>
          </w:p>
        </w:tc>
        <w:tc>
          <w:tcPr>
            <w:tcW w:w="842" w:type="dxa"/>
            <w:tcBorders>
              <w:bottom w:val="single" w:sz="4" w:space="0" w:color="auto"/>
            </w:tcBorders>
            <w:vAlign w:val="center"/>
          </w:tcPr>
          <w:p w:rsidR="00B75B18" w:rsidRPr="00EB13D2" w:rsidRDefault="00B75B18" w:rsidP="00B75B18">
            <w:pPr>
              <w:tabs>
                <w:tab w:val="left" w:pos="-1440"/>
              </w:tabs>
              <w:contextualSpacing/>
              <w:jc w:val="center"/>
              <w:rPr>
                <w:sz w:val="16"/>
                <w:szCs w:val="16"/>
              </w:rPr>
            </w:pPr>
            <w:r>
              <w:rPr>
                <w:sz w:val="16"/>
                <w:szCs w:val="16"/>
              </w:rPr>
              <w:t>70,918</w:t>
            </w:r>
          </w:p>
        </w:tc>
        <w:tc>
          <w:tcPr>
            <w:tcW w:w="702" w:type="dxa"/>
            <w:tcBorders>
              <w:bottom w:val="single" w:sz="4" w:space="0" w:color="auto"/>
            </w:tcBorders>
            <w:vAlign w:val="center"/>
          </w:tcPr>
          <w:p w:rsidR="00B75B18" w:rsidRPr="00EB13D2" w:rsidRDefault="00B75B18" w:rsidP="00B75B18">
            <w:pPr>
              <w:contextualSpacing/>
              <w:jc w:val="center"/>
              <w:rPr>
                <w:sz w:val="16"/>
                <w:szCs w:val="16"/>
              </w:rPr>
            </w:pPr>
            <w:r>
              <w:rPr>
                <w:sz w:val="16"/>
                <w:szCs w:val="16"/>
              </w:rPr>
              <w:t>12,546</w:t>
            </w:r>
          </w:p>
        </w:tc>
        <w:tc>
          <w:tcPr>
            <w:tcW w:w="881" w:type="dxa"/>
            <w:tcBorders>
              <w:bottom w:val="single" w:sz="4" w:space="0" w:color="auto"/>
            </w:tcBorders>
            <w:vAlign w:val="center"/>
          </w:tcPr>
          <w:p w:rsidR="00B75B18" w:rsidRPr="00EB13D2" w:rsidRDefault="00B75B18" w:rsidP="00B75B18">
            <w:pPr>
              <w:pStyle w:val="Title"/>
              <w:ind w:left="-96"/>
              <w:contextualSpacing/>
              <w:jc w:val="right"/>
              <w:rPr>
                <w:b w:val="0"/>
                <w:bCs/>
                <w:i w:val="0"/>
                <w:sz w:val="16"/>
                <w:szCs w:val="16"/>
              </w:rPr>
            </w:pPr>
            <w:r>
              <w:rPr>
                <w:b w:val="0"/>
                <w:bCs/>
                <w:i w:val="0"/>
                <w:sz w:val="16"/>
                <w:szCs w:val="16"/>
              </w:rPr>
              <w:t>3,300,014</w:t>
            </w:r>
          </w:p>
        </w:tc>
      </w:tr>
      <w:tr w:rsidR="00B75B18" w:rsidRPr="00EB13D2" w:rsidTr="00B75B18">
        <w:trPr>
          <w:cantSplit/>
          <w:jc w:val="center"/>
        </w:trPr>
        <w:tc>
          <w:tcPr>
            <w:tcW w:w="2032" w:type="dxa"/>
            <w:vAlign w:val="center"/>
          </w:tcPr>
          <w:p w:rsidR="00B75B18" w:rsidRPr="00EB13D2" w:rsidRDefault="00B75B18" w:rsidP="00B75B18">
            <w:pPr>
              <w:tabs>
                <w:tab w:val="left" w:pos="-1440"/>
              </w:tabs>
              <w:contextualSpacing/>
              <w:rPr>
                <w:b/>
                <w:bCs/>
                <w:sz w:val="16"/>
                <w:szCs w:val="16"/>
              </w:rPr>
            </w:pPr>
            <w:r w:rsidRPr="00EB13D2">
              <w:rPr>
                <w:b/>
                <w:bCs/>
                <w:sz w:val="16"/>
                <w:szCs w:val="16"/>
              </w:rPr>
              <w:t>TYPE/</w:t>
            </w:r>
          </w:p>
          <w:p w:rsidR="00B75B18" w:rsidRPr="00EB13D2" w:rsidRDefault="00B75B18" w:rsidP="00B75B18">
            <w:pPr>
              <w:tabs>
                <w:tab w:val="left" w:pos="-1440"/>
              </w:tabs>
              <w:contextualSpacing/>
              <w:rPr>
                <w:sz w:val="16"/>
                <w:szCs w:val="16"/>
              </w:rPr>
            </w:pPr>
            <w:r w:rsidRPr="00EB13D2">
              <w:rPr>
                <w:b/>
                <w:bCs/>
                <w:sz w:val="16"/>
                <w:szCs w:val="16"/>
              </w:rPr>
              <w:t>STRATEGIC OBJECTIVE</w:t>
            </w:r>
          </w:p>
        </w:tc>
        <w:tc>
          <w:tcPr>
            <w:tcW w:w="2953" w:type="dxa"/>
            <w:vAlign w:val="center"/>
          </w:tcPr>
          <w:p w:rsidR="00B75B18" w:rsidRPr="00EB13D2" w:rsidRDefault="00B75B18" w:rsidP="00B75B18">
            <w:pPr>
              <w:tabs>
                <w:tab w:val="left" w:pos="-1440"/>
              </w:tabs>
              <w:contextualSpacing/>
              <w:jc w:val="center"/>
              <w:rPr>
                <w:sz w:val="16"/>
                <w:szCs w:val="16"/>
              </w:rPr>
            </w:pPr>
            <w:r w:rsidRPr="00EB13D2">
              <w:rPr>
                <w:b/>
                <w:bCs/>
                <w:sz w:val="16"/>
                <w:szCs w:val="16"/>
              </w:rPr>
              <w:t>PERFORMANCE</w:t>
            </w:r>
          </w:p>
        </w:tc>
        <w:tc>
          <w:tcPr>
            <w:tcW w:w="1616" w:type="dxa"/>
            <w:gridSpan w:val="2"/>
            <w:tcBorders>
              <w:bottom w:val="single" w:sz="4" w:space="0" w:color="auto"/>
            </w:tcBorders>
            <w:shd w:val="clear" w:color="auto" w:fill="FFAC99"/>
            <w:vAlign w:val="center"/>
          </w:tcPr>
          <w:p w:rsidR="00B75B18" w:rsidRPr="00537201" w:rsidRDefault="00B75B18" w:rsidP="00B75B18">
            <w:pPr>
              <w:contextualSpacing/>
              <w:jc w:val="center"/>
              <w:rPr>
                <w:b/>
                <w:bCs/>
                <w:sz w:val="16"/>
                <w:szCs w:val="16"/>
              </w:rPr>
            </w:pPr>
            <w:r w:rsidRPr="00C07527">
              <w:rPr>
                <w:b/>
                <w:bCs/>
                <w:sz w:val="16"/>
                <w:szCs w:val="16"/>
              </w:rPr>
              <w:t xml:space="preserve">FY </w:t>
            </w:r>
            <w:r>
              <w:rPr>
                <w:b/>
                <w:bCs/>
                <w:sz w:val="16"/>
                <w:szCs w:val="16"/>
              </w:rPr>
              <w:t>2011</w:t>
            </w:r>
          </w:p>
        </w:tc>
        <w:tc>
          <w:tcPr>
            <w:tcW w:w="1616" w:type="dxa"/>
            <w:gridSpan w:val="2"/>
            <w:tcBorders>
              <w:bottom w:val="single" w:sz="4" w:space="0" w:color="auto"/>
            </w:tcBorders>
            <w:shd w:val="clear" w:color="auto" w:fill="FFAC99"/>
            <w:vAlign w:val="center"/>
          </w:tcPr>
          <w:p w:rsidR="00B75B18" w:rsidRPr="00537201" w:rsidRDefault="00B75B18" w:rsidP="00B75B18">
            <w:pPr>
              <w:contextualSpacing/>
              <w:jc w:val="center"/>
              <w:rPr>
                <w:b/>
                <w:bCs/>
                <w:sz w:val="16"/>
                <w:szCs w:val="16"/>
              </w:rPr>
            </w:pPr>
            <w:r w:rsidRPr="00C07527">
              <w:rPr>
                <w:b/>
                <w:bCs/>
                <w:sz w:val="16"/>
                <w:szCs w:val="16"/>
              </w:rPr>
              <w:t xml:space="preserve">FY </w:t>
            </w:r>
            <w:r>
              <w:rPr>
                <w:b/>
                <w:bCs/>
                <w:sz w:val="16"/>
                <w:szCs w:val="16"/>
              </w:rPr>
              <w:t>2011</w:t>
            </w:r>
          </w:p>
        </w:tc>
        <w:tc>
          <w:tcPr>
            <w:tcW w:w="1616" w:type="dxa"/>
            <w:gridSpan w:val="2"/>
            <w:tcBorders>
              <w:bottom w:val="single" w:sz="4" w:space="0" w:color="auto"/>
            </w:tcBorders>
            <w:shd w:val="clear" w:color="auto" w:fill="FFAC99"/>
            <w:vAlign w:val="center"/>
          </w:tcPr>
          <w:p w:rsidR="00B75B18" w:rsidRDefault="00B75B18" w:rsidP="00B75B18">
            <w:pPr>
              <w:contextualSpacing/>
              <w:jc w:val="center"/>
              <w:rPr>
                <w:b/>
                <w:bCs/>
                <w:sz w:val="16"/>
                <w:szCs w:val="16"/>
              </w:rPr>
            </w:pPr>
            <w:r>
              <w:rPr>
                <w:b/>
                <w:bCs/>
                <w:sz w:val="16"/>
                <w:szCs w:val="16"/>
              </w:rPr>
              <w:t>FY 2012 Projected</w:t>
            </w:r>
          </w:p>
        </w:tc>
        <w:tc>
          <w:tcPr>
            <w:tcW w:w="1650" w:type="dxa"/>
            <w:gridSpan w:val="2"/>
            <w:tcBorders>
              <w:bottom w:val="single" w:sz="4" w:space="0" w:color="auto"/>
            </w:tcBorders>
            <w:shd w:val="clear" w:color="auto" w:fill="FFAC99"/>
            <w:vAlign w:val="center"/>
          </w:tcPr>
          <w:p w:rsidR="0098208F" w:rsidRDefault="00B75B18" w:rsidP="00B75B18">
            <w:pPr>
              <w:contextualSpacing/>
              <w:jc w:val="center"/>
              <w:rPr>
                <w:b/>
                <w:bCs/>
                <w:sz w:val="16"/>
                <w:szCs w:val="16"/>
              </w:rPr>
            </w:pPr>
            <w:r w:rsidRPr="00C07527">
              <w:rPr>
                <w:b/>
                <w:bCs/>
                <w:sz w:val="16"/>
                <w:szCs w:val="16"/>
              </w:rPr>
              <w:t>Curre</w:t>
            </w:r>
            <w:r>
              <w:rPr>
                <w:b/>
                <w:bCs/>
                <w:sz w:val="16"/>
                <w:szCs w:val="16"/>
              </w:rPr>
              <w:t xml:space="preserve">nt Services Adjustments &amp; </w:t>
            </w:r>
          </w:p>
          <w:p w:rsidR="00B75B18" w:rsidRPr="00537201" w:rsidRDefault="00B75B18" w:rsidP="00B75B18">
            <w:pPr>
              <w:contextualSpacing/>
              <w:jc w:val="center"/>
              <w:rPr>
                <w:b/>
                <w:bCs/>
                <w:sz w:val="16"/>
                <w:szCs w:val="16"/>
              </w:rPr>
            </w:pPr>
            <w:r>
              <w:rPr>
                <w:b/>
                <w:bCs/>
                <w:sz w:val="16"/>
                <w:szCs w:val="16"/>
              </w:rPr>
              <w:t>FY</w:t>
            </w:r>
            <w:r w:rsidR="0098208F">
              <w:rPr>
                <w:b/>
                <w:bCs/>
                <w:sz w:val="16"/>
                <w:szCs w:val="16"/>
              </w:rPr>
              <w:t xml:space="preserve"> </w:t>
            </w:r>
            <w:r>
              <w:rPr>
                <w:b/>
                <w:bCs/>
                <w:sz w:val="16"/>
                <w:szCs w:val="16"/>
              </w:rPr>
              <w:t>2013</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583" w:type="dxa"/>
            <w:gridSpan w:val="2"/>
            <w:tcBorders>
              <w:bottom w:val="single" w:sz="4" w:space="0" w:color="auto"/>
            </w:tcBorders>
            <w:shd w:val="clear" w:color="auto" w:fill="FFAC99"/>
            <w:vAlign w:val="center"/>
          </w:tcPr>
          <w:p w:rsidR="00B75B18" w:rsidRPr="00537201" w:rsidRDefault="00B75B18" w:rsidP="00B75B18">
            <w:pPr>
              <w:contextualSpacing/>
              <w:jc w:val="center"/>
              <w:rPr>
                <w:b/>
                <w:bCs/>
                <w:sz w:val="16"/>
                <w:szCs w:val="16"/>
              </w:rPr>
            </w:pPr>
            <w:r w:rsidRPr="00C07527">
              <w:rPr>
                <w:b/>
                <w:bCs/>
                <w:sz w:val="16"/>
                <w:szCs w:val="16"/>
              </w:rPr>
              <w:t>FY 20</w:t>
            </w:r>
            <w:r>
              <w:rPr>
                <w:b/>
                <w:bCs/>
                <w:sz w:val="16"/>
                <w:szCs w:val="16"/>
              </w:rPr>
              <w:t>13</w:t>
            </w:r>
            <w:r w:rsidRPr="00C07527">
              <w:rPr>
                <w:b/>
                <w:bCs/>
                <w:sz w:val="16"/>
                <w:szCs w:val="16"/>
              </w:rPr>
              <w:t xml:space="preserve"> Request</w:t>
            </w:r>
          </w:p>
        </w:tc>
      </w:tr>
      <w:tr w:rsidR="00B75B18" w:rsidRPr="00EB13D2" w:rsidTr="00B75B18">
        <w:trPr>
          <w:cantSplit/>
          <w:trHeight w:val="273"/>
          <w:jc w:val="center"/>
        </w:trPr>
        <w:tc>
          <w:tcPr>
            <w:tcW w:w="2032" w:type="dxa"/>
            <w:vMerge w:val="restart"/>
            <w:vAlign w:val="center"/>
          </w:tcPr>
          <w:p w:rsidR="00B75B18" w:rsidRPr="00EB13D2" w:rsidRDefault="00B75B18" w:rsidP="00B75B18">
            <w:pPr>
              <w:tabs>
                <w:tab w:val="left" w:pos="-1440"/>
              </w:tabs>
              <w:contextualSpacing/>
              <w:rPr>
                <w:b/>
                <w:bCs/>
                <w:sz w:val="16"/>
                <w:szCs w:val="16"/>
              </w:rPr>
            </w:pPr>
            <w:r w:rsidRPr="00EB13D2">
              <w:rPr>
                <w:b/>
                <w:bCs/>
                <w:sz w:val="16"/>
                <w:szCs w:val="16"/>
              </w:rPr>
              <w:t>Program Activity/ 1.1; 1.2</w:t>
            </w:r>
          </w:p>
        </w:tc>
        <w:tc>
          <w:tcPr>
            <w:tcW w:w="2953" w:type="dxa"/>
            <w:vMerge w:val="restart"/>
            <w:vAlign w:val="center"/>
          </w:tcPr>
          <w:p w:rsidR="00B75B18" w:rsidRPr="00EB13D2" w:rsidRDefault="00B75B18" w:rsidP="00B75B18">
            <w:pPr>
              <w:tabs>
                <w:tab w:val="left" w:pos="-1440"/>
              </w:tabs>
              <w:contextualSpacing/>
              <w:rPr>
                <w:b/>
                <w:bCs/>
                <w:sz w:val="16"/>
                <w:szCs w:val="16"/>
              </w:rPr>
            </w:pPr>
            <w:r w:rsidRPr="00EB13D2">
              <w:rPr>
                <w:b/>
                <w:bCs/>
                <w:sz w:val="16"/>
                <w:szCs w:val="16"/>
              </w:rPr>
              <w:t xml:space="preserve"> 1. Counterterrorism (CT)</w:t>
            </w:r>
          </w:p>
        </w:tc>
        <w:tc>
          <w:tcPr>
            <w:tcW w:w="720"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6"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4"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80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4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0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1"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r>
      <w:tr w:rsidR="00B75B18" w:rsidRPr="00EB13D2" w:rsidTr="00B75B18">
        <w:trPr>
          <w:cantSplit/>
          <w:jc w:val="center"/>
        </w:trPr>
        <w:tc>
          <w:tcPr>
            <w:tcW w:w="2032" w:type="dxa"/>
            <w:vMerge/>
            <w:vAlign w:val="center"/>
          </w:tcPr>
          <w:p w:rsidR="00B75B18" w:rsidRPr="00EB13D2" w:rsidRDefault="00B75B18" w:rsidP="00B75B18">
            <w:pPr>
              <w:tabs>
                <w:tab w:val="left" w:pos="-1440"/>
              </w:tabs>
              <w:contextualSpacing/>
              <w:rPr>
                <w:b/>
                <w:bCs/>
                <w:sz w:val="16"/>
                <w:szCs w:val="16"/>
              </w:rPr>
            </w:pPr>
          </w:p>
        </w:tc>
        <w:tc>
          <w:tcPr>
            <w:tcW w:w="2953" w:type="dxa"/>
            <w:vMerge/>
          </w:tcPr>
          <w:p w:rsidR="00B75B18" w:rsidRPr="00EB13D2" w:rsidRDefault="00B75B18" w:rsidP="00B75B18">
            <w:pPr>
              <w:tabs>
                <w:tab w:val="left" w:pos="-1440"/>
              </w:tabs>
              <w:contextualSpacing/>
              <w:jc w:val="center"/>
              <w:rPr>
                <w:sz w:val="16"/>
                <w:szCs w:val="16"/>
              </w:rPr>
            </w:pPr>
          </w:p>
        </w:tc>
        <w:tc>
          <w:tcPr>
            <w:tcW w:w="720" w:type="dxa"/>
            <w:vAlign w:val="center"/>
          </w:tcPr>
          <w:p w:rsidR="00B75B18" w:rsidRPr="00EB13D2" w:rsidRDefault="00B75B18" w:rsidP="00B75B18">
            <w:pPr>
              <w:contextualSpacing/>
              <w:jc w:val="center"/>
              <w:rPr>
                <w:sz w:val="16"/>
                <w:szCs w:val="16"/>
              </w:rPr>
            </w:pPr>
            <w:r>
              <w:rPr>
                <w:sz w:val="16"/>
                <w:szCs w:val="16"/>
              </w:rPr>
              <w:t>7,241</w:t>
            </w:r>
          </w:p>
        </w:tc>
        <w:tc>
          <w:tcPr>
            <w:tcW w:w="896" w:type="dxa"/>
            <w:vAlign w:val="center"/>
          </w:tcPr>
          <w:p w:rsidR="00B75B18" w:rsidRPr="00EB13D2" w:rsidRDefault="00B75B18" w:rsidP="00B75B18">
            <w:pPr>
              <w:pStyle w:val="Title"/>
              <w:ind w:left="-96"/>
              <w:contextualSpacing/>
              <w:jc w:val="right"/>
              <w:rPr>
                <w:b w:val="0"/>
                <w:i w:val="0"/>
                <w:sz w:val="16"/>
                <w:szCs w:val="16"/>
              </w:rPr>
            </w:pPr>
            <w:r>
              <w:rPr>
                <w:b w:val="0"/>
                <w:i w:val="0"/>
                <w:sz w:val="16"/>
                <w:szCs w:val="16"/>
              </w:rPr>
              <w:t>1,871,020</w:t>
            </w:r>
          </w:p>
        </w:tc>
        <w:tc>
          <w:tcPr>
            <w:tcW w:w="724" w:type="dxa"/>
            <w:vAlign w:val="center"/>
          </w:tcPr>
          <w:p w:rsidR="00B75B18" w:rsidRPr="00E86C58" w:rsidRDefault="00B75B18" w:rsidP="00B75B18">
            <w:pPr>
              <w:tabs>
                <w:tab w:val="left" w:pos="-1440"/>
              </w:tabs>
              <w:contextualSpacing/>
              <w:jc w:val="right"/>
              <w:rPr>
                <w:sz w:val="16"/>
                <w:szCs w:val="16"/>
                <w:highlight w:val="yellow"/>
              </w:rPr>
            </w:pPr>
            <w:r w:rsidRPr="00C27F73">
              <w:rPr>
                <w:sz w:val="16"/>
                <w:szCs w:val="16"/>
              </w:rPr>
              <w:t>6,988</w:t>
            </w:r>
          </w:p>
        </w:tc>
        <w:tc>
          <w:tcPr>
            <w:tcW w:w="892" w:type="dxa"/>
            <w:vAlign w:val="center"/>
          </w:tcPr>
          <w:p w:rsidR="00B75B18" w:rsidRPr="00E86C58" w:rsidRDefault="00B75B18" w:rsidP="00B75B18">
            <w:pPr>
              <w:pStyle w:val="Title"/>
              <w:tabs>
                <w:tab w:val="left" w:pos="-1440"/>
              </w:tabs>
              <w:ind w:left="-96"/>
              <w:contextualSpacing/>
              <w:jc w:val="right"/>
              <w:rPr>
                <w:b w:val="0"/>
                <w:i w:val="0"/>
                <w:sz w:val="16"/>
                <w:szCs w:val="16"/>
                <w:highlight w:val="yellow"/>
              </w:rPr>
            </w:pPr>
            <w:r w:rsidRPr="00C27F73">
              <w:rPr>
                <w:b w:val="0"/>
                <w:i w:val="0"/>
                <w:sz w:val="16"/>
                <w:szCs w:val="16"/>
              </w:rPr>
              <w:t>1,935,843</w:t>
            </w:r>
          </w:p>
        </w:tc>
        <w:tc>
          <w:tcPr>
            <w:tcW w:w="728" w:type="dxa"/>
            <w:vAlign w:val="center"/>
          </w:tcPr>
          <w:p w:rsidR="00B75B18" w:rsidRPr="00EB13D2" w:rsidRDefault="00B75B18" w:rsidP="00B75B18">
            <w:pPr>
              <w:contextualSpacing/>
              <w:jc w:val="center"/>
              <w:rPr>
                <w:sz w:val="16"/>
                <w:szCs w:val="16"/>
              </w:rPr>
            </w:pPr>
            <w:r>
              <w:rPr>
                <w:sz w:val="16"/>
                <w:szCs w:val="16"/>
              </w:rPr>
              <w:t>7,235</w:t>
            </w:r>
          </w:p>
        </w:tc>
        <w:tc>
          <w:tcPr>
            <w:tcW w:w="888" w:type="dxa"/>
            <w:vAlign w:val="center"/>
          </w:tcPr>
          <w:p w:rsidR="00B75B18" w:rsidRPr="00EB13D2" w:rsidRDefault="00B75B18" w:rsidP="00B75B18">
            <w:pPr>
              <w:pStyle w:val="Title"/>
              <w:ind w:left="-96"/>
              <w:contextualSpacing/>
              <w:jc w:val="right"/>
              <w:rPr>
                <w:b w:val="0"/>
                <w:i w:val="0"/>
                <w:sz w:val="16"/>
                <w:szCs w:val="16"/>
              </w:rPr>
            </w:pPr>
            <w:r>
              <w:rPr>
                <w:b w:val="0"/>
                <w:i w:val="0"/>
                <w:sz w:val="16"/>
                <w:szCs w:val="16"/>
              </w:rPr>
              <w:t>1,872,876</w:t>
            </w:r>
          </w:p>
        </w:tc>
        <w:tc>
          <w:tcPr>
            <w:tcW w:w="808" w:type="dxa"/>
            <w:vAlign w:val="center"/>
          </w:tcPr>
          <w:p w:rsidR="00B75B18" w:rsidRPr="00EB13D2" w:rsidRDefault="00B75B18" w:rsidP="00B75B18">
            <w:pPr>
              <w:tabs>
                <w:tab w:val="left" w:pos="-1440"/>
              </w:tabs>
              <w:contextualSpacing/>
              <w:jc w:val="center"/>
              <w:rPr>
                <w:sz w:val="16"/>
                <w:szCs w:val="16"/>
              </w:rPr>
            </w:pPr>
            <w:r>
              <w:rPr>
                <w:sz w:val="16"/>
                <w:szCs w:val="16"/>
              </w:rPr>
              <w:t>41</w:t>
            </w:r>
          </w:p>
        </w:tc>
        <w:tc>
          <w:tcPr>
            <w:tcW w:w="842" w:type="dxa"/>
            <w:vAlign w:val="center"/>
          </w:tcPr>
          <w:p w:rsidR="00B75B18" w:rsidRPr="00E4786B" w:rsidRDefault="00B75B18" w:rsidP="00B75B18">
            <w:pPr>
              <w:tabs>
                <w:tab w:val="left" w:pos="-1440"/>
              </w:tabs>
              <w:contextualSpacing/>
              <w:jc w:val="center"/>
              <w:rPr>
                <w:sz w:val="16"/>
                <w:szCs w:val="16"/>
              </w:rPr>
            </w:pPr>
            <w:r>
              <w:rPr>
                <w:sz w:val="16"/>
                <w:szCs w:val="16"/>
              </w:rPr>
              <w:t>40,423</w:t>
            </w:r>
          </w:p>
        </w:tc>
        <w:tc>
          <w:tcPr>
            <w:tcW w:w="702" w:type="dxa"/>
            <w:vAlign w:val="center"/>
          </w:tcPr>
          <w:p w:rsidR="00B75B18" w:rsidRPr="00EB13D2" w:rsidRDefault="00B75B18" w:rsidP="00B75B18">
            <w:pPr>
              <w:contextualSpacing/>
              <w:jc w:val="center"/>
              <w:rPr>
                <w:sz w:val="16"/>
                <w:szCs w:val="16"/>
              </w:rPr>
            </w:pPr>
            <w:r>
              <w:rPr>
                <w:sz w:val="16"/>
                <w:szCs w:val="16"/>
              </w:rPr>
              <w:t>7,125</w:t>
            </w:r>
          </w:p>
        </w:tc>
        <w:tc>
          <w:tcPr>
            <w:tcW w:w="881" w:type="dxa"/>
            <w:vAlign w:val="center"/>
          </w:tcPr>
          <w:p w:rsidR="00B75B18" w:rsidRPr="00EB13D2" w:rsidRDefault="00B75B18" w:rsidP="00B75B18">
            <w:pPr>
              <w:pStyle w:val="Title"/>
              <w:ind w:left="-96"/>
              <w:contextualSpacing/>
              <w:jc w:val="right"/>
              <w:rPr>
                <w:b w:val="0"/>
                <w:bCs/>
                <w:i w:val="0"/>
                <w:sz w:val="16"/>
                <w:szCs w:val="16"/>
              </w:rPr>
            </w:pPr>
            <w:r>
              <w:rPr>
                <w:b w:val="0"/>
                <w:bCs/>
                <w:i w:val="0"/>
                <w:sz w:val="16"/>
                <w:szCs w:val="16"/>
              </w:rPr>
              <w:t>1,887,932</w:t>
            </w:r>
          </w:p>
        </w:tc>
      </w:tr>
      <w:tr w:rsidR="00B75B18" w:rsidRPr="00EB13D2" w:rsidTr="00B75B18">
        <w:trPr>
          <w:cantSplit/>
          <w:trHeight w:val="300"/>
          <w:jc w:val="center"/>
        </w:trPr>
        <w:tc>
          <w:tcPr>
            <w:tcW w:w="4985" w:type="dxa"/>
            <w:gridSpan w:val="2"/>
            <w:vAlign w:val="center"/>
          </w:tcPr>
          <w:p w:rsidR="00B75B18" w:rsidRPr="00EB13D2" w:rsidRDefault="00B75B18" w:rsidP="00B75B18">
            <w:pPr>
              <w:tabs>
                <w:tab w:val="left" w:pos="-1440"/>
              </w:tabs>
              <w:contextualSpacing/>
              <w:rPr>
                <w:sz w:val="16"/>
                <w:szCs w:val="16"/>
              </w:rPr>
            </w:pPr>
            <w:r>
              <w:rPr>
                <w:b/>
                <w:bCs/>
                <w:sz w:val="16"/>
                <w:szCs w:val="16"/>
              </w:rPr>
              <w:t>Workload -- # of cases investigated (pending and received)</w:t>
            </w:r>
          </w:p>
        </w:tc>
        <w:tc>
          <w:tcPr>
            <w:tcW w:w="1616" w:type="dxa"/>
            <w:gridSpan w:val="2"/>
            <w:vAlign w:val="center"/>
          </w:tcPr>
          <w:p w:rsidR="00B75B18" w:rsidRPr="00EB13D2" w:rsidRDefault="00B75B18" w:rsidP="00B75B18">
            <w:pPr>
              <w:contextualSpacing/>
              <w:jc w:val="right"/>
              <w:rPr>
                <w:sz w:val="16"/>
                <w:szCs w:val="26"/>
              </w:rPr>
            </w:pPr>
            <w:r w:rsidRPr="00EB13D2">
              <w:rPr>
                <w:sz w:val="16"/>
                <w:szCs w:val="26"/>
              </w:rPr>
              <w:t>†</w:t>
            </w:r>
          </w:p>
        </w:tc>
        <w:tc>
          <w:tcPr>
            <w:tcW w:w="1616" w:type="dxa"/>
            <w:gridSpan w:val="2"/>
            <w:vAlign w:val="center"/>
          </w:tcPr>
          <w:p w:rsidR="00B75B18" w:rsidRPr="00E83420" w:rsidRDefault="00B75B18" w:rsidP="00B75B18">
            <w:pPr>
              <w:contextualSpacing/>
              <w:jc w:val="right"/>
              <w:rPr>
                <w:sz w:val="16"/>
                <w:szCs w:val="26"/>
              </w:rPr>
            </w:pPr>
            <w:r>
              <w:rPr>
                <w:sz w:val="16"/>
                <w:szCs w:val="26"/>
              </w:rPr>
              <w:t>13,653</w:t>
            </w:r>
          </w:p>
        </w:tc>
        <w:tc>
          <w:tcPr>
            <w:tcW w:w="1616" w:type="dxa"/>
            <w:gridSpan w:val="2"/>
            <w:vAlign w:val="center"/>
          </w:tcPr>
          <w:p w:rsidR="00B75B18" w:rsidRPr="009D7188" w:rsidRDefault="00B75B18" w:rsidP="00B75B18">
            <w:pPr>
              <w:contextualSpacing/>
              <w:jc w:val="right"/>
              <w:rPr>
                <w:sz w:val="16"/>
                <w:szCs w:val="26"/>
                <w:highlight w:val="yellow"/>
              </w:rPr>
            </w:pPr>
            <w:r w:rsidRPr="00EB13D2">
              <w:rPr>
                <w:sz w:val="16"/>
                <w:szCs w:val="26"/>
              </w:rPr>
              <w:t>†</w:t>
            </w:r>
          </w:p>
        </w:tc>
        <w:tc>
          <w:tcPr>
            <w:tcW w:w="1650" w:type="dxa"/>
            <w:gridSpan w:val="2"/>
            <w:vAlign w:val="center"/>
          </w:tcPr>
          <w:p w:rsidR="00B75B18" w:rsidRPr="00B66849" w:rsidRDefault="00B75B18" w:rsidP="00B75B18">
            <w:pPr>
              <w:contextualSpacing/>
              <w:jc w:val="right"/>
              <w:rPr>
                <w:sz w:val="16"/>
                <w:szCs w:val="26"/>
              </w:rPr>
            </w:pPr>
            <w:r w:rsidRPr="00B66849">
              <w:rPr>
                <w:sz w:val="16"/>
                <w:szCs w:val="26"/>
              </w:rPr>
              <w:t>†</w:t>
            </w:r>
          </w:p>
        </w:tc>
        <w:tc>
          <w:tcPr>
            <w:tcW w:w="1583" w:type="dxa"/>
            <w:gridSpan w:val="2"/>
            <w:vAlign w:val="center"/>
          </w:tcPr>
          <w:p w:rsidR="00B75B18" w:rsidRPr="00B66849" w:rsidRDefault="00B75B18" w:rsidP="00B75B18">
            <w:pPr>
              <w:contextualSpacing/>
              <w:jc w:val="right"/>
              <w:rPr>
                <w:sz w:val="16"/>
                <w:szCs w:val="26"/>
              </w:rPr>
            </w:pPr>
            <w:r w:rsidRPr="00B66849">
              <w:rPr>
                <w:sz w:val="16"/>
                <w:szCs w:val="26"/>
              </w:rPr>
              <w:t>†</w:t>
            </w:r>
          </w:p>
        </w:tc>
      </w:tr>
      <w:tr w:rsidR="00B75B18" w:rsidRPr="00EB13D2" w:rsidTr="00B75B18">
        <w:trPr>
          <w:cantSplit/>
          <w:trHeight w:val="300"/>
          <w:jc w:val="center"/>
        </w:trPr>
        <w:tc>
          <w:tcPr>
            <w:tcW w:w="2032" w:type="dxa"/>
            <w:vAlign w:val="center"/>
          </w:tcPr>
          <w:p w:rsidR="00B75B18" w:rsidRPr="00EB13D2" w:rsidRDefault="00B75B18" w:rsidP="00B75B18">
            <w:pPr>
              <w:contextualSpacing/>
            </w:pPr>
            <w:r w:rsidRPr="00EB13D2">
              <w:rPr>
                <w:b/>
                <w:bCs/>
                <w:sz w:val="16"/>
                <w:szCs w:val="16"/>
              </w:rPr>
              <w:t>Performance Measure</w:t>
            </w:r>
          </w:p>
        </w:tc>
        <w:tc>
          <w:tcPr>
            <w:tcW w:w="2953" w:type="dxa"/>
            <w:vAlign w:val="center"/>
          </w:tcPr>
          <w:p w:rsidR="00B75B18" w:rsidRPr="00EB13D2" w:rsidRDefault="00B75B18" w:rsidP="00B75B18">
            <w:pPr>
              <w:pStyle w:val="BodyText2"/>
              <w:contextualSpacing/>
              <w:rPr>
                <w:sz w:val="16"/>
                <w:szCs w:val="16"/>
              </w:rPr>
            </w:pPr>
            <w:r w:rsidRPr="00EB13D2">
              <w:rPr>
                <w:sz w:val="16"/>
                <w:szCs w:val="16"/>
              </w:rPr>
              <w:t>Number of participants in the JTTF</w:t>
            </w:r>
            <w:r>
              <w:rPr>
                <w:sz w:val="16"/>
                <w:szCs w:val="16"/>
              </w:rPr>
              <w:t xml:space="preserve"> </w:t>
            </w:r>
            <w:r w:rsidRPr="007C05A8">
              <w:rPr>
                <w:b/>
                <w:sz w:val="16"/>
                <w:szCs w:val="16"/>
              </w:rPr>
              <w:t>[Priority Goal Indicator]</w:t>
            </w:r>
          </w:p>
        </w:tc>
        <w:tc>
          <w:tcPr>
            <w:tcW w:w="1616" w:type="dxa"/>
            <w:gridSpan w:val="2"/>
            <w:vAlign w:val="center"/>
          </w:tcPr>
          <w:p w:rsidR="00B75B18" w:rsidRPr="00EB13D2" w:rsidRDefault="00B75B18" w:rsidP="00B75B18">
            <w:pPr>
              <w:tabs>
                <w:tab w:val="left" w:pos="-1440"/>
              </w:tabs>
              <w:contextualSpacing/>
              <w:jc w:val="right"/>
              <w:rPr>
                <w:sz w:val="16"/>
                <w:szCs w:val="16"/>
              </w:rPr>
            </w:pPr>
            <w:r w:rsidRPr="00EB13D2">
              <w:rPr>
                <w:sz w:val="16"/>
                <w:szCs w:val="16"/>
              </w:rPr>
              <w:t>4</w:t>
            </w:r>
            <w:r>
              <w:rPr>
                <w:sz w:val="16"/>
                <w:szCs w:val="16"/>
              </w:rPr>
              <w:t>,545</w:t>
            </w:r>
          </w:p>
        </w:tc>
        <w:tc>
          <w:tcPr>
            <w:tcW w:w="1616" w:type="dxa"/>
            <w:gridSpan w:val="2"/>
            <w:vAlign w:val="center"/>
          </w:tcPr>
          <w:p w:rsidR="00B75B18" w:rsidRPr="00EB13D2" w:rsidRDefault="00B75B18" w:rsidP="00B75B18">
            <w:pPr>
              <w:tabs>
                <w:tab w:val="left" w:pos="-1440"/>
              </w:tabs>
              <w:contextualSpacing/>
              <w:jc w:val="right"/>
              <w:rPr>
                <w:sz w:val="16"/>
                <w:szCs w:val="16"/>
              </w:rPr>
            </w:pPr>
            <w:r>
              <w:rPr>
                <w:sz w:val="16"/>
                <w:szCs w:val="16"/>
              </w:rPr>
              <w:t>4,492</w:t>
            </w:r>
          </w:p>
        </w:tc>
        <w:tc>
          <w:tcPr>
            <w:tcW w:w="1616" w:type="dxa"/>
            <w:gridSpan w:val="2"/>
            <w:vAlign w:val="center"/>
          </w:tcPr>
          <w:p w:rsidR="00B75B18" w:rsidRPr="00833AC0" w:rsidRDefault="00B75B18" w:rsidP="00B75B18">
            <w:pPr>
              <w:tabs>
                <w:tab w:val="left" w:pos="-1440"/>
              </w:tabs>
              <w:contextualSpacing/>
              <w:jc w:val="right"/>
              <w:rPr>
                <w:color w:val="000000"/>
                <w:sz w:val="16"/>
                <w:szCs w:val="16"/>
              </w:rPr>
            </w:pPr>
            <w:r>
              <w:rPr>
                <w:color w:val="000000"/>
                <w:sz w:val="16"/>
                <w:szCs w:val="16"/>
              </w:rPr>
              <w:t>4,570</w:t>
            </w:r>
          </w:p>
        </w:tc>
        <w:tc>
          <w:tcPr>
            <w:tcW w:w="1650" w:type="dxa"/>
            <w:gridSpan w:val="2"/>
            <w:vAlign w:val="center"/>
          </w:tcPr>
          <w:p w:rsidR="00B75B18" w:rsidRPr="00B66849" w:rsidRDefault="00B75B18" w:rsidP="00B75B18">
            <w:pPr>
              <w:tabs>
                <w:tab w:val="left" w:pos="-1440"/>
              </w:tabs>
              <w:contextualSpacing/>
              <w:jc w:val="right"/>
              <w:rPr>
                <w:sz w:val="16"/>
                <w:szCs w:val="16"/>
              </w:rPr>
            </w:pPr>
            <w:r w:rsidRPr="00B66849">
              <w:rPr>
                <w:sz w:val="16"/>
                <w:szCs w:val="16"/>
              </w:rPr>
              <w:t>-</w:t>
            </w:r>
          </w:p>
        </w:tc>
        <w:tc>
          <w:tcPr>
            <w:tcW w:w="1583" w:type="dxa"/>
            <w:gridSpan w:val="2"/>
            <w:vAlign w:val="center"/>
          </w:tcPr>
          <w:p w:rsidR="00B75B18" w:rsidRPr="00B66849" w:rsidRDefault="00B75B18" w:rsidP="00B75B18">
            <w:pPr>
              <w:tabs>
                <w:tab w:val="left" w:pos="-1440"/>
              </w:tabs>
              <w:contextualSpacing/>
              <w:jc w:val="right"/>
              <w:rPr>
                <w:sz w:val="16"/>
                <w:szCs w:val="16"/>
              </w:rPr>
            </w:pPr>
            <w:r w:rsidRPr="00B66849">
              <w:rPr>
                <w:sz w:val="16"/>
                <w:szCs w:val="16"/>
              </w:rPr>
              <w:t>4,570</w:t>
            </w:r>
          </w:p>
        </w:tc>
      </w:tr>
      <w:tr w:rsidR="00B75B18" w:rsidRPr="00EB13D2" w:rsidTr="00B75B18">
        <w:trPr>
          <w:cantSplit/>
          <w:trHeight w:val="300"/>
          <w:jc w:val="center"/>
        </w:trPr>
        <w:tc>
          <w:tcPr>
            <w:tcW w:w="2032" w:type="dxa"/>
            <w:vAlign w:val="center"/>
          </w:tcPr>
          <w:p w:rsidR="00B75B18" w:rsidRPr="00EB13D2" w:rsidRDefault="00B75B18" w:rsidP="00B75B18">
            <w:pPr>
              <w:contextualSpacing/>
            </w:pPr>
            <w:r w:rsidRPr="00EB13D2">
              <w:rPr>
                <w:b/>
                <w:bCs/>
                <w:sz w:val="16"/>
                <w:szCs w:val="16"/>
              </w:rPr>
              <w:t>Performance Measure (Renamed Measure)</w:t>
            </w:r>
          </w:p>
        </w:tc>
        <w:tc>
          <w:tcPr>
            <w:tcW w:w="2953" w:type="dxa"/>
            <w:vAlign w:val="center"/>
          </w:tcPr>
          <w:p w:rsidR="00B75B18" w:rsidRPr="00EB13D2" w:rsidRDefault="00B75B18" w:rsidP="00B75B18">
            <w:pPr>
              <w:pStyle w:val="BodyText2"/>
              <w:contextualSpacing/>
              <w:rPr>
                <w:sz w:val="16"/>
                <w:szCs w:val="16"/>
              </w:rPr>
            </w:pPr>
            <w:r w:rsidRPr="00EB13D2">
              <w:rPr>
                <w:rFonts w:eastAsia="SimSun"/>
                <w:sz w:val="16"/>
                <w:szCs w:val="16"/>
                <w:lang w:eastAsia="zh-CN"/>
              </w:rPr>
              <w:t>Percentage of Counterterrorism Career Path Agents Completing Specialized CT Training</w:t>
            </w:r>
            <w:r>
              <w:rPr>
                <w:rFonts w:eastAsia="SimSun"/>
                <w:sz w:val="16"/>
                <w:szCs w:val="16"/>
                <w:lang w:eastAsia="zh-CN"/>
              </w:rPr>
              <w:t xml:space="preserve"> </w:t>
            </w:r>
            <w:r w:rsidRPr="007C05A8">
              <w:rPr>
                <w:rFonts w:eastAsia="SimSun"/>
                <w:b/>
                <w:sz w:val="16"/>
                <w:szCs w:val="16"/>
                <w:lang w:eastAsia="zh-CN"/>
              </w:rPr>
              <w:t>[Priority Goal Indicator]</w:t>
            </w:r>
          </w:p>
        </w:tc>
        <w:tc>
          <w:tcPr>
            <w:tcW w:w="1616" w:type="dxa"/>
            <w:gridSpan w:val="2"/>
            <w:vAlign w:val="center"/>
          </w:tcPr>
          <w:p w:rsidR="00B75B18" w:rsidRPr="00EB13D2" w:rsidRDefault="00B75B18" w:rsidP="00B75B18">
            <w:pPr>
              <w:tabs>
                <w:tab w:val="left" w:pos="-1440"/>
              </w:tabs>
              <w:contextualSpacing/>
              <w:jc w:val="right"/>
              <w:rPr>
                <w:sz w:val="16"/>
                <w:szCs w:val="16"/>
              </w:rPr>
            </w:pPr>
            <w:r>
              <w:rPr>
                <w:sz w:val="16"/>
                <w:szCs w:val="16"/>
              </w:rPr>
              <w:t>30</w:t>
            </w:r>
            <w:r w:rsidRPr="00EB13D2">
              <w:rPr>
                <w:sz w:val="16"/>
                <w:szCs w:val="16"/>
              </w:rPr>
              <w:t>%</w:t>
            </w:r>
          </w:p>
        </w:tc>
        <w:tc>
          <w:tcPr>
            <w:tcW w:w="1616" w:type="dxa"/>
            <w:gridSpan w:val="2"/>
            <w:vAlign w:val="center"/>
          </w:tcPr>
          <w:p w:rsidR="00B75B18" w:rsidRDefault="00B75B18" w:rsidP="00B75B18">
            <w:pPr>
              <w:tabs>
                <w:tab w:val="left" w:pos="-1440"/>
              </w:tabs>
              <w:contextualSpacing/>
              <w:jc w:val="right"/>
              <w:rPr>
                <w:sz w:val="16"/>
                <w:szCs w:val="16"/>
              </w:rPr>
            </w:pPr>
            <w:r w:rsidRPr="00FC04A2">
              <w:rPr>
                <w:sz w:val="16"/>
                <w:szCs w:val="16"/>
              </w:rPr>
              <w:t>41%</w:t>
            </w:r>
          </w:p>
        </w:tc>
        <w:tc>
          <w:tcPr>
            <w:tcW w:w="1616" w:type="dxa"/>
            <w:gridSpan w:val="2"/>
            <w:vAlign w:val="center"/>
          </w:tcPr>
          <w:p w:rsidR="00B75B18" w:rsidRPr="00833AC0" w:rsidRDefault="00B75B18" w:rsidP="00B75B18">
            <w:pPr>
              <w:tabs>
                <w:tab w:val="left" w:pos="-1440"/>
              </w:tabs>
              <w:contextualSpacing/>
              <w:jc w:val="right"/>
              <w:rPr>
                <w:color w:val="000000"/>
                <w:sz w:val="16"/>
                <w:szCs w:val="16"/>
              </w:rPr>
            </w:pPr>
            <w:r>
              <w:rPr>
                <w:color w:val="000000"/>
                <w:sz w:val="16"/>
                <w:szCs w:val="16"/>
              </w:rPr>
              <w:t>30%</w:t>
            </w:r>
          </w:p>
        </w:tc>
        <w:tc>
          <w:tcPr>
            <w:tcW w:w="1650" w:type="dxa"/>
            <w:gridSpan w:val="2"/>
            <w:vAlign w:val="center"/>
          </w:tcPr>
          <w:p w:rsidR="00B75B18" w:rsidRPr="00B66849" w:rsidRDefault="00B75B18" w:rsidP="00B75B18">
            <w:pPr>
              <w:tabs>
                <w:tab w:val="left" w:pos="-1440"/>
              </w:tabs>
              <w:contextualSpacing/>
              <w:jc w:val="right"/>
              <w:rPr>
                <w:sz w:val="16"/>
                <w:szCs w:val="16"/>
              </w:rPr>
            </w:pPr>
            <w:r w:rsidRPr="00B66849">
              <w:rPr>
                <w:sz w:val="16"/>
                <w:szCs w:val="16"/>
              </w:rPr>
              <w:t>-</w:t>
            </w:r>
          </w:p>
        </w:tc>
        <w:tc>
          <w:tcPr>
            <w:tcW w:w="1583" w:type="dxa"/>
            <w:gridSpan w:val="2"/>
            <w:vAlign w:val="center"/>
          </w:tcPr>
          <w:p w:rsidR="00B75B18" w:rsidRPr="00B66849" w:rsidRDefault="00B75B18" w:rsidP="00B75B18">
            <w:pPr>
              <w:tabs>
                <w:tab w:val="left" w:pos="-1440"/>
              </w:tabs>
              <w:contextualSpacing/>
              <w:jc w:val="right"/>
              <w:rPr>
                <w:sz w:val="16"/>
                <w:szCs w:val="16"/>
              </w:rPr>
            </w:pPr>
            <w:r w:rsidRPr="00B66849">
              <w:rPr>
                <w:sz w:val="16"/>
                <w:szCs w:val="16"/>
              </w:rPr>
              <w:t>30%</w:t>
            </w:r>
          </w:p>
        </w:tc>
      </w:tr>
      <w:tr w:rsidR="00B75B18" w:rsidRPr="00EB13D2" w:rsidTr="00B75B18">
        <w:trPr>
          <w:cantSplit/>
          <w:jc w:val="center"/>
        </w:trPr>
        <w:tc>
          <w:tcPr>
            <w:tcW w:w="2032" w:type="dxa"/>
            <w:vAlign w:val="center"/>
          </w:tcPr>
          <w:p w:rsidR="00B75B18" w:rsidRPr="00EB13D2" w:rsidRDefault="00B75B18" w:rsidP="00B75B18">
            <w:pPr>
              <w:contextualSpacing/>
              <w:rPr>
                <w:b/>
                <w:bCs/>
                <w:sz w:val="16"/>
                <w:szCs w:val="16"/>
              </w:rPr>
            </w:pPr>
            <w:r w:rsidRPr="00EB13D2">
              <w:rPr>
                <w:b/>
                <w:bCs/>
                <w:sz w:val="16"/>
                <w:szCs w:val="16"/>
              </w:rPr>
              <w:t>Efficiency Measure</w:t>
            </w:r>
          </w:p>
          <w:p w:rsidR="00B75B18" w:rsidRPr="00EB13D2" w:rsidRDefault="00B75B18" w:rsidP="00B75B18">
            <w:pPr>
              <w:contextualSpacing/>
            </w:pPr>
            <w:r w:rsidRPr="00EB13D2">
              <w:rPr>
                <w:b/>
                <w:bCs/>
                <w:sz w:val="16"/>
                <w:szCs w:val="16"/>
              </w:rPr>
              <w:t>(Renamed Measure)</w:t>
            </w:r>
          </w:p>
        </w:tc>
        <w:tc>
          <w:tcPr>
            <w:tcW w:w="2953" w:type="dxa"/>
            <w:vAlign w:val="center"/>
          </w:tcPr>
          <w:p w:rsidR="00B75B18" w:rsidRPr="001D5FAF" w:rsidRDefault="00B75B18" w:rsidP="00B75B18">
            <w:pPr>
              <w:pStyle w:val="BodyText2"/>
              <w:contextualSpacing/>
              <w:rPr>
                <w:color w:val="000000"/>
                <w:sz w:val="16"/>
                <w:szCs w:val="16"/>
              </w:rPr>
            </w:pPr>
            <w:r w:rsidRPr="001D5FAF">
              <w:rPr>
                <w:rFonts w:eastAsia="SimSun"/>
                <w:color w:val="000000"/>
                <w:sz w:val="16"/>
                <w:szCs w:val="16"/>
                <w:lang w:eastAsia="zh-CN"/>
              </w:rPr>
              <w:t>Percentage of Counterterrorism Cases targeting Top Priority Groups</w:t>
            </w:r>
            <w:r>
              <w:rPr>
                <w:rFonts w:eastAsia="SimSun"/>
                <w:color w:val="000000"/>
                <w:sz w:val="16"/>
                <w:szCs w:val="16"/>
                <w:lang w:eastAsia="zh-CN"/>
              </w:rPr>
              <w:t xml:space="preserve"> </w:t>
            </w:r>
            <w:r w:rsidRPr="007C05A8">
              <w:rPr>
                <w:rFonts w:eastAsia="SimSun"/>
                <w:b/>
                <w:color w:val="000000"/>
                <w:sz w:val="16"/>
                <w:szCs w:val="16"/>
                <w:lang w:eastAsia="zh-CN"/>
              </w:rPr>
              <w:t>[</w:t>
            </w:r>
            <w:r>
              <w:rPr>
                <w:rFonts w:eastAsia="SimSun"/>
                <w:b/>
                <w:color w:val="000000"/>
                <w:sz w:val="16"/>
                <w:szCs w:val="16"/>
                <w:lang w:eastAsia="zh-CN"/>
              </w:rPr>
              <w:t xml:space="preserve">DOJ </w:t>
            </w:r>
            <w:r w:rsidRPr="007C05A8">
              <w:rPr>
                <w:rFonts w:eastAsia="SimSun"/>
                <w:b/>
                <w:color w:val="000000"/>
                <w:sz w:val="16"/>
                <w:szCs w:val="16"/>
                <w:lang w:eastAsia="zh-CN"/>
              </w:rPr>
              <w:t>Priority Goal]</w:t>
            </w:r>
          </w:p>
        </w:tc>
        <w:tc>
          <w:tcPr>
            <w:tcW w:w="1616" w:type="dxa"/>
            <w:gridSpan w:val="2"/>
            <w:tcBorders>
              <w:bottom w:val="single" w:sz="4" w:space="0" w:color="auto"/>
            </w:tcBorders>
            <w:vAlign w:val="center"/>
          </w:tcPr>
          <w:p w:rsidR="00B75B18" w:rsidRPr="00EB13D2" w:rsidRDefault="00B75B18" w:rsidP="00B75B18">
            <w:pPr>
              <w:tabs>
                <w:tab w:val="left" w:pos="-1440"/>
              </w:tabs>
              <w:contextualSpacing/>
              <w:jc w:val="right"/>
              <w:rPr>
                <w:sz w:val="16"/>
                <w:szCs w:val="16"/>
              </w:rPr>
            </w:pPr>
            <w:r>
              <w:rPr>
                <w:sz w:val="16"/>
                <w:szCs w:val="16"/>
              </w:rPr>
              <w:t>65.1%</w:t>
            </w:r>
          </w:p>
        </w:tc>
        <w:tc>
          <w:tcPr>
            <w:tcW w:w="1616" w:type="dxa"/>
            <w:gridSpan w:val="2"/>
            <w:tcBorders>
              <w:bottom w:val="single" w:sz="4" w:space="0" w:color="auto"/>
            </w:tcBorders>
            <w:vAlign w:val="center"/>
          </w:tcPr>
          <w:p w:rsidR="00B75B18" w:rsidRPr="00EB13D2" w:rsidRDefault="00B75B18" w:rsidP="00B75B18">
            <w:pPr>
              <w:tabs>
                <w:tab w:val="left" w:pos="-1440"/>
              </w:tabs>
              <w:contextualSpacing/>
              <w:jc w:val="right"/>
              <w:rPr>
                <w:sz w:val="16"/>
                <w:szCs w:val="16"/>
              </w:rPr>
            </w:pPr>
            <w:r>
              <w:rPr>
                <w:sz w:val="16"/>
                <w:szCs w:val="16"/>
              </w:rPr>
              <w:t>62.7%</w:t>
            </w:r>
          </w:p>
        </w:tc>
        <w:tc>
          <w:tcPr>
            <w:tcW w:w="1616" w:type="dxa"/>
            <w:gridSpan w:val="2"/>
            <w:tcBorders>
              <w:bottom w:val="single" w:sz="4" w:space="0" w:color="auto"/>
            </w:tcBorders>
            <w:vAlign w:val="center"/>
          </w:tcPr>
          <w:p w:rsidR="00B75B18" w:rsidRPr="003655D8" w:rsidRDefault="00B75B18" w:rsidP="00B75B18">
            <w:pPr>
              <w:tabs>
                <w:tab w:val="left" w:pos="-1440"/>
              </w:tabs>
              <w:contextualSpacing/>
              <w:jc w:val="right"/>
              <w:rPr>
                <w:sz w:val="16"/>
                <w:szCs w:val="16"/>
              </w:rPr>
            </w:pPr>
            <w:r>
              <w:rPr>
                <w:sz w:val="16"/>
                <w:szCs w:val="16"/>
              </w:rPr>
              <w:t>65.1%</w:t>
            </w:r>
          </w:p>
        </w:tc>
        <w:tc>
          <w:tcPr>
            <w:tcW w:w="1650" w:type="dxa"/>
            <w:gridSpan w:val="2"/>
            <w:tcBorders>
              <w:bottom w:val="single" w:sz="4" w:space="0" w:color="auto"/>
            </w:tcBorders>
            <w:vAlign w:val="center"/>
          </w:tcPr>
          <w:p w:rsidR="00B75B18" w:rsidRPr="00B66849" w:rsidRDefault="00B75B18" w:rsidP="00B75B18">
            <w:pPr>
              <w:tabs>
                <w:tab w:val="left" w:pos="-1440"/>
              </w:tabs>
              <w:contextualSpacing/>
              <w:jc w:val="right"/>
              <w:rPr>
                <w:sz w:val="16"/>
                <w:szCs w:val="16"/>
              </w:rPr>
            </w:pPr>
            <w:r w:rsidRPr="00B66849">
              <w:rPr>
                <w:sz w:val="16"/>
                <w:szCs w:val="16"/>
              </w:rPr>
              <w:t>-</w:t>
            </w:r>
          </w:p>
        </w:tc>
        <w:tc>
          <w:tcPr>
            <w:tcW w:w="1583" w:type="dxa"/>
            <w:gridSpan w:val="2"/>
            <w:tcBorders>
              <w:bottom w:val="single" w:sz="4" w:space="0" w:color="auto"/>
            </w:tcBorders>
            <w:vAlign w:val="center"/>
          </w:tcPr>
          <w:p w:rsidR="00B75B18" w:rsidRPr="00B66849" w:rsidRDefault="00B75B18" w:rsidP="00B75B18">
            <w:pPr>
              <w:tabs>
                <w:tab w:val="left" w:pos="-1440"/>
              </w:tabs>
              <w:contextualSpacing/>
              <w:jc w:val="right"/>
              <w:rPr>
                <w:sz w:val="16"/>
                <w:szCs w:val="16"/>
              </w:rPr>
            </w:pPr>
            <w:r w:rsidRPr="00B66849">
              <w:rPr>
                <w:sz w:val="16"/>
                <w:szCs w:val="16"/>
              </w:rPr>
              <w:t>65.1%</w:t>
            </w:r>
          </w:p>
        </w:tc>
      </w:tr>
      <w:tr w:rsidR="00B75B18" w:rsidRPr="00EB13D2" w:rsidTr="00B75B18">
        <w:trPr>
          <w:cantSplit/>
          <w:jc w:val="center"/>
        </w:trPr>
        <w:tc>
          <w:tcPr>
            <w:tcW w:w="2032" w:type="dxa"/>
            <w:vMerge w:val="restart"/>
            <w:vAlign w:val="center"/>
          </w:tcPr>
          <w:p w:rsidR="00B75B18" w:rsidRPr="00EB13D2" w:rsidRDefault="00B75B18" w:rsidP="00B75B18">
            <w:pPr>
              <w:contextualSpacing/>
              <w:rPr>
                <w:b/>
                <w:bCs/>
                <w:sz w:val="16"/>
                <w:szCs w:val="16"/>
              </w:rPr>
            </w:pPr>
            <w:r w:rsidRPr="00EB13D2">
              <w:rPr>
                <w:b/>
                <w:bCs/>
                <w:sz w:val="16"/>
                <w:szCs w:val="16"/>
              </w:rPr>
              <w:t>Program Activity/ 1.4</w:t>
            </w:r>
          </w:p>
        </w:tc>
        <w:tc>
          <w:tcPr>
            <w:tcW w:w="2953" w:type="dxa"/>
            <w:vMerge w:val="restart"/>
            <w:vAlign w:val="center"/>
          </w:tcPr>
          <w:p w:rsidR="00B75B18" w:rsidRPr="00EB13D2" w:rsidRDefault="00B75B18" w:rsidP="00B75B18">
            <w:pPr>
              <w:contextualSpacing/>
              <w:rPr>
                <w:b/>
                <w:bCs/>
                <w:sz w:val="16"/>
                <w:szCs w:val="16"/>
              </w:rPr>
            </w:pPr>
            <w:r>
              <w:rPr>
                <w:b/>
                <w:bCs/>
                <w:sz w:val="16"/>
                <w:szCs w:val="16"/>
              </w:rPr>
              <w:t>2. Counterintelligence</w:t>
            </w:r>
          </w:p>
        </w:tc>
        <w:tc>
          <w:tcPr>
            <w:tcW w:w="720"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6"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4"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80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4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0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1"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r>
      <w:tr w:rsidR="00B75B18" w:rsidRPr="00EB13D2" w:rsidTr="00B75B18">
        <w:trPr>
          <w:cantSplit/>
          <w:trHeight w:val="237"/>
          <w:jc w:val="center"/>
        </w:trPr>
        <w:tc>
          <w:tcPr>
            <w:tcW w:w="2032" w:type="dxa"/>
            <w:vMerge/>
            <w:vAlign w:val="center"/>
          </w:tcPr>
          <w:p w:rsidR="00B75B18" w:rsidRPr="00EB13D2" w:rsidRDefault="00B75B18" w:rsidP="00B75B18">
            <w:pPr>
              <w:contextualSpacing/>
              <w:rPr>
                <w:b/>
                <w:bCs/>
                <w:sz w:val="16"/>
                <w:szCs w:val="16"/>
              </w:rPr>
            </w:pPr>
          </w:p>
        </w:tc>
        <w:tc>
          <w:tcPr>
            <w:tcW w:w="2953" w:type="dxa"/>
            <w:vMerge/>
            <w:vAlign w:val="center"/>
          </w:tcPr>
          <w:p w:rsidR="00B75B18" w:rsidRPr="00EB13D2" w:rsidRDefault="00B75B18" w:rsidP="00B75B18">
            <w:pPr>
              <w:pStyle w:val="BodyText2"/>
              <w:contextualSpacing/>
              <w:rPr>
                <w:sz w:val="16"/>
                <w:szCs w:val="16"/>
              </w:rPr>
            </w:pPr>
          </w:p>
        </w:tc>
        <w:tc>
          <w:tcPr>
            <w:tcW w:w="720" w:type="dxa"/>
            <w:vAlign w:val="center"/>
          </w:tcPr>
          <w:p w:rsidR="00B75B18" w:rsidRPr="00EB13D2" w:rsidRDefault="00B75B18" w:rsidP="00B75B18">
            <w:pPr>
              <w:tabs>
                <w:tab w:val="left" w:pos="-1440"/>
              </w:tabs>
              <w:contextualSpacing/>
              <w:jc w:val="right"/>
              <w:rPr>
                <w:sz w:val="16"/>
                <w:szCs w:val="16"/>
              </w:rPr>
            </w:pPr>
            <w:r>
              <w:rPr>
                <w:sz w:val="16"/>
                <w:szCs w:val="16"/>
              </w:rPr>
              <w:t>4,618</w:t>
            </w:r>
          </w:p>
        </w:tc>
        <w:tc>
          <w:tcPr>
            <w:tcW w:w="896" w:type="dxa"/>
            <w:vAlign w:val="center"/>
          </w:tcPr>
          <w:p w:rsidR="00B75B18" w:rsidRPr="00EB13D2" w:rsidRDefault="00B75B18" w:rsidP="00B75B18">
            <w:pPr>
              <w:tabs>
                <w:tab w:val="left" w:pos="-1440"/>
              </w:tabs>
              <w:contextualSpacing/>
              <w:jc w:val="right"/>
              <w:rPr>
                <w:sz w:val="16"/>
                <w:szCs w:val="16"/>
              </w:rPr>
            </w:pPr>
            <w:r>
              <w:rPr>
                <w:sz w:val="16"/>
                <w:szCs w:val="16"/>
              </w:rPr>
              <w:t>1,161,323</w:t>
            </w:r>
          </w:p>
        </w:tc>
        <w:tc>
          <w:tcPr>
            <w:tcW w:w="724" w:type="dxa"/>
            <w:vAlign w:val="center"/>
          </w:tcPr>
          <w:p w:rsidR="00B75B18" w:rsidRPr="00EB3A72" w:rsidRDefault="00B75B18" w:rsidP="00B75B18">
            <w:pPr>
              <w:tabs>
                <w:tab w:val="left" w:pos="-1440"/>
              </w:tabs>
              <w:contextualSpacing/>
              <w:jc w:val="right"/>
              <w:rPr>
                <w:sz w:val="16"/>
                <w:szCs w:val="16"/>
              </w:rPr>
            </w:pPr>
            <w:r>
              <w:rPr>
                <w:sz w:val="16"/>
                <w:szCs w:val="16"/>
              </w:rPr>
              <w:t>4,599</w:t>
            </w:r>
          </w:p>
        </w:tc>
        <w:tc>
          <w:tcPr>
            <w:tcW w:w="892" w:type="dxa"/>
            <w:vAlign w:val="center"/>
          </w:tcPr>
          <w:p w:rsidR="00B75B18" w:rsidRPr="00EB3A72" w:rsidRDefault="00B75B18" w:rsidP="00B75B18">
            <w:pPr>
              <w:tabs>
                <w:tab w:val="left" w:pos="-1440"/>
              </w:tabs>
              <w:contextualSpacing/>
              <w:jc w:val="right"/>
              <w:rPr>
                <w:sz w:val="16"/>
                <w:szCs w:val="16"/>
              </w:rPr>
            </w:pPr>
            <w:r>
              <w:rPr>
                <w:sz w:val="16"/>
                <w:szCs w:val="16"/>
              </w:rPr>
              <w:t>1,224,278</w:t>
            </w:r>
          </w:p>
        </w:tc>
        <w:tc>
          <w:tcPr>
            <w:tcW w:w="728" w:type="dxa"/>
            <w:vAlign w:val="center"/>
          </w:tcPr>
          <w:p w:rsidR="00B75B18" w:rsidRPr="00EB13D2" w:rsidRDefault="00B75B18" w:rsidP="00B75B18">
            <w:pPr>
              <w:tabs>
                <w:tab w:val="left" w:pos="-1440"/>
              </w:tabs>
              <w:contextualSpacing/>
              <w:jc w:val="right"/>
              <w:rPr>
                <w:sz w:val="16"/>
                <w:szCs w:val="16"/>
              </w:rPr>
            </w:pPr>
            <w:r>
              <w:rPr>
                <w:sz w:val="16"/>
                <w:szCs w:val="16"/>
              </w:rPr>
              <w:t>4,615</w:t>
            </w:r>
          </w:p>
        </w:tc>
        <w:tc>
          <w:tcPr>
            <w:tcW w:w="888" w:type="dxa"/>
            <w:vAlign w:val="center"/>
          </w:tcPr>
          <w:p w:rsidR="00B75B18" w:rsidRPr="00EB13D2" w:rsidRDefault="00B75B18" w:rsidP="00B75B18">
            <w:pPr>
              <w:tabs>
                <w:tab w:val="left" w:pos="-1440"/>
              </w:tabs>
              <w:contextualSpacing/>
              <w:jc w:val="right"/>
              <w:rPr>
                <w:sz w:val="16"/>
                <w:szCs w:val="16"/>
              </w:rPr>
            </w:pPr>
            <w:r>
              <w:rPr>
                <w:sz w:val="16"/>
                <w:szCs w:val="16"/>
              </w:rPr>
              <w:t>1,162,475</w:t>
            </w:r>
          </w:p>
        </w:tc>
        <w:tc>
          <w:tcPr>
            <w:tcW w:w="808" w:type="dxa"/>
            <w:vAlign w:val="center"/>
          </w:tcPr>
          <w:p w:rsidR="00B75B18" w:rsidRPr="00EB13D2" w:rsidRDefault="00B75B18" w:rsidP="00B75B18">
            <w:pPr>
              <w:tabs>
                <w:tab w:val="left" w:pos="-1440"/>
              </w:tabs>
              <w:contextualSpacing/>
              <w:jc w:val="center"/>
              <w:rPr>
                <w:sz w:val="16"/>
                <w:szCs w:val="16"/>
              </w:rPr>
            </w:pPr>
            <w:r>
              <w:rPr>
                <w:sz w:val="16"/>
                <w:szCs w:val="16"/>
              </w:rPr>
              <w:t>27</w:t>
            </w:r>
          </w:p>
        </w:tc>
        <w:tc>
          <w:tcPr>
            <w:tcW w:w="842" w:type="dxa"/>
            <w:vAlign w:val="center"/>
          </w:tcPr>
          <w:p w:rsidR="00B75B18" w:rsidRPr="00EB13D2" w:rsidRDefault="00B75B18" w:rsidP="00B75B18">
            <w:pPr>
              <w:tabs>
                <w:tab w:val="left" w:pos="-1440"/>
              </w:tabs>
              <w:contextualSpacing/>
              <w:jc w:val="center"/>
              <w:rPr>
                <w:sz w:val="16"/>
                <w:szCs w:val="16"/>
              </w:rPr>
            </w:pPr>
            <w:r>
              <w:rPr>
                <w:sz w:val="16"/>
                <w:szCs w:val="16"/>
              </w:rPr>
              <w:t>25,531</w:t>
            </w:r>
          </w:p>
        </w:tc>
        <w:tc>
          <w:tcPr>
            <w:tcW w:w="702" w:type="dxa"/>
            <w:vAlign w:val="center"/>
          </w:tcPr>
          <w:p w:rsidR="00B75B18" w:rsidRPr="00EB13D2" w:rsidRDefault="00B75B18" w:rsidP="00B75B18">
            <w:pPr>
              <w:tabs>
                <w:tab w:val="left" w:pos="-1440"/>
              </w:tabs>
              <w:contextualSpacing/>
              <w:jc w:val="center"/>
              <w:rPr>
                <w:sz w:val="16"/>
                <w:szCs w:val="16"/>
              </w:rPr>
            </w:pPr>
            <w:r>
              <w:rPr>
                <w:sz w:val="16"/>
                <w:szCs w:val="16"/>
              </w:rPr>
              <w:t>4,687</w:t>
            </w:r>
          </w:p>
        </w:tc>
        <w:tc>
          <w:tcPr>
            <w:tcW w:w="881" w:type="dxa"/>
            <w:vAlign w:val="center"/>
          </w:tcPr>
          <w:p w:rsidR="00B75B18" w:rsidRPr="00EB13D2" w:rsidRDefault="00B75B18" w:rsidP="00B75B18">
            <w:pPr>
              <w:tabs>
                <w:tab w:val="left" w:pos="-1440"/>
              </w:tabs>
              <w:contextualSpacing/>
              <w:jc w:val="center"/>
              <w:rPr>
                <w:sz w:val="16"/>
                <w:szCs w:val="16"/>
              </w:rPr>
            </w:pPr>
            <w:r>
              <w:rPr>
                <w:sz w:val="16"/>
                <w:szCs w:val="16"/>
              </w:rPr>
              <w:t>1,193,979</w:t>
            </w:r>
          </w:p>
        </w:tc>
      </w:tr>
      <w:tr w:rsidR="00B75B18" w:rsidRPr="00EB13D2" w:rsidTr="00B75B18">
        <w:trPr>
          <w:cantSplit/>
          <w:trHeight w:val="417"/>
          <w:jc w:val="center"/>
        </w:trPr>
        <w:tc>
          <w:tcPr>
            <w:tcW w:w="4985" w:type="dxa"/>
            <w:gridSpan w:val="2"/>
            <w:vAlign w:val="center"/>
          </w:tcPr>
          <w:p w:rsidR="00B75B18" w:rsidRPr="00EB13D2" w:rsidRDefault="00B75B18" w:rsidP="00B75B18">
            <w:pPr>
              <w:pStyle w:val="BodyText2"/>
              <w:contextualSpacing/>
              <w:rPr>
                <w:sz w:val="16"/>
                <w:szCs w:val="16"/>
              </w:rPr>
            </w:pPr>
            <w:r>
              <w:rPr>
                <w:b/>
                <w:bCs/>
                <w:sz w:val="16"/>
                <w:szCs w:val="16"/>
              </w:rPr>
              <w:t>Workload -- # of cases investigated (pending and received)</w:t>
            </w:r>
          </w:p>
        </w:tc>
        <w:tc>
          <w:tcPr>
            <w:tcW w:w="8081" w:type="dxa"/>
            <w:gridSpan w:val="10"/>
            <w:vAlign w:val="center"/>
          </w:tcPr>
          <w:p w:rsidR="00B75B18" w:rsidRPr="00B66849" w:rsidRDefault="00B75B18" w:rsidP="00B75B18">
            <w:pPr>
              <w:contextualSpacing/>
              <w:jc w:val="center"/>
              <w:rPr>
                <w:sz w:val="16"/>
                <w:szCs w:val="2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contextualSpacing/>
              <w:rPr>
                <w:b/>
                <w:bCs/>
                <w:sz w:val="16"/>
                <w:szCs w:val="16"/>
              </w:rPr>
            </w:pPr>
            <w:r>
              <w:rPr>
                <w:b/>
                <w:bCs/>
                <w:sz w:val="16"/>
                <w:szCs w:val="16"/>
              </w:rPr>
              <w:t>Performance Measure</w:t>
            </w:r>
          </w:p>
        </w:tc>
        <w:tc>
          <w:tcPr>
            <w:tcW w:w="2953" w:type="dxa"/>
            <w:vAlign w:val="center"/>
          </w:tcPr>
          <w:p w:rsidR="00B75B18" w:rsidRPr="00802F9D" w:rsidRDefault="00B75B18" w:rsidP="00B75B18">
            <w:pPr>
              <w:pStyle w:val="BodyText2"/>
              <w:contextualSpacing/>
              <w:rPr>
                <w:b/>
                <w:sz w:val="16"/>
                <w:szCs w:val="16"/>
              </w:rPr>
            </w:pPr>
            <w:r w:rsidRPr="00723C71">
              <w:rPr>
                <w:sz w:val="16"/>
                <w:szCs w:val="16"/>
              </w:rPr>
              <w:t xml:space="preserve">Percentage of </w:t>
            </w:r>
            <w:r>
              <w:rPr>
                <w:sz w:val="16"/>
                <w:szCs w:val="16"/>
              </w:rPr>
              <w:t xml:space="preserve">known </w:t>
            </w:r>
            <w:r w:rsidRPr="00723C71">
              <w:rPr>
                <w:sz w:val="16"/>
                <w:szCs w:val="16"/>
              </w:rPr>
              <w:t xml:space="preserve">intelligence </w:t>
            </w:r>
            <w:r>
              <w:rPr>
                <w:sz w:val="16"/>
                <w:szCs w:val="16"/>
              </w:rPr>
              <w:t>officers</w:t>
            </w:r>
            <w:r w:rsidRPr="00723C71">
              <w:rPr>
                <w:sz w:val="16"/>
                <w:szCs w:val="16"/>
              </w:rPr>
              <w:t xml:space="preserve"> from priority countries who are covered through the use of sophisticated techniques</w:t>
            </w:r>
            <w:r>
              <w:rPr>
                <w:sz w:val="16"/>
                <w:szCs w:val="16"/>
              </w:rPr>
              <w:t xml:space="preserve"> </w:t>
            </w:r>
            <w:r>
              <w:rPr>
                <w:b/>
                <w:sz w:val="16"/>
                <w:szCs w:val="16"/>
              </w:rPr>
              <w:t>[New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contextualSpacing/>
              <w:rPr>
                <w:b/>
                <w:bCs/>
                <w:sz w:val="16"/>
                <w:szCs w:val="16"/>
              </w:rPr>
            </w:pPr>
            <w:r>
              <w:rPr>
                <w:b/>
                <w:bCs/>
                <w:sz w:val="16"/>
                <w:szCs w:val="16"/>
              </w:rPr>
              <w:t>Performance Measure</w:t>
            </w:r>
          </w:p>
        </w:tc>
        <w:tc>
          <w:tcPr>
            <w:tcW w:w="2953" w:type="dxa"/>
            <w:vAlign w:val="center"/>
          </w:tcPr>
          <w:p w:rsidR="00B75B18" w:rsidRPr="00802F9D" w:rsidRDefault="00B75B18" w:rsidP="00B75B18">
            <w:pPr>
              <w:pStyle w:val="BodyText2"/>
              <w:contextualSpacing/>
              <w:rPr>
                <w:b/>
                <w:sz w:val="16"/>
                <w:szCs w:val="16"/>
              </w:rPr>
            </w:pPr>
            <w:r>
              <w:rPr>
                <w:sz w:val="16"/>
                <w:szCs w:val="16"/>
              </w:rPr>
              <w:t xml:space="preserve">Percentage of </w:t>
            </w:r>
            <w:r w:rsidRPr="00723C71">
              <w:rPr>
                <w:sz w:val="16"/>
                <w:szCs w:val="16"/>
              </w:rPr>
              <w:t>intell</w:t>
            </w:r>
            <w:r>
              <w:rPr>
                <w:sz w:val="16"/>
                <w:szCs w:val="16"/>
              </w:rPr>
              <w:t>igence officers</w:t>
            </w:r>
            <w:r w:rsidRPr="00723C71">
              <w:rPr>
                <w:sz w:val="16"/>
                <w:szCs w:val="16"/>
              </w:rPr>
              <w:t xml:space="preserve"> from priority c</w:t>
            </w:r>
            <w:r>
              <w:rPr>
                <w:sz w:val="16"/>
                <w:szCs w:val="16"/>
              </w:rPr>
              <w:t xml:space="preserve">ountries who have been disrupted or defeated </w:t>
            </w:r>
            <w:r>
              <w:rPr>
                <w:b/>
                <w:sz w:val="16"/>
                <w:szCs w:val="16"/>
              </w:rPr>
              <w:t>[New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contextualSpacing/>
              <w:rPr>
                <w:b/>
                <w:bCs/>
                <w:sz w:val="16"/>
                <w:szCs w:val="16"/>
              </w:rPr>
            </w:pPr>
            <w:r>
              <w:rPr>
                <w:b/>
                <w:bCs/>
                <w:sz w:val="16"/>
                <w:szCs w:val="16"/>
              </w:rPr>
              <w:t>Performance Measure</w:t>
            </w:r>
          </w:p>
        </w:tc>
        <w:tc>
          <w:tcPr>
            <w:tcW w:w="2953" w:type="dxa"/>
            <w:vAlign w:val="center"/>
          </w:tcPr>
          <w:p w:rsidR="00B75B18" w:rsidRPr="00802F9D" w:rsidRDefault="00B75B18" w:rsidP="00B75B18">
            <w:pPr>
              <w:pStyle w:val="BodyText2"/>
              <w:contextualSpacing/>
              <w:rPr>
                <w:b/>
                <w:sz w:val="16"/>
                <w:szCs w:val="16"/>
              </w:rPr>
            </w:pPr>
            <w:r>
              <w:rPr>
                <w:sz w:val="16"/>
                <w:szCs w:val="16"/>
              </w:rPr>
              <w:t xml:space="preserve">Number of successful prevention </w:t>
            </w:r>
            <w:r w:rsidRPr="00723C71">
              <w:rPr>
                <w:sz w:val="16"/>
                <w:szCs w:val="16"/>
              </w:rPr>
              <w:t>activities used by domain entities as a result of CI outreach</w:t>
            </w:r>
            <w:r>
              <w:rPr>
                <w:sz w:val="16"/>
                <w:szCs w:val="16"/>
              </w:rPr>
              <w:t xml:space="preserve"> </w:t>
            </w:r>
            <w:r>
              <w:rPr>
                <w:b/>
                <w:sz w:val="16"/>
                <w:szCs w:val="16"/>
              </w:rPr>
              <w:t>[New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contextualSpacing/>
              <w:rPr>
                <w:b/>
                <w:bCs/>
                <w:sz w:val="16"/>
                <w:szCs w:val="16"/>
              </w:rPr>
            </w:pPr>
            <w:r>
              <w:rPr>
                <w:b/>
                <w:bCs/>
                <w:sz w:val="16"/>
                <w:szCs w:val="16"/>
              </w:rPr>
              <w:t>Performance Measure</w:t>
            </w:r>
          </w:p>
        </w:tc>
        <w:tc>
          <w:tcPr>
            <w:tcW w:w="2953" w:type="dxa"/>
            <w:vAlign w:val="center"/>
          </w:tcPr>
          <w:p w:rsidR="00B75B18" w:rsidRPr="00802F9D" w:rsidRDefault="00B75B18" w:rsidP="00B75B18">
            <w:pPr>
              <w:pStyle w:val="BodyText2"/>
              <w:contextualSpacing/>
              <w:rPr>
                <w:b/>
                <w:sz w:val="14"/>
                <w:szCs w:val="16"/>
              </w:rPr>
            </w:pPr>
            <w:r w:rsidRPr="00723C71">
              <w:rPr>
                <w:sz w:val="16"/>
                <w:szCs w:val="16"/>
              </w:rPr>
              <w:t xml:space="preserve">Number of vulnerable entities which have been protected through </w:t>
            </w:r>
            <w:r>
              <w:rPr>
                <w:sz w:val="16"/>
                <w:szCs w:val="16"/>
              </w:rPr>
              <w:t>aggressive</w:t>
            </w:r>
            <w:r w:rsidRPr="00723C71">
              <w:rPr>
                <w:sz w:val="16"/>
                <w:szCs w:val="16"/>
              </w:rPr>
              <w:t xml:space="preserve"> CI </w:t>
            </w:r>
            <w:r>
              <w:rPr>
                <w:sz w:val="16"/>
                <w:szCs w:val="16"/>
              </w:rPr>
              <w:t xml:space="preserve">posture </w:t>
            </w:r>
            <w:r w:rsidRPr="00802F9D">
              <w:rPr>
                <w:b/>
                <w:sz w:val="16"/>
                <w:szCs w:val="16"/>
              </w:rPr>
              <w:t>[New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contextualSpacing/>
            </w:pPr>
            <w:r w:rsidRPr="00EB13D2">
              <w:rPr>
                <w:b/>
                <w:bCs/>
                <w:sz w:val="16"/>
                <w:szCs w:val="16"/>
              </w:rPr>
              <w:lastRenderedPageBreak/>
              <w:t>Performance Measure</w:t>
            </w:r>
          </w:p>
        </w:tc>
        <w:tc>
          <w:tcPr>
            <w:tcW w:w="2953" w:type="dxa"/>
            <w:vAlign w:val="center"/>
          </w:tcPr>
          <w:p w:rsidR="00B75B18" w:rsidRPr="00CD50BF" w:rsidRDefault="00B75B18" w:rsidP="00B75B18">
            <w:pPr>
              <w:pStyle w:val="BodyText2"/>
              <w:contextualSpacing/>
              <w:rPr>
                <w:b/>
                <w:sz w:val="16"/>
                <w:szCs w:val="16"/>
              </w:rPr>
            </w:pPr>
            <w:r w:rsidRPr="004A2928">
              <w:rPr>
                <w:sz w:val="16"/>
                <w:szCs w:val="16"/>
              </w:rPr>
              <w:t>Percentage of offices that have sufficiently identified Foreign Intelligence Service (FIS) activities</w:t>
            </w:r>
            <w:r>
              <w:rPr>
                <w:sz w:val="16"/>
                <w:szCs w:val="16"/>
              </w:rPr>
              <w:t xml:space="preserve"> </w:t>
            </w:r>
            <w:r>
              <w:rPr>
                <w:b/>
                <w:sz w:val="16"/>
                <w:szCs w:val="16"/>
              </w:rPr>
              <w:t>[Discontinued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pStyle w:val="BodyText2"/>
              <w:contextualSpacing/>
              <w:rPr>
                <w:b/>
                <w:bCs/>
                <w:sz w:val="16"/>
                <w:szCs w:val="16"/>
              </w:rPr>
            </w:pPr>
            <w:r w:rsidRPr="00EB13D2">
              <w:rPr>
                <w:b/>
                <w:bCs/>
                <w:sz w:val="16"/>
                <w:szCs w:val="16"/>
              </w:rPr>
              <w:t>Performance Measure</w:t>
            </w:r>
          </w:p>
        </w:tc>
        <w:tc>
          <w:tcPr>
            <w:tcW w:w="2953" w:type="dxa"/>
            <w:vAlign w:val="center"/>
          </w:tcPr>
          <w:p w:rsidR="00B75B18" w:rsidRPr="00723C71" w:rsidRDefault="00B75B18" w:rsidP="00B75B18">
            <w:pPr>
              <w:pStyle w:val="BodyText2"/>
              <w:contextualSpacing/>
              <w:rPr>
                <w:b/>
                <w:sz w:val="16"/>
                <w:szCs w:val="16"/>
              </w:rPr>
            </w:pPr>
            <w:r w:rsidRPr="004A2928">
              <w:rPr>
                <w:sz w:val="16"/>
                <w:szCs w:val="16"/>
              </w:rPr>
              <w:t>Percentage of field offices with adequate coverage of known or suspected intelligence officers</w:t>
            </w:r>
            <w:r>
              <w:rPr>
                <w:sz w:val="16"/>
                <w:szCs w:val="16"/>
              </w:rPr>
              <w:t xml:space="preserve"> </w:t>
            </w:r>
            <w:r>
              <w:rPr>
                <w:b/>
                <w:sz w:val="16"/>
                <w:szCs w:val="16"/>
              </w:rPr>
              <w:t>[Discontinued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pStyle w:val="BodyText2"/>
              <w:contextualSpacing/>
              <w:rPr>
                <w:b/>
                <w:bCs/>
                <w:sz w:val="16"/>
                <w:szCs w:val="16"/>
              </w:rPr>
            </w:pPr>
            <w:r w:rsidRPr="00EB13D2">
              <w:rPr>
                <w:b/>
                <w:bCs/>
                <w:sz w:val="16"/>
                <w:szCs w:val="16"/>
              </w:rPr>
              <w:t>Performance Measure</w:t>
            </w:r>
          </w:p>
        </w:tc>
        <w:tc>
          <w:tcPr>
            <w:tcW w:w="2953" w:type="dxa"/>
            <w:vAlign w:val="center"/>
          </w:tcPr>
          <w:p w:rsidR="00B75B18" w:rsidRPr="00723C71" w:rsidRDefault="00B75B18" w:rsidP="00B75B18">
            <w:pPr>
              <w:pStyle w:val="BodyText2"/>
              <w:contextualSpacing/>
              <w:rPr>
                <w:b/>
                <w:sz w:val="16"/>
                <w:szCs w:val="16"/>
              </w:rPr>
            </w:pPr>
            <w:r w:rsidRPr="004A2928">
              <w:rPr>
                <w:sz w:val="16"/>
                <w:szCs w:val="16"/>
              </w:rPr>
              <w:t>Percentage of field offices satisfactorily engaged in strategic partnerships with other USIC entities</w:t>
            </w:r>
            <w:r>
              <w:rPr>
                <w:sz w:val="16"/>
                <w:szCs w:val="16"/>
              </w:rPr>
              <w:t xml:space="preserve"> </w:t>
            </w:r>
            <w:r>
              <w:rPr>
                <w:b/>
                <w:sz w:val="16"/>
                <w:szCs w:val="16"/>
              </w:rPr>
              <w:t>[Discontinued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pStyle w:val="BodyText2"/>
              <w:contextualSpacing/>
              <w:rPr>
                <w:b/>
                <w:bCs/>
                <w:sz w:val="16"/>
                <w:szCs w:val="16"/>
              </w:rPr>
            </w:pPr>
            <w:r w:rsidRPr="00EB13D2">
              <w:rPr>
                <w:b/>
                <w:bCs/>
                <w:sz w:val="16"/>
                <w:szCs w:val="16"/>
              </w:rPr>
              <w:t>Performance Measure</w:t>
            </w:r>
          </w:p>
        </w:tc>
        <w:tc>
          <w:tcPr>
            <w:tcW w:w="2953" w:type="dxa"/>
            <w:vAlign w:val="center"/>
          </w:tcPr>
          <w:p w:rsidR="00B75B18" w:rsidRPr="00723C71" w:rsidRDefault="00B75B18" w:rsidP="00B75B18">
            <w:pPr>
              <w:pStyle w:val="BodyText2"/>
              <w:contextualSpacing/>
              <w:rPr>
                <w:b/>
                <w:sz w:val="16"/>
                <w:szCs w:val="16"/>
              </w:rPr>
            </w:pPr>
            <w:r w:rsidRPr="004A2928">
              <w:rPr>
                <w:sz w:val="16"/>
                <w:szCs w:val="16"/>
              </w:rPr>
              <w:t>Percentage of field offices that have satisfactorily demonstrated knowledge of and liaison with vulnerable entities within their domain</w:t>
            </w:r>
            <w:r>
              <w:rPr>
                <w:sz w:val="16"/>
                <w:szCs w:val="16"/>
              </w:rPr>
              <w:t xml:space="preserve"> </w:t>
            </w:r>
            <w:r>
              <w:rPr>
                <w:b/>
                <w:sz w:val="16"/>
                <w:szCs w:val="16"/>
              </w:rPr>
              <w:t>[Discontinued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pStyle w:val="BodyText2"/>
              <w:contextualSpacing/>
              <w:rPr>
                <w:b/>
                <w:bCs/>
                <w:sz w:val="16"/>
                <w:szCs w:val="16"/>
              </w:rPr>
            </w:pPr>
            <w:r w:rsidRPr="00EB13D2">
              <w:rPr>
                <w:b/>
                <w:bCs/>
                <w:sz w:val="16"/>
                <w:szCs w:val="16"/>
              </w:rPr>
              <w:t>Performance Measure</w:t>
            </w:r>
          </w:p>
        </w:tc>
        <w:tc>
          <w:tcPr>
            <w:tcW w:w="2953" w:type="dxa"/>
            <w:vAlign w:val="center"/>
          </w:tcPr>
          <w:p w:rsidR="00B75B18" w:rsidRPr="00723C71" w:rsidRDefault="00B75B18" w:rsidP="00B75B18">
            <w:pPr>
              <w:pStyle w:val="BodyText2"/>
              <w:contextualSpacing/>
              <w:rPr>
                <w:b/>
                <w:sz w:val="16"/>
                <w:szCs w:val="16"/>
              </w:rPr>
            </w:pPr>
            <w:r w:rsidRPr="004A2928">
              <w:rPr>
                <w:sz w:val="16"/>
                <w:szCs w:val="16"/>
              </w:rPr>
              <w:t>Percentage of field offices that have identified and documented priority threat country operations</w:t>
            </w:r>
            <w:r>
              <w:rPr>
                <w:b/>
                <w:sz w:val="16"/>
                <w:szCs w:val="16"/>
              </w:rPr>
              <w:t>[Discontinued Measure]</w:t>
            </w:r>
          </w:p>
        </w:tc>
        <w:tc>
          <w:tcPr>
            <w:tcW w:w="8081" w:type="dxa"/>
            <w:gridSpan w:val="10"/>
            <w:vAlign w:val="center"/>
          </w:tcPr>
          <w:p w:rsidR="00B75B18" w:rsidRPr="00B66849" w:rsidRDefault="00B75B18" w:rsidP="00B75B18">
            <w:pPr>
              <w:tabs>
                <w:tab w:val="left" w:pos="-1440"/>
              </w:tabs>
              <w:contextualSpacing/>
              <w:jc w:val="center"/>
              <w:rPr>
                <w:sz w:val="16"/>
                <w:szCs w:val="16"/>
              </w:rPr>
            </w:pPr>
            <w:r>
              <w:rPr>
                <w:sz w:val="16"/>
                <w:szCs w:val="16"/>
              </w:rPr>
              <w:t>This information is Classified.</w:t>
            </w:r>
          </w:p>
        </w:tc>
      </w:tr>
      <w:tr w:rsidR="00B75B18" w:rsidRPr="00EB13D2" w:rsidTr="00B75B18">
        <w:trPr>
          <w:cantSplit/>
          <w:trHeight w:val="417"/>
          <w:jc w:val="center"/>
        </w:trPr>
        <w:tc>
          <w:tcPr>
            <w:tcW w:w="2032" w:type="dxa"/>
            <w:vAlign w:val="center"/>
          </w:tcPr>
          <w:p w:rsidR="00B75B18" w:rsidRPr="00EB13D2" w:rsidRDefault="00B75B18" w:rsidP="00B75B18">
            <w:pPr>
              <w:contextualSpacing/>
              <w:rPr>
                <w:b/>
                <w:bCs/>
                <w:sz w:val="16"/>
                <w:szCs w:val="16"/>
              </w:rPr>
            </w:pPr>
            <w:r w:rsidRPr="00EB13D2">
              <w:rPr>
                <w:b/>
                <w:bCs/>
                <w:sz w:val="16"/>
                <w:szCs w:val="16"/>
              </w:rPr>
              <w:t>Efficiency  Measure</w:t>
            </w:r>
          </w:p>
        </w:tc>
        <w:tc>
          <w:tcPr>
            <w:tcW w:w="2953" w:type="dxa"/>
            <w:vAlign w:val="center"/>
          </w:tcPr>
          <w:p w:rsidR="00B75B18" w:rsidRPr="004A2928" w:rsidRDefault="00B75B18" w:rsidP="00B75B18">
            <w:pPr>
              <w:contextualSpacing/>
              <w:rPr>
                <w:b/>
                <w:sz w:val="16"/>
                <w:szCs w:val="16"/>
              </w:rPr>
            </w:pPr>
            <w:r w:rsidRPr="004A2928">
              <w:rPr>
                <w:rFonts w:eastAsia="SimSun"/>
                <w:color w:val="000000"/>
                <w:sz w:val="16"/>
                <w:szCs w:val="16"/>
                <w:lang w:eastAsia="zh-CN"/>
              </w:rPr>
              <w:t xml:space="preserve">Cost savings/ efficiencies through the Lookout Program  </w:t>
            </w:r>
            <w:r>
              <w:rPr>
                <w:rFonts w:eastAsia="SimSun"/>
                <w:b/>
                <w:color w:val="000000"/>
                <w:sz w:val="16"/>
                <w:szCs w:val="16"/>
                <w:lang w:eastAsia="zh-CN"/>
              </w:rPr>
              <w:t>[New measure]</w:t>
            </w:r>
          </w:p>
        </w:tc>
        <w:tc>
          <w:tcPr>
            <w:tcW w:w="1616" w:type="dxa"/>
            <w:gridSpan w:val="2"/>
            <w:vAlign w:val="center"/>
          </w:tcPr>
          <w:p w:rsidR="00B75B18" w:rsidRPr="00EB13D2" w:rsidRDefault="00B75B18" w:rsidP="00B75B18">
            <w:pPr>
              <w:tabs>
                <w:tab w:val="left" w:pos="-1440"/>
              </w:tabs>
              <w:contextualSpacing/>
              <w:jc w:val="right"/>
              <w:rPr>
                <w:sz w:val="16"/>
                <w:szCs w:val="26"/>
              </w:rPr>
            </w:pPr>
            <w:r>
              <w:rPr>
                <w:sz w:val="16"/>
                <w:szCs w:val="26"/>
              </w:rPr>
              <w:t>$319,730</w:t>
            </w:r>
          </w:p>
        </w:tc>
        <w:tc>
          <w:tcPr>
            <w:tcW w:w="1616" w:type="dxa"/>
            <w:gridSpan w:val="2"/>
            <w:vAlign w:val="center"/>
          </w:tcPr>
          <w:p w:rsidR="00B75B18" w:rsidRPr="00443734" w:rsidRDefault="00B75B18" w:rsidP="00B75B18">
            <w:pPr>
              <w:tabs>
                <w:tab w:val="left" w:pos="-1440"/>
              </w:tabs>
              <w:contextualSpacing/>
              <w:jc w:val="right"/>
              <w:rPr>
                <w:sz w:val="16"/>
                <w:szCs w:val="16"/>
              </w:rPr>
            </w:pPr>
            <w:r>
              <w:rPr>
                <w:sz w:val="16"/>
                <w:szCs w:val="16"/>
              </w:rPr>
              <w:t>$373,530</w:t>
            </w:r>
          </w:p>
        </w:tc>
        <w:tc>
          <w:tcPr>
            <w:tcW w:w="1616" w:type="dxa"/>
            <w:gridSpan w:val="2"/>
            <w:vAlign w:val="center"/>
          </w:tcPr>
          <w:p w:rsidR="00B75B18" w:rsidRPr="00443734" w:rsidRDefault="00B75B18" w:rsidP="00B75B18">
            <w:pPr>
              <w:tabs>
                <w:tab w:val="left" w:pos="-1440"/>
              </w:tabs>
              <w:contextualSpacing/>
              <w:jc w:val="right"/>
              <w:rPr>
                <w:sz w:val="16"/>
                <w:szCs w:val="26"/>
              </w:rPr>
            </w:pPr>
            <w:r>
              <w:rPr>
                <w:sz w:val="16"/>
                <w:szCs w:val="26"/>
              </w:rPr>
              <w:t>$170,732</w:t>
            </w:r>
          </w:p>
        </w:tc>
        <w:tc>
          <w:tcPr>
            <w:tcW w:w="1650" w:type="dxa"/>
            <w:gridSpan w:val="2"/>
            <w:vAlign w:val="center"/>
          </w:tcPr>
          <w:p w:rsidR="00B75B18" w:rsidRPr="00443734" w:rsidRDefault="00B75B18" w:rsidP="00B75B18">
            <w:pPr>
              <w:tabs>
                <w:tab w:val="left" w:pos="-1440"/>
              </w:tabs>
              <w:contextualSpacing/>
              <w:jc w:val="right"/>
              <w:rPr>
                <w:sz w:val="16"/>
                <w:szCs w:val="16"/>
              </w:rPr>
            </w:pPr>
            <w:r>
              <w:rPr>
                <w:sz w:val="16"/>
                <w:szCs w:val="16"/>
              </w:rPr>
              <w:t>($36,732)</w:t>
            </w:r>
          </w:p>
        </w:tc>
        <w:tc>
          <w:tcPr>
            <w:tcW w:w="1583" w:type="dxa"/>
            <w:gridSpan w:val="2"/>
            <w:vAlign w:val="center"/>
          </w:tcPr>
          <w:p w:rsidR="00B75B18" w:rsidRPr="00443734" w:rsidRDefault="00B75B18" w:rsidP="00B75B18">
            <w:pPr>
              <w:tabs>
                <w:tab w:val="left" w:pos="-1440"/>
              </w:tabs>
              <w:contextualSpacing/>
              <w:jc w:val="right"/>
              <w:rPr>
                <w:sz w:val="16"/>
                <w:szCs w:val="26"/>
              </w:rPr>
            </w:pPr>
            <w:r>
              <w:rPr>
                <w:sz w:val="16"/>
                <w:szCs w:val="26"/>
              </w:rPr>
              <w:t>$134,000</w:t>
            </w:r>
          </w:p>
        </w:tc>
      </w:tr>
      <w:tr w:rsidR="00B75B18" w:rsidRPr="00EB13D2" w:rsidTr="00B75B18">
        <w:trPr>
          <w:cantSplit/>
          <w:trHeight w:val="417"/>
          <w:jc w:val="center"/>
        </w:trPr>
        <w:tc>
          <w:tcPr>
            <w:tcW w:w="2032" w:type="dxa"/>
            <w:vAlign w:val="center"/>
          </w:tcPr>
          <w:p w:rsidR="00B75B18" w:rsidRPr="00EB13D2" w:rsidRDefault="00B75B18" w:rsidP="00B75B18">
            <w:pPr>
              <w:contextualSpacing/>
              <w:rPr>
                <w:b/>
                <w:bCs/>
                <w:sz w:val="16"/>
                <w:szCs w:val="16"/>
              </w:rPr>
            </w:pPr>
            <w:r>
              <w:rPr>
                <w:b/>
                <w:bCs/>
                <w:sz w:val="16"/>
                <w:szCs w:val="16"/>
              </w:rPr>
              <w:t>Performance Measure</w:t>
            </w:r>
          </w:p>
        </w:tc>
        <w:tc>
          <w:tcPr>
            <w:tcW w:w="2953" w:type="dxa"/>
            <w:vAlign w:val="center"/>
          </w:tcPr>
          <w:p w:rsidR="00B75B18" w:rsidRPr="00286310" w:rsidRDefault="00B75B18" w:rsidP="00B75B18">
            <w:pPr>
              <w:contextualSpacing/>
              <w:rPr>
                <w:rFonts w:eastAsia="SimSun"/>
                <w:b/>
                <w:color w:val="000000"/>
                <w:sz w:val="16"/>
                <w:szCs w:val="16"/>
                <w:lang w:eastAsia="zh-CN"/>
              </w:rPr>
            </w:pPr>
            <w:r w:rsidRPr="00286310">
              <w:rPr>
                <w:rFonts w:eastAsia="SimSun"/>
                <w:color w:val="000000"/>
                <w:sz w:val="16"/>
                <w:szCs w:val="16"/>
                <w:lang w:eastAsia="zh-CN"/>
              </w:rPr>
              <w:t>Number of surveillance targets the FBI can cover on a 24/7 basis</w:t>
            </w:r>
            <w:r>
              <w:rPr>
                <w:rFonts w:eastAsia="SimSun"/>
                <w:color w:val="000000"/>
                <w:sz w:val="16"/>
                <w:szCs w:val="16"/>
                <w:lang w:eastAsia="zh-CN"/>
              </w:rPr>
              <w:t xml:space="preserve"> </w:t>
            </w:r>
            <w:r>
              <w:rPr>
                <w:rFonts w:eastAsia="SimSun"/>
                <w:b/>
                <w:color w:val="000000"/>
                <w:sz w:val="16"/>
                <w:szCs w:val="16"/>
                <w:lang w:eastAsia="zh-CN"/>
              </w:rPr>
              <w:t>[New measure]</w:t>
            </w:r>
          </w:p>
        </w:tc>
        <w:tc>
          <w:tcPr>
            <w:tcW w:w="8081" w:type="dxa"/>
            <w:gridSpan w:val="10"/>
            <w:tcBorders>
              <w:bottom w:val="single" w:sz="4" w:space="0" w:color="auto"/>
            </w:tcBorders>
            <w:vAlign w:val="center"/>
          </w:tcPr>
          <w:p w:rsidR="00B75B18" w:rsidRPr="00B66849" w:rsidRDefault="00B75B18" w:rsidP="00B75B18">
            <w:pPr>
              <w:tabs>
                <w:tab w:val="left" w:pos="-1440"/>
              </w:tabs>
              <w:contextualSpacing/>
              <w:jc w:val="center"/>
              <w:rPr>
                <w:sz w:val="16"/>
                <w:szCs w:val="26"/>
              </w:rPr>
            </w:pPr>
            <w:r>
              <w:rPr>
                <w:sz w:val="16"/>
                <w:szCs w:val="16"/>
              </w:rPr>
              <w:t>This information is Classified.</w:t>
            </w:r>
          </w:p>
        </w:tc>
      </w:tr>
      <w:tr w:rsidR="00B75B18" w:rsidRPr="00EB13D2" w:rsidTr="00B75B18">
        <w:trPr>
          <w:cantSplit/>
          <w:jc w:val="center"/>
        </w:trPr>
        <w:tc>
          <w:tcPr>
            <w:tcW w:w="2032" w:type="dxa"/>
            <w:vMerge w:val="restart"/>
            <w:vAlign w:val="center"/>
          </w:tcPr>
          <w:p w:rsidR="00B75B18" w:rsidRPr="00EB13D2" w:rsidRDefault="00B75B18" w:rsidP="00B75B18">
            <w:pPr>
              <w:pStyle w:val="BodyText2"/>
              <w:contextualSpacing/>
              <w:rPr>
                <w:b/>
                <w:bCs/>
                <w:sz w:val="16"/>
                <w:szCs w:val="16"/>
              </w:rPr>
            </w:pPr>
            <w:r w:rsidRPr="00EB13D2">
              <w:rPr>
                <w:b/>
                <w:bCs/>
                <w:sz w:val="16"/>
                <w:szCs w:val="16"/>
              </w:rPr>
              <w:t>Program Activity/ 1.1</w:t>
            </w:r>
          </w:p>
        </w:tc>
        <w:tc>
          <w:tcPr>
            <w:tcW w:w="2953" w:type="dxa"/>
            <w:vMerge w:val="restart"/>
            <w:vAlign w:val="center"/>
          </w:tcPr>
          <w:p w:rsidR="00B75B18" w:rsidRPr="00EB13D2" w:rsidRDefault="00B75B18" w:rsidP="00B75B18">
            <w:pPr>
              <w:tabs>
                <w:tab w:val="left" w:pos="-1440"/>
              </w:tabs>
              <w:contextualSpacing/>
              <w:rPr>
                <w:b/>
                <w:bCs/>
                <w:sz w:val="16"/>
                <w:szCs w:val="16"/>
              </w:rPr>
            </w:pPr>
            <w:r w:rsidRPr="00EB13D2">
              <w:rPr>
                <w:b/>
                <w:bCs/>
                <w:sz w:val="16"/>
                <w:szCs w:val="16"/>
              </w:rPr>
              <w:t xml:space="preserve"> 3. Cyber Program (Intrusions)</w:t>
            </w:r>
          </w:p>
        </w:tc>
        <w:tc>
          <w:tcPr>
            <w:tcW w:w="720"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6"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4"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9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2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808"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4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c>
          <w:tcPr>
            <w:tcW w:w="702"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FTE</w:t>
            </w:r>
          </w:p>
        </w:tc>
        <w:tc>
          <w:tcPr>
            <w:tcW w:w="881" w:type="dxa"/>
            <w:shd w:val="clear" w:color="auto" w:fill="FFFFCC"/>
            <w:vAlign w:val="center"/>
          </w:tcPr>
          <w:p w:rsidR="00B75B18" w:rsidRPr="00EB13D2" w:rsidRDefault="00B75B18" w:rsidP="00B75B18">
            <w:pPr>
              <w:tabs>
                <w:tab w:val="left" w:pos="-1440"/>
              </w:tabs>
              <w:contextualSpacing/>
              <w:jc w:val="center"/>
              <w:rPr>
                <w:b/>
                <w:bCs/>
                <w:sz w:val="16"/>
                <w:szCs w:val="16"/>
              </w:rPr>
            </w:pPr>
            <w:r w:rsidRPr="00EB13D2">
              <w:rPr>
                <w:b/>
                <w:bCs/>
                <w:sz w:val="16"/>
                <w:szCs w:val="16"/>
              </w:rPr>
              <w:t>$000</w:t>
            </w:r>
          </w:p>
        </w:tc>
      </w:tr>
      <w:tr w:rsidR="00B75B18" w:rsidRPr="00EB13D2" w:rsidTr="00B75B18">
        <w:trPr>
          <w:cantSplit/>
          <w:jc w:val="center"/>
        </w:trPr>
        <w:tc>
          <w:tcPr>
            <w:tcW w:w="2032" w:type="dxa"/>
            <w:vMerge/>
            <w:vAlign w:val="center"/>
          </w:tcPr>
          <w:p w:rsidR="00B75B18" w:rsidRPr="00EB13D2" w:rsidRDefault="00B75B18" w:rsidP="00B75B18">
            <w:pPr>
              <w:pStyle w:val="BodyText2"/>
              <w:contextualSpacing/>
              <w:rPr>
                <w:b/>
                <w:bCs/>
                <w:sz w:val="16"/>
                <w:szCs w:val="16"/>
              </w:rPr>
            </w:pPr>
          </w:p>
        </w:tc>
        <w:tc>
          <w:tcPr>
            <w:tcW w:w="2953" w:type="dxa"/>
            <w:vMerge/>
          </w:tcPr>
          <w:p w:rsidR="00B75B18" w:rsidRPr="00EB13D2" w:rsidRDefault="00B75B18" w:rsidP="00B75B18">
            <w:pPr>
              <w:tabs>
                <w:tab w:val="left" w:pos="-1440"/>
              </w:tabs>
              <w:contextualSpacing/>
              <w:rPr>
                <w:b/>
                <w:bCs/>
                <w:sz w:val="16"/>
                <w:szCs w:val="16"/>
              </w:rPr>
            </w:pPr>
          </w:p>
        </w:tc>
        <w:tc>
          <w:tcPr>
            <w:tcW w:w="720" w:type="dxa"/>
            <w:vAlign w:val="center"/>
          </w:tcPr>
          <w:p w:rsidR="00B75B18" w:rsidRPr="00EB13D2" w:rsidRDefault="00B75B18" w:rsidP="00B75B18">
            <w:pPr>
              <w:tabs>
                <w:tab w:val="left" w:pos="-1440"/>
              </w:tabs>
              <w:contextualSpacing/>
              <w:jc w:val="center"/>
              <w:rPr>
                <w:b/>
                <w:bCs/>
                <w:sz w:val="16"/>
                <w:szCs w:val="16"/>
              </w:rPr>
            </w:pPr>
            <w:r>
              <w:rPr>
                <w:b/>
                <w:bCs/>
                <w:sz w:val="16"/>
                <w:szCs w:val="16"/>
              </w:rPr>
              <w:t>625</w:t>
            </w:r>
          </w:p>
        </w:tc>
        <w:tc>
          <w:tcPr>
            <w:tcW w:w="896" w:type="dxa"/>
            <w:vAlign w:val="center"/>
          </w:tcPr>
          <w:p w:rsidR="00B75B18" w:rsidRPr="00EB13D2" w:rsidRDefault="00B75B18" w:rsidP="00B75B18">
            <w:pPr>
              <w:tabs>
                <w:tab w:val="left" w:pos="-1440"/>
              </w:tabs>
              <w:contextualSpacing/>
              <w:jc w:val="center"/>
              <w:rPr>
                <w:b/>
                <w:bCs/>
                <w:sz w:val="16"/>
                <w:szCs w:val="16"/>
              </w:rPr>
            </w:pPr>
            <w:r>
              <w:rPr>
                <w:b/>
                <w:bCs/>
                <w:sz w:val="16"/>
                <w:szCs w:val="16"/>
              </w:rPr>
              <w:t>193,554</w:t>
            </w:r>
          </w:p>
        </w:tc>
        <w:tc>
          <w:tcPr>
            <w:tcW w:w="724" w:type="dxa"/>
            <w:vAlign w:val="center"/>
          </w:tcPr>
          <w:p w:rsidR="00B75B18" w:rsidRPr="00EB13D2" w:rsidRDefault="00B75B18" w:rsidP="00B75B18">
            <w:pPr>
              <w:tabs>
                <w:tab w:val="left" w:pos="-1440"/>
              </w:tabs>
              <w:contextualSpacing/>
              <w:jc w:val="center"/>
              <w:rPr>
                <w:b/>
                <w:bCs/>
                <w:sz w:val="16"/>
                <w:szCs w:val="16"/>
              </w:rPr>
            </w:pPr>
            <w:r>
              <w:rPr>
                <w:b/>
                <w:bCs/>
                <w:sz w:val="16"/>
                <w:szCs w:val="16"/>
              </w:rPr>
              <w:t>724</w:t>
            </w:r>
          </w:p>
        </w:tc>
        <w:tc>
          <w:tcPr>
            <w:tcW w:w="892" w:type="dxa"/>
            <w:vAlign w:val="center"/>
          </w:tcPr>
          <w:p w:rsidR="00B75B18" w:rsidRPr="00EB13D2" w:rsidRDefault="00B75B18" w:rsidP="00B75B18">
            <w:pPr>
              <w:tabs>
                <w:tab w:val="left" w:pos="-1440"/>
              </w:tabs>
              <w:contextualSpacing/>
              <w:jc w:val="center"/>
              <w:rPr>
                <w:b/>
                <w:bCs/>
                <w:sz w:val="16"/>
                <w:szCs w:val="16"/>
              </w:rPr>
            </w:pPr>
            <w:r>
              <w:rPr>
                <w:b/>
                <w:bCs/>
                <w:sz w:val="16"/>
                <w:szCs w:val="16"/>
              </w:rPr>
              <w:t>222,879</w:t>
            </w:r>
          </w:p>
        </w:tc>
        <w:tc>
          <w:tcPr>
            <w:tcW w:w="728" w:type="dxa"/>
            <w:vAlign w:val="center"/>
          </w:tcPr>
          <w:p w:rsidR="00B75B18" w:rsidRPr="00EB13D2" w:rsidRDefault="00B75B18" w:rsidP="00B75B18">
            <w:pPr>
              <w:tabs>
                <w:tab w:val="left" w:pos="-1440"/>
              </w:tabs>
              <w:contextualSpacing/>
              <w:jc w:val="center"/>
              <w:rPr>
                <w:b/>
                <w:bCs/>
                <w:sz w:val="16"/>
                <w:szCs w:val="16"/>
              </w:rPr>
            </w:pPr>
            <w:r>
              <w:rPr>
                <w:b/>
                <w:bCs/>
                <w:sz w:val="16"/>
                <w:szCs w:val="16"/>
              </w:rPr>
              <w:t>624</w:t>
            </w:r>
          </w:p>
        </w:tc>
        <w:tc>
          <w:tcPr>
            <w:tcW w:w="888" w:type="dxa"/>
            <w:vAlign w:val="center"/>
          </w:tcPr>
          <w:p w:rsidR="00B75B18" w:rsidRPr="00EB13D2" w:rsidRDefault="00B75B18" w:rsidP="00B75B18">
            <w:pPr>
              <w:tabs>
                <w:tab w:val="left" w:pos="-1440"/>
              </w:tabs>
              <w:contextualSpacing/>
              <w:jc w:val="center"/>
              <w:rPr>
                <w:b/>
                <w:bCs/>
                <w:sz w:val="16"/>
                <w:szCs w:val="16"/>
              </w:rPr>
            </w:pPr>
            <w:r>
              <w:rPr>
                <w:b/>
                <w:bCs/>
                <w:sz w:val="16"/>
                <w:szCs w:val="16"/>
              </w:rPr>
              <w:t>193,745</w:t>
            </w:r>
          </w:p>
        </w:tc>
        <w:tc>
          <w:tcPr>
            <w:tcW w:w="808" w:type="dxa"/>
            <w:vAlign w:val="center"/>
          </w:tcPr>
          <w:p w:rsidR="00B75B18" w:rsidRPr="00EB13D2" w:rsidRDefault="00B75B18" w:rsidP="00B75B18">
            <w:pPr>
              <w:tabs>
                <w:tab w:val="left" w:pos="-1440"/>
              </w:tabs>
              <w:contextualSpacing/>
              <w:jc w:val="center"/>
              <w:rPr>
                <w:b/>
                <w:bCs/>
                <w:sz w:val="16"/>
                <w:szCs w:val="16"/>
              </w:rPr>
            </w:pPr>
            <w:r>
              <w:rPr>
                <w:b/>
                <w:bCs/>
                <w:sz w:val="16"/>
                <w:szCs w:val="16"/>
              </w:rPr>
              <w:t>4</w:t>
            </w:r>
          </w:p>
        </w:tc>
        <w:tc>
          <w:tcPr>
            <w:tcW w:w="842" w:type="dxa"/>
            <w:vAlign w:val="center"/>
          </w:tcPr>
          <w:p w:rsidR="00B75B18" w:rsidRPr="00EB13D2" w:rsidRDefault="00B75B18" w:rsidP="00B75B18">
            <w:pPr>
              <w:tabs>
                <w:tab w:val="left" w:pos="-1440"/>
              </w:tabs>
              <w:contextualSpacing/>
              <w:jc w:val="center"/>
              <w:rPr>
                <w:b/>
                <w:bCs/>
                <w:sz w:val="16"/>
                <w:szCs w:val="16"/>
              </w:rPr>
            </w:pPr>
            <w:r>
              <w:rPr>
                <w:b/>
                <w:bCs/>
                <w:sz w:val="16"/>
                <w:szCs w:val="16"/>
              </w:rPr>
              <w:t>4,964</w:t>
            </w:r>
          </w:p>
        </w:tc>
        <w:tc>
          <w:tcPr>
            <w:tcW w:w="702" w:type="dxa"/>
            <w:vAlign w:val="center"/>
          </w:tcPr>
          <w:p w:rsidR="00B75B18" w:rsidRPr="00EB13D2" w:rsidRDefault="00B75B18" w:rsidP="00B75B18">
            <w:pPr>
              <w:tabs>
                <w:tab w:val="left" w:pos="-1440"/>
              </w:tabs>
              <w:contextualSpacing/>
              <w:jc w:val="center"/>
              <w:rPr>
                <w:b/>
                <w:bCs/>
                <w:sz w:val="16"/>
                <w:szCs w:val="16"/>
              </w:rPr>
            </w:pPr>
            <w:r>
              <w:rPr>
                <w:b/>
                <w:bCs/>
                <w:sz w:val="16"/>
                <w:szCs w:val="16"/>
              </w:rPr>
              <w:t>734</w:t>
            </w:r>
          </w:p>
        </w:tc>
        <w:tc>
          <w:tcPr>
            <w:tcW w:w="881" w:type="dxa"/>
            <w:vAlign w:val="center"/>
          </w:tcPr>
          <w:p w:rsidR="00B75B18" w:rsidRPr="00EB13D2" w:rsidRDefault="00B75B18" w:rsidP="00B75B18">
            <w:pPr>
              <w:tabs>
                <w:tab w:val="left" w:pos="-1440"/>
              </w:tabs>
              <w:contextualSpacing/>
              <w:jc w:val="center"/>
              <w:rPr>
                <w:b/>
                <w:bCs/>
                <w:sz w:val="16"/>
                <w:szCs w:val="16"/>
              </w:rPr>
            </w:pPr>
            <w:r>
              <w:rPr>
                <w:b/>
                <w:bCs/>
                <w:sz w:val="16"/>
                <w:szCs w:val="16"/>
              </w:rPr>
              <w:t>218,103</w:t>
            </w:r>
          </w:p>
        </w:tc>
      </w:tr>
      <w:tr w:rsidR="00B75B18" w:rsidRPr="00EB13D2" w:rsidTr="00B75B18">
        <w:trPr>
          <w:cantSplit/>
          <w:trHeight w:val="356"/>
          <w:jc w:val="center"/>
        </w:trPr>
        <w:tc>
          <w:tcPr>
            <w:tcW w:w="4985" w:type="dxa"/>
            <w:gridSpan w:val="2"/>
            <w:vAlign w:val="center"/>
          </w:tcPr>
          <w:p w:rsidR="00B75B18" w:rsidRPr="00EB13D2" w:rsidRDefault="00B75B18" w:rsidP="00B75B18">
            <w:pPr>
              <w:tabs>
                <w:tab w:val="left" w:pos="-1440"/>
              </w:tabs>
              <w:contextualSpacing/>
              <w:rPr>
                <w:sz w:val="16"/>
                <w:szCs w:val="16"/>
              </w:rPr>
            </w:pPr>
            <w:r>
              <w:rPr>
                <w:b/>
                <w:bCs/>
                <w:sz w:val="16"/>
                <w:szCs w:val="16"/>
              </w:rPr>
              <w:t>Workload -- # of cases investigated (pending and received)</w:t>
            </w:r>
          </w:p>
        </w:tc>
        <w:tc>
          <w:tcPr>
            <w:tcW w:w="1616" w:type="dxa"/>
            <w:gridSpan w:val="2"/>
            <w:vAlign w:val="center"/>
          </w:tcPr>
          <w:p w:rsidR="00B75B18" w:rsidRPr="00EB13D2" w:rsidRDefault="00B75B18" w:rsidP="00B75B18">
            <w:pPr>
              <w:contextualSpacing/>
              <w:jc w:val="right"/>
              <w:rPr>
                <w:sz w:val="16"/>
                <w:szCs w:val="26"/>
              </w:rPr>
            </w:pPr>
            <w:r w:rsidRPr="00EB13D2">
              <w:rPr>
                <w:sz w:val="16"/>
                <w:szCs w:val="26"/>
              </w:rPr>
              <w:t>†</w:t>
            </w:r>
          </w:p>
        </w:tc>
        <w:tc>
          <w:tcPr>
            <w:tcW w:w="1616" w:type="dxa"/>
            <w:gridSpan w:val="2"/>
            <w:vAlign w:val="center"/>
          </w:tcPr>
          <w:p w:rsidR="00B75B18" w:rsidRPr="00005DF1" w:rsidRDefault="00B75B18" w:rsidP="00B75B18">
            <w:pPr>
              <w:contextualSpacing/>
              <w:jc w:val="right"/>
              <w:rPr>
                <w:sz w:val="16"/>
                <w:szCs w:val="26"/>
              </w:rPr>
            </w:pPr>
            <w:r>
              <w:rPr>
                <w:sz w:val="16"/>
                <w:szCs w:val="26"/>
              </w:rPr>
              <w:t>4,115</w:t>
            </w:r>
          </w:p>
        </w:tc>
        <w:tc>
          <w:tcPr>
            <w:tcW w:w="1616" w:type="dxa"/>
            <w:gridSpan w:val="2"/>
            <w:vAlign w:val="center"/>
          </w:tcPr>
          <w:p w:rsidR="00B75B18" w:rsidRPr="00EB13D2" w:rsidRDefault="00B75B18" w:rsidP="00B75B18">
            <w:pPr>
              <w:contextualSpacing/>
              <w:jc w:val="right"/>
              <w:rPr>
                <w:sz w:val="16"/>
                <w:szCs w:val="26"/>
              </w:rPr>
            </w:pPr>
            <w:r w:rsidRPr="00EB13D2">
              <w:rPr>
                <w:sz w:val="16"/>
                <w:szCs w:val="26"/>
              </w:rPr>
              <w:t>†</w:t>
            </w:r>
          </w:p>
        </w:tc>
        <w:tc>
          <w:tcPr>
            <w:tcW w:w="1650" w:type="dxa"/>
            <w:gridSpan w:val="2"/>
            <w:vAlign w:val="center"/>
          </w:tcPr>
          <w:p w:rsidR="00B75B18" w:rsidRPr="00B66849" w:rsidRDefault="00B75B18" w:rsidP="00B75B18">
            <w:pPr>
              <w:contextualSpacing/>
              <w:jc w:val="right"/>
              <w:rPr>
                <w:sz w:val="16"/>
                <w:szCs w:val="26"/>
              </w:rPr>
            </w:pPr>
            <w:r w:rsidRPr="00B66849">
              <w:rPr>
                <w:sz w:val="16"/>
                <w:szCs w:val="26"/>
              </w:rPr>
              <w:t>†</w:t>
            </w:r>
          </w:p>
        </w:tc>
        <w:tc>
          <w:tcPr>
            <w:tcW w:w="1583" w:type="dxa"/>
            <w:gridSpan w:val="2"/>
            <w:vAlign w:val="center"/>
          </w:tcPr>
          <w:p w:rsidR="00B75B18" w:rsidRPr="00B66849" w:rsidRDefault="00B75B18" w:rsidP="00B75B18">
            <w:pPr>
              <w:contextualSpacing/>
              <w:jc w:val="right"/>
              <w:rPr>
                <w:sz w:val="16"/>
                <w:szCs w:val="26"/>
              </w:rPr>
            </w:pPr>
            <w:r w:rsidRPr="00B66849">
              <w:rPr>
                <w:sz w:val="16"/>
                <w:szCs w:val="26"/>
              </w:rPr>
              <w:t>†</w:t>
            </w:r>
          </w:p>
        </w:tc>
      </w:tr>
      <w:tr w:rsidR="00B75B18" w:rsidRPr="00EB13D2" w:rsidTr="00B75B18">
        <w:trPr>
          <w:cantSplit/>
          <w:trHeight w:val="356"/>
          <w:jc w:val="center"/>
        </w:trPr>
        <w:tc>
          <w:tcPr>
            <w:tcW w:w="2032" w:type="dxa"/>
            <w:vAlign w:val="center"/>
          </w:tcPr>
          <w:p w:rsidR="00B75B18" w:rsidRPr="00EB13D2" w:rsidRDefault="00B75B18" w:rsidP="00B75B18">
            <w:pPr>
              <w:pStyle w:val="BodyText2"/>
              <w:contextualSpacing/>
              <w:rPr>
                <w:b/>
                <w:bCs/>
                <w:sz w:val="16"/>
                <w:szCs w:val="16"/>
              </w:rPr>
            </w:pPr>
            <w:r>
              <w:rPr>
                <w:b/>
                <w:bCs/>
                <w:sz w:val="16"/>
                <w:szCs w:val="16"/>
              </w:rPr>
              <w:t>Performance Measure</w:t>
            </w:r>
          </w:p>
        </w:tc>
        <w:tc>
          <w:tcPr>
            <w:tcW w:w="2953" w:type="dxa"/>
            <w:vAlign w:val="center"/>
          </w:tcPr>
          <w:p w:rsidR="00B75B18" w:rsidRPr="00570B1B" w:rsidRDefault="00B75B18" w:rsidP="00B75B18">
            <w:pPr>
              <w:tabs>
                <w:tab w:val="left" w:pos="-1440"/>
              </w:tabs>
              <w:contextualSpacing/>
              <w:rPr>
                <w:b/>
                <w:sz w:val="16"/>
                <w:szCs w:val="16"/>
              </w:rPr>
            </w:pPr>
            <w:r w:rsidRPr="00570B1B">
              <w:rPr>
                <w:sz w:val="16"/>
                <w:szCs w:val="16"/>
              </w:rPr>
              <w:t>Number of CI or CT Pillar I (facilities) under surveillance</w:t>
            </w:r>
            <w:r>
              <w:rPr>
                <w:sz w:val="16"/>
                <w:szCs w:val="16"/>
              </w:rPr>
              <w:t xml:space="preserve"> </w:t>
            </w:r>
            <w:r>
              <w:rPr>
                <w:b/>
                <w:sz w:val="16"/>
                <w:szCs w:val="16"/>
              </w:rPr>
              <w:t>[New measure]</w:t>
            </w:r>
          </w:p>
        </w:tc>
        <w:tc>
          <w:tcPr>
            <w:tcW w:w="8081" w:type="dxa"/>
            <w:gridSpan w:val="10"/>
            <w:vAlign w:val="center"/>
          </w:tcPr>
          <w:p w:rsidR="00B75B18" w:rsidRPr="00B66849" w:rsidRDefault="00B75B18" w:rsidP="00B75B18">
            <w:pPr>
              <w:tabs>
                <w:tab w:val="left" w:pos="-1440"/>
              </w:tabs>
              <w:contextualSpacing/>
              <w:jc w:val="center"/>
              <w:rPr>
                <w:sz w:val="16"/>
                <w:szCs w:val="26"/>
              </w:rPr>
            </w:pPr>
            <w:r w:rsidRPr="00D71632">
              <w:rPr>
                <w:sz w:val="16"/>
                <w:szCs w:val="16"/>
              </w:rPr>
              <w:t>This</w:t>
            </w:r>
            <w:r>
              <w:rPr>
                <w:sz w:val="16"/>
                <w:szCs w:val="16"/>
              </w:rPr>
              <w:t xml:space="preserve"> information is Classified.</w:t>
            </w:r>
          </w:p>
        </w:tc>
      </w:tr>
      <w:tr w:rsidR="00B75B18" w:rsidRPr="00EB13D2" w:rsidTr="00B75B18">
        <w:trPr>
          <w:cantSplit/>
          <w:trHeight w:val="356"/>
          <w:jc w:val="center"/>
        </w:trPr>
        <w:tc>
          <w:tcPr>
            <w:tcW w:w="2032" w:type="dxa"/>
            <w:vAlign w:val="center"/>
          </w:tcPr>
          <w:p w:rsidR="00B75B18" w:rsidRPr="00EB13D2" w:rsidRDefault="00B75B18" w:rsidP="00B75B18">
            <w:pPr>
              <w:pStyle w:val="BodyText2"/>
              <w:contextualSpacing/>
              <w:rPr>
                <w:b/>
                <w:bCs/>
                <w:sz w:val="16"/>
                <w:szCs w:val="16"/>
              </w:rPr>
            </w:pPr>
            <w:r w:rsidRPr="00EB13D2">
              <w:rPr>
                <w:b/>
                <w:bCs/>
                <w:sz w:val="16"/>
                <w:szCs w:val="16"/>
              </w:rPr>
              <w:t>Performance Measure</w:t>
            </w:r>
          </w:p>
        </w:tc>
        <w:tc>
          <w:tcPr>
            <w:tcW w:w="2953" w:type="dxa"/>
            <w:vAlign w:val="center"/>
          </w:tcPr>
          <w:p w:rsidR="00B75B18" w:rsidRPr="00570B1B" w:rsidRDefault="00B75B18" w:rsidP="00B75B18">
            <w:pPr>
              <w:tabs>
                <w:tab w:val="left" w:pos="-1440"/>
              </w:tabs>
              <w:contextualSpacing/>
              <w:rPr>
                <w:b/>
                <w:sz w:val="16"/>
                <w:szCs w:val="16"/>
              </w:rPr>
            </w:pPr>
            <w:r w:rsidRPr="00570B1B">
              <w:rPr>
                <w:sz w:val="16"/>
                <w:szCs w:val="16"/>
              </w:rPr>
              <w:t>Number of Priority Criminal Computer Intrusion Investigations Successfully Satisfied</w:t>
            </w:r>
            <w:r>
              <w:rPr>
                <w:sz w:val="16"/>
                <w:szCs w:val="16"/>
              </w:rPr>
              <w:t xml:space="preserve"> </w:t>
            </w:r>
            <w:r>
              <w:rPr>
                <w:b/>
                <w:sz w:val="16"/>
                <w:szCs w:val="16"/>
              </w:rPr>
              <w:t>[Discontinued measure]</w:t>
            </w:r>
          </w:p>
        </w:tc>
        <w:tc>
          <w:tcPr>
            <w:tcW w:w="1616" w:type="dxa"/>
            <w:gridSpan w:val="2"/>
            <w:vAlign w:val="center"/>
          </w:tcPr>
          <w:p w:rsidR="00B75B18" w:rsidRPr="00EB13D2" w:rsidRDefault="00B75B18" w:rsidP="00B75B18">
            <w:pPr>
              <w:tabs>
                <w:tab w:val="left" w:pos="-1440"/>
              </w:tabs>
              <w:contextualSpacing/>
              <w:jc w:val="right"/>
              <w:rPr>
                <w:sz w:val="16"/>
                <w:szCs w:val="26"/>
              </w:rPr>
            </w:pPr>
            <w:r>
              <w:rPr>
                <w:sz w:val="16"/>
                <w:szCs w:val="26"/>
              </w:rPr>
              <w:t>35</w:t>
            </w:r>
          </w:p>
        </w:tc>
        <w:tc>
          <w:tcPr>
            <w:tcW w:w="1616" w:type="dxa"/>
            <w:gridSpan w:val="2"/>
            <w:vAlign w:val="center"/>
          </w:tcPr>
          <w:p w:rsidR="00B75B18" w:rsidRPr="00EB13D2" w:rsidRDefault="00B75B18" w:rsidP="00B75B18">
            <w:pPr>
              <w:tabs>
                <w:tab w:val="left" w:pos="-1440"/>
              </w:tabs>
              <w:contextualSpacing/>
              <w:jc w:val="right"/>
              <w:rPr>
                <w:sz w:val="16"/>
                <w:szCs w:val="26"/>
              </w:rPr>
            </w:pPr>
            <w:r>
              <w:rPr>
                <w:sz w:val="16"/>
                <w:szCs w:val="26"/>
              </w:rPr>
              <w:t>N/A</w:t>
            </w:r>
          </w:p>
        </w:tc>
        <w:tc>
          <w:tcPr>
            <w:tcW w:w="1616" w:type="dxa"/>
            <w:gridSpan w:val="2"/>
            <w:vAlign w:val="center"/>
          </w:tcPr>
          <w:p w:rsidR="00B75B18" w:rsidRPr="00833AC0" w:rsidRDefault="00B75B18" w:rsidP="00B75B18">
            <w:pPr>
              <w:tabs>
                <w:tab w:val="left" w:pos="-1440"/>
              </w:tabs>
              <w:contextualSpacing/>
              <w:jc w:val="right"/>
              <w:rPr>
                <w:sz w:val="16"/>
                <w:szCs w:val="26"/>
              </w:rPr>
            </w:pPr>
            <w:r>
              <w:rPr>
                <w:sz w:val="16"/>
                <w:szCs w:val="26"/>
              </w:rPr>
              <w:t>N/A</w:t>
            </w:r>
          </w:p>
        </w:tc>
        <w:tc>
          <w:tcPr>
            <w:tcW w:w="1650" w:type="dxa"/>
            <w:gridSpan w:val="2"/>
            <w:vAlign w:val="center"/>
          </w:tcPr>
          <w:p w:rsidR="00B75B18" w:rsidRPr="00B66849" w:rsidRDefault="00B75B18" w:rsidP="00B75B18">
            <w:pPr>
              <w:tabs>
                <w:tab w:val="left" w:pos="-1440"/>
              </w:tabs>
              <w:contextualSpacing/>
              <w:jc w:val="right"/>
              <w:rPr>
                <w:sz w:val="16"/>
                <w:szCs w:val="26"/>
              </w:rPr>
            </w:pPr>
            <w:r w:rsidRPr="00B66849">
              <w:rPr>
                <w:sz w:val="16"/>
                <w:szCs w:val="26"/>
              </w:rPr>
              <w:t>N/A</w:t>
            </w:r>
          </w:p>
        </w:tc>
        <w:tc>
          <w:tcPr>
            <w:tcW w:w="1583" w:type="dxa"/>
            <w:gridSpan w:val="2"/>
            <w:vAlign w:val="center"/>
          </w:tcPr>
          <w:p w:rsidR="00B75B18" w:rsidRPr="00B66849" w:rsidRDefault="00B75B18" w:rsidP="00B75B18">
            <w:pPr>
              <w:tabs>
                <w:tab w:val="left" w:pos="-1440"/>
              </w:tabs>
              <w:contextualSpacing/>
              <w:jc w:val="right"/>
              <w:rPr>
                <w:sz w:val="16"/>
                <w:szCs w:val="26"/>
              </w:rPr>
            </w:pPr>
            <w:r w:rsidRPr="00B66849">
              <w:rPr>
                <w:sz w:val="16"/>
                <w:szCs w:val="26"/>
              </w:rPr>
              <w:t>N/A</w:t>
            </w:r>
          </w:p>
        </w:tc>
      </w:tr>
      <w:tr w:rsidR="00B75B18" w:rsidRPr="00EB13D2" w:rsidTr="00B75B18">
        <w:trPr>
          <w:cantSplit/>
          <w:trHeight w:val="356"/>
          <w:jc w:val="center"/>
        </w:trPr>
        <w:tc>
          <w:tcPr>
            <w:tcW w:w="2032" w:type="dxa"/>
            <w:vAlign w:val="center"/>
          </w:tcPr>
          <w:p w:rsidR="00B75B18" w:rsidRPr="00EB13D2" w:rsidRDefault="00B75B18" w:rsidP="00B75B18">
            <w:pPr>
              <w:pStyle w:val="BodyText2"/>
              <w:contextualSpacing/>
              <w:rPr>
                <w:b/>
                <w:bCs/>
                <w:sz w:val="16"/>
                <w:szCs w:val="16"/>
              </w:rPr>
            </w:pPr>
            <w:r w:rsidRPr="00EB13D2">
              <w:rPr>
                <w:b/>
                <w:bCs/>
                <w:sz w:val="16"/>
                <w:szCs w:val="16"/>
              </w:rPr>
              <w:t>Efficiency  Measure</w:t>
            </w:r>
          </w:p>
        </w:tc>
        <w:tc>
          <w:tcPr>
            <w:tcW w:w="2953" w:type="dxa"/>
            <w:vAlign w:val="center"/>
          </w:tcPr>
          <w:p w:rsidR="00B75B18" w:rsidRPr="00570B1B" w:rsidRDefault="00B75B18" w:rsidP="00B75B18">
            <w:pPr>
              <w:pStyle w:val="BodyText2"/>
              <w:contextualSpacing/>
              <w:rPr>
                <w:b/>
                <w:sz w:val="16"/>
                <w:szCs w:val="16"/>
              </w:rPr>
            </w:pPr>
            <w:r w:rsidRPr="00570B1B">
              <w:rPr>
                <w:sz w:val="16"/>
                <w:szCs w:val="16"/>
              </w:rPr>
              <w:t xml:space="preserve">Cost </w:t>
            </w:r>
            <w:r>
              <w:rPr>
                <w:sz w:val="16"/>
                <w:szCs w:val="16"/>
              </w:rPr>
              <w:t>avoidance</w:t>
            </w:r>
            <w:r w:rsidRPr="00570B1B">
              <w:rPr>
                <w:sz w:val="16"/>
                <w:szCs w:val="16"/>
              </w:rPr>
              <w:t xml:space="preserve"> from online Cyber training ($000)</w:t>
            </w:r>
          </w:p>
        </w:tc>
        <w:tc>
          <w:tcPr>
            <w:tcW w:w="1616" w:type="dxa"/>
            <w:gridSpan w:val="2"/>
            <w:vAlign w:val="center"/>
          </w:tcPr>
          <w:p w:rsidR="00B75B18" w:rsidRPr="00EB13D2" w:rsidRDefault="00B75B18" w:rsidP="00B75B18">
            <w:pPr>
              <w:tabs>
                <w:tab w:val="left" w:pos="-1440"/>
              </w:tabs>
              <w:contextualSpacing/>
              <w:jc w:val="right"/>
              <w:rPr>
                <w:sz w:val="16"/>
                <w:szCs w:val="26"/>
              </w:rPr>
            </w:pPr>
            <w:r>
              <w:rPr>
                <w:sz w:val="16"/>
                <w:szCs w:val="26"/>
              </w:rPr>
              <w:t>625</w:t>
            </w:r>
          </w:p>
        </w:tc>
        <w:tc>
          <w:tcPr>
            <w:tcW w:w="1616" w:type="dxa"/>
            <w:gridSpan w:val="2"/>
            <w:vAlign w:val="center"/>
          </w:tcPr>
          <w:p w:rsidR="00B75B18" w:rsidRPr="00A44E3D" w:rsidRDefault="00B75B18" w:rsidP="00B75B18">
            <w:pPr>
              <w:tabs>
                <w:tab w:val="left" w:pos="-1440"/>
              </w:tabs>
              <w:contextualSpacing/>
              <w:jc w:val="right"/>
              <w:rPr>
                <w:sz w:val="16"/>
                <w:szCs w:val="26"/>
              </w:rPr>
            </w:pPr>
            <w:r>
              <w:rPr>
                <w:sz w:val="16"/>
                <w:szCs w:val="26"/>
              </w:rPr>
              <w:t>4,987</w:t>
            </w:r>
          </w:p>
        </w:tc>
        <w:tc>
          <w:tcPr>
            <w:tcW w:w="1616" w:type="dxa"/>
            <w:gridSpan w:val="2"/>
            <w:vAlign w:val="center"/>
          </w:tcPr>
          <w:p w:rsidR="00B75B18" w:rsidRPr="00A44E3D" w:rsidRDefault="00B75B18" w:rsidP="00B75B18">
            <w:pPr>
              <w:tabs>
                <w:tab w:val="left" w:pos="-1440"/>
              </w:tabs>
              <w:contextualSpacing/>
              <w:jc w:val="right"/>
              <w:rPr>
                <w:sz w:val="16"/>
                <w:szCs w:val="26"/>
              </w:rPr>
            </w:pPr>
            <w:r>
              <w:rPr>
                <w:sz w:val="16"/>
                <w:szCs w:val="26"/>
              </w:rPr>
              <w:t>1,156</w:t>
            </w:r>
          </w:p>
        </w:tc>
        <w:tc>
          <w:tcPr>
            <w:tcW w:w="1650" w:type="dxa"/>
            <w:gridSpan w:val="2"/>
            <w:vAlign w:val="center"/>
          </w:tcPr>
          <w:p w:rsidR="00B75B18" w:rsidRPr="00A44E3D" w:rsidRDefault="00B75B18" w:rsidP="00B75B18">
            <w:pPr>
              <w:tabs>
                <w:tab w:val="left" w:pos="-1440"/>
              </w:tabs>
              <w:contextualSpacing/>
              <w:jc w:val="right"/>
              <w:rPr>
                <w:sz w:val="16"/>
                <w:szCs w:val="26"/>
              </w:rPr>
            </w:pPr>
            <w:r>
              <w:rPr>
                <w:sz w:val="16"/>
                <w:szCs w:val="26"/>
              </w:rPr>
              <w:t>1,344</w:t>
            </w:r>
          </w:p>
        </w:tc>
        <w:tc>
          <w:tcPr>
            <w:tcW w:w="1583" w:type="dxa"/>
            <w:gridSpan w:val="2"/>
            <w:vAlign w:val="center"/>
          </w:tcPr>
          <w:p w:rsidR="00B75B18" w:rsidRPr="00A44E3D" w:rsidRDefault="00B75B18" w:rsidP="00B75B18">
            <w:pPr>
              <w:tabs>
                <w:tab w:val="left" w:pos="-1440"/>
              </w:tabs>
              <w:contextualSpacing/>
              <w:jc w:val="right"/>
              <w:rPr>
                <w:sz w:val="16"/>
                <w:szCs w:val="26"/>
              </w:rPr>
            </w:pPr>
            <w:r>
              <w:rPr>
                <w:sz w:val="16"/>
                <w:szCs w:val="26"/>
              </w:rPr>
              <w:t>2,500</w:t>
            </w:r>
          </w:p>
        </w:tc>
      </w:tr>
      <w:tr w:rsidR="00B75B18" w:rsidRPr="00EB13D2" w:rsidTr="00B75B18">
        <w:trPr>
          <w:cantSplit/>
          <w:trHeight w:val="356"/>
          <w:jc w:val="center"/>
        </w:trPr>
        <w:tc>
          <w:tcPr>
            <w:tcW w:w="2032" w:type="dxa"/>
            <w:vAlign w:val="center"/>
          </w:tcPr>
          <w:p w:rsidR="00B75B18" w:rsidRPr="00EB13D2" w:rsidRDefault="00B75B18" w:rsidP="00B75B18">
            <w:pPr>
              <w:pStyle w:val="BodyText2"/>
              <w:contextualSpacing/>
              <w:rPr>
                <w:b/>
                <w:bCs/>
                <w:sz w:val="16"/>
                <w:szCs w:val="16"/>
              </w:rPr>
            </w:pPr>
            <w:r w:rsidRPr="00EB13D2">
              <w:rPr>
                <w:b/>
                <w:bCs/>
                <w:sz w:val="16"/>
                <w:szCs w:val="16"/>
              </w:rPr>
              <w:t>Performance Measure</w:t>
            </w:r>
          </w:p>
        </w:tc>
        <w:tc>
          <w:tcPr>
            <w:tcW w:w="2953" w:type="dxa"/>
            <w:vAlign w:val="center"/>
          </w:tcPr>
          <w:p w:rsidR="00B75B18" w:rsidRPr="00570B1B" w:rsidRDefault="00B75B18" w:rsidP="00B75B18">
            <w:pPr>
              <w:tabs>
                <w:tab w:val="left" w:pos="-1440"/>
              </w:tabs>
              <w:contextualSpacing/>
              <w:rPr>
                <w:sz w:val="16"/>
                <w:szCs w:val="16"/>
              </w:rPr>
            </w:pPr>
            <w:r w:rsidRPr="00570B1B">
              <w:rPr>
                <w:sz w:val="16"/>
                <w:szCs w:val="16"/>
              </w:rPr>
              <w:t>Computer Intrusion Program Convictions/Pre-trial diversions</w:t>
            </w:r>
          </w:p>
        </w:tc>
        <w:tc>
          <w:tcPr>
            <w:tcW w:w="1616" w:type="dxa"/>
            <w:gridSpan w:val="2"/>
            <w:vAlign w:val="center"/>
          </w:tcPr>
          <w:p w:rsidR="00B75B18" w:rsidRPr="00EB13D2" w:rsidRDefault="00B75B18" w:rsidP="00B75B18">
            <w:pPr>
              <w:tabs>
                <w:tab w:val="left" w:pos="-1440"/>
              </w:tabs>
              <w:contextualSpacing/>
              <w:jc w:val="right"/>
              <w:rPr>
                <w:sz w:val="16"/>
                <w:szCs w:val="26"/>
              </w:rPr>
            </w:pPr>
            <w:r w:rsidRPr="00EB13D2">
              <w:rPr>
                <w:sz w:val="16"/>
                <w:szCs w:val="26"/>
              </w:rPr>
              <w:t>††</w:t>
            </w:r>
          </w:p>
        </w:tc>
        <w:tc>
          <w:tcPr>
            <w:tcW w:w="1616" w:type="dxa"/>
            <w:gridSpan w:val="2"/>
            <w:vAlign w:val="center"/>
          </w:tcPr>
          <w:p w:rsidR="00B75B18" w:rsidRPr="00EB13D2" w:rsidRDefault="00B75B18" w:rsidP="00B75B18">
            <w:pPr>
              <w:tabs>
                <w:tab w:val="left" w:pos="-1440"/>
              </w:tabs>
              <w:contextualSpacing/>
              <w:jc w:val="right"/>
              <w:rPr>
                <w:sz w:val="16"/>
                <w:szCs w:val="26"/>
              </w:rPr>
            </w:pPr>
            <w:r w:rsidRPr="00C27F73">
              <w:rPr>
                <w:sz w:val="16"/>
                <w:szCs w:val="26"/>
              </w:rPr>
              <w:t>148</w:t>
            </w:r>
          </w:p>
        </w:tc>
        <w:tc>
          <w:tcPr>
            <w:tcW w:w="1616" w:type="dxa"/>
            <w:gridSpan w:val="2"/>
            <w:vAlign w:val="center"/>
          </w:tcPr>
          <w:p w:rsidR="00B75B18" w:rsidRPr="00EB13D2" w:rsidRDefault="00B75B18" w:rsidP="00B75B18">
            <w:pPr>
              <w:tabs>
                <w:tab w:val="left" w:pos="-1440"/>
              </w:tabs>
              <w:contextualSpacing/>
              <w:jc w:val="right"/>
              <w:rPr>
                <w:sz w:val="16"/>
                <w:szCs w:val="26"/>
              </w:rPr>
            </w:pPr>
            <w:r w:rsidRPr="00EB13D2">
              <w:rPr>
                <w:sz w:val="16"/>
                <w:szCs w:val="26"/>
              </w:rPr>
              <w:t>††</w:t>
            </w:r>
          </w:p>
        </w:tc>
        <w:tc>
          <w:tcPr>
            <w:tcW w:w="1650" w:type="dxa"/>
            <w:gridSpan w:val="2"/>
            <w:vAlign w:val="center"/>
          </w:tcPr>
          <w:p w:rsidR="00B75B18" w:rsidRPr="00B66849" w:rsidRDefault="00B75B18" w:rsidP="00B75B18">
            <w:pPr>
              <w:tabs>
                <w:tab w:val="left" w:pos="-1440"/>
              </w:tabs>
              <w:contextualSpacing/>
              <w:jc w:val="right"/>
              <w:rPr>
                <w:sz w:val="16"/>
                <w:szCs w:val="26"/>
              </w:rPr>
            </w:pPr>
            <w:r w:rsidRPr="00B66849">
              <w:rPr>
                <w:sz w:val="16"/>
                <w:szCs w:val="26"/>
              </w:rPr>
              <w:t>††</w:t>
            </w:r>
          </w:p>
        </w:tc>
        <w:tc>
          <w:tcPr>
            <w:tcW w:w="1583" w:type="dxa"/>
            <w:gridSpan w:val="2"/>
            <w:vAlign w:val="center"/>
          </w:tcPr>
          <w:p w:rsidR="00B75B18" w:rsidRPr="00B66849" w:rsidRDefault="00B75B18" w:rsidP="00B75B18">
            <w:pPr>
              <w:tabs>
                <w:tab w:val="left" w:pos="-1440"/>
              </w:tabs>
              <w:contextualSpacing/>
              <w:jc w:val="right"/>
              <w:rPr>
                <w:sz w:val="16"/>
                <w:szCs w:val="26"/>
              </w:rPr>
            </w:pPr>
            <w:r w:rsidRPr="00B66849">
              <w:rPr>
                <w:sz w:val="16"/>
                <w:szCs w:val="26"/>
              </w:rPr>
              <w:t>††</w:t>
            </w:r>
          </w:p>
        </w:tc>
      </w:tr>
      <w:tr w:rsidR="00B75B18" w:rsidRPr="00EB13D2" w:rsidTr="00B75B18">
        <w:trPr>
          <w:cantSplit/>
          <w:trHeight w:val="1283"/>
          <w:jc w:val="center"/>
        </w:trPr>
        <w:tc>
          <w:tcPr>
            <w:tcW w:w="13066" w:type="dxa"/>
            <w:gridSpan w:val="12"/>
          </w:tcPr>
          <w:p w:rsidR="00B75B18" w:rsidRPr="00EB13D2" w:rsidRDefault="00B75B18" w:rsidP="00B75B18">
            <w:pPr>
              <w:tabs>
                <w:tab w:val="left" w:pos="-1440"/>
              </w:tabs>
              <w:contextualSpacing/>
              <w:rPr>
                <w:sz w:val="16"/>
                <w:szCs w:val="16"/>
              </w:rPr>
            </w:pPr>
            <w:r w:rsidRPr="00EB13D2">
              <w:rPr>
                <w:b/>
                <w:bCs/>
                <w:sz w:val="16"/>
                <w:szCs w:val="16"/>
              </w:rPr>
              <w:t>Data Definition, Validation, Verification, and Limitations:</w:t>
            </w:r>
            <w:r w:rsidRPr="00EB13D2">
              <w:rPr>
                <w:i/>
                <w:iCs/>
                <w:sz w:val="16"/>
                <w:szCs w:val="16"/>
              </w:rPr>
              <w:t xml:space="preserve"> </w:t>
            </w:r>
          </w:p>
          <w:p w:rsidR="00B75B18" w:rsidRDefault="00B75B18" w:rsidP="00B75B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16"/>
                <w:szCs w:val="16"/>
              </w:rPr>
            </w:pPr>
            <w:r>
              <w:rPr>
                <w:sz w:val="16"/>
                <w:szCs w:val="16"/>
              </w:rPr>
              <w:t xml:space="preserve">- </w:t>
            </w:r>
            <w:r w:rsidRPr="007E3B2F">
              <w:rPr>
                <w:sz w:val="16"/>
                <w:szCs w:val="16"/>
              </w:rPr>
              <w:t>Counterterrorism measures are provided through records kept by the FBI’s Counterterrorism Program, including the Terrorist Screening Center.  The count of JTTF participants erroneously did not include part-time participants until FY 2008, but will henceforth include them.  No other known data limitations exist.</w:t>
            </w:r>
          </w:p>
          <w:p w:rsidR="00B75B18" w:rsidRDefault="00B75B18" w:rsidP="00B75B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16"/>
                <w:szCs w:val="16"/>
              </w:rPr>
            </w:pPr>
            <w:r w:rsidRPr="007E3B2F">
              <w:rPr>
                <w:sz w:val="16"/>
                <w:szCs w:val="16"/>
              </w:rPr>
              <w:t xml:space="preserve">- Counterintelligence measures are based on records kept by the FBI’s Counterintelligence Program.  Percentages are updated based upon the most recent field review.  </w:t>
            </w:r>
            <w:r>
              <w:rPr>
                <w:sz w:val="16"/>
                <w:szCs w:val="16"/>
              </w:rPr>
              <w:t>Cost avoidance</w:t>
            </w:r>
            <w:r w:rsidRPr="007E3B2F">
              <w:rPr>
                <w:sz w:val="16"/>
                <w:szCs w:val="16"/>
              </w:rPr>
              <w:t xml:space="preserve"> data are based upon estimates of cost savings per student taking an online course, compared with an in-service training.  </w:t>
            </w:r>
          </w:p>
          <w:p w:rsidR="00B75B18" w:rsidRPr="007E3B2F" w:rsidRDefault="00B75B18" w:rsidP="00B75B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16"/>
                <w:szCs w:val="16"/>
              </w:rPr>
            </w:pPr>
            <w:r>
              <w:rPr>
                <w:sz w:val="16"/>
                <w:szCs w:val="16"/>
              </w:rPr>
              <w:t xml:space="preserve">- </w:t>
            </w:r>
            <w:r w:rsidRPr="007E3B2F">
              <w:rPr>
                <w:sz w:val="16"/>
                <w:szCs w:val="16"/>
              </w:rPr>
              <w:t>The data source for cases and conviction/pre-trial diversion data is the FBI's Integrated Statistical Reporting and Analysis Application (ISRAA) database.  The database tracks statistical accomplishments from inception to closure.  Before data are entered into the system, they are reviewed and approved by an FBI field manager. They are subsequently verified through FBI’s inspection process. FBI field personnel are required to enter accomplishment data within 30 days of the accomplishment or a change in the status of an accomplishment, such as those resulting from appeals.  Data for this report are compiled less than 30 days after the end of the fiscal year, and thus may not fully represent the accomplishments during the reporting period</w:t>
            </w:r>
            <w:r>
              <w:rPr>
                <w:sz w:val="16"/>
                <w:szCs w:val="16"/>
              </w:rPr>
              <w:t>.</w:t>
            </w:r>
            <w:r w:rsidRPr="007E3B2F">
              <w:rPr>
                <w:sz w:val="16"/>
                <w:szCs w:val="16"/>
              </w:rPr>
              <w:t xml:space="preserve"> </w:t>
            </w:r>
          </w:p>
          <w:p w:rsidR="00B75B18" w:rsidRPr="007E3B2F" w:rsidRDefault="00B75B18" w:rsidP="00B75B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16"/>
                <w:szCs w:val="16"/>
              </w:rPr>
            </w:pPr>
            <w:r>
              <w:rPr>
                <w:sz w:val="16"/>
                <w:szCs w:val="16"/>
              </w:rPr>
              <w:t xml:space="preserve">†    </w:t>
            </w:r>
            <w:r w:rsidRPr="007E3B2F">
              <w:rPr>
                <w:sz w:val="16"/>
                <w:szCs w:val="16"/>
              </w:rPr>
              <w:t>Due to the large number of external and uncontrollable factors influencing these data, the FBI does not project numbers of cases.</w:t>
            </w:r>
          </w:p>
          <w:p w:rsidR="00B75B18" w:rsidRPr="00EB13D2" w:rsidRDefault="00B75B18" w:rsidP="00B75B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16"/>
                <w:szCs w:val="16"/>
              </w:rPr>
            </w:pPr>
            <w:r>
              <w:rPr>
                <w:sz w:val="16"/>
                <w:szCs w:val="16"/>
              </w:rPr>
              <w:t>†</w:t>
            </w:r>
            <w:proofErr w:type="gramStart"/>
            <w:r>
              <w:rPr>
                <w:sz w:val="16"/>
                <w:szCs w:val="16"/>
              </w:rPr>
              <w:t xml:space="preserve">†  </w:t>
            </w:r>
            <w:r w:rsidRPr="007E3B2F">
              <w:rPr>
                <w:sz w:val="16"/>
                <w:szCs w:val="16"/>
              </w:rPr>
              <w:t>FBI</w:t>
            </w:r>
            <w:proofErr w:type="gramEnd"/>
            <w:r w:rsidRPr="007E3B2F">
              <w:rPr>
                <w:sz w:val="16"/>
                <w:szCs w:val="16"/>
              </w:rPr>
              <w:t xml:space="preserve"> does not set targets for investigative output data.</w:t>
            </w:r>
          </w:p>
        </w:tc>
      </w:tr>
    </w:tbl>
    <w:p w:rsidR="00A424D3" w:rsidRDefault="00A424D3" w:rsidP="007471A8">
      <w:pPr>
        <w:contextualSpacing/>
      </w:pPr>
    </w:p>
    <w:p w:rsidR="00A424D3" w:rsidRDefault="00A424D3" w:rsidP="007471A8">
      <w:pPr>
        <w:contextualSpacing/>
        <w:rPr>
          <w:bCs/>
          <w:u w:val="single"/>
        </w:rPr>
        <w:sectPr w:rsidR="00A424D3" w:rsidSect="000906AA">
          <w:pgSz w:w="15840" w:h="12240" w:orient="landscape" w:code="1"/>
          <w:pgMar w:top="1080" w:right="1080" w:bottom="1080" w:left="1080" w:header="432" w:footer="432" w:gutter="0"/>
          <w:cols w:space="720"/>
          <w:docGrid w:linePitch="326"/>
        </w:sectPr>
      </w:pPr>
    </w:p>
    <w:tbl>
      <w:tblPr>
        <w:tblW w:w="13914" w:type="dxa"/>
        <w:jc w:val="center"/>
        <w:tblLook w:val="0000"/>
      </w:tblPr>
      <w:tblGrid>
        <w:gridCol w:w="1702"/>
        <w:gridCol w:w="2916"/>
        <w:gridCol w:w="810"/>
        <w:gridCol w:w="810"/>
        <w:gridCol w:w="810"/>
        <w:gridCol w:w="810"/>
        <w:gridCol w:w="774"/>
        <w:gridCol w:w="935"/>
        <w:gridCol w:w="810"/>
        <w:gridCol w:w="990"/>
        <w:gridCol w:w="943"/>
        <w:gridCol w:w="825"/>
        <w:gridCol w:w="779"/>
      </w:tblGrid>
      <w:tr w:rsidR="00886A25" w:rsidRPr="00EC7008" w:rsidTr="00886A25">
        <w:trPr>
          <w:cantSplit/>
          <w:trHeight w:val="525"/>
          <w:tblHeader/>
          <w:jc w:val="center"/>
        </w:trPr>
        <w:tc>
          <w:tcPr>
            <w:tcW w:w="4618" w:type="dxa"/>
            <w:gridSpan w:val="2"/>
            <w:vMerge w:val="restart"/>
            <w:tcBorders>
              <w:top w:val="single" w:sz="4" w:space="0" w:color="auto"/>
              <w:left w:val="single" w:sz="4" w:space="0" w:color="auto"/>
              <w:bottom w:val="single" w:sz="4" w:space="0" w:color="000000"/>
              <w:right w:val="single" w:sz="4" w:space="0" w:color="auto"/>
            </w:tcBorders>
            <w:vAlign w:val="center"/>
          </w:tcPr>
          <w:p w:rsidR="00A424D3" w:rsidRPr="00EC7008" w:rsidRDefault="00A424D3" w:rsidP="007471A8">
            <w:pPr>
              <w:contextualSpacing/>
              <w:jc w:val="center"/>
              <w:rPr>
                <w:b/>
                <w:bCs/>
                <w:sz w:val="15"/>
                <w:szCs w:val="15"/>
              </w:rPr>
            </w:pPr>
            <w:r w:rsidRPr="00EC7008">
              <w:rPr>
                <w:sz w:val="15"/>
                <w:szCs w:val="15"/>
                <w:u w:val="single"/>
              </w:rPr>
              <w:lastRenderedPageBreak/>
              <w:br w:type="page"/>
            </w:r>
            <w:r w:rsidRPr="00EC7008">
              <w:rPr>
                <w:b/>
                <w:bCs/>
                <w:sz w:val="15"/>
                <w:szCs w:val="15"/>
              </w:rPr>
              <w:t>Performance Report and Performance Plan Targets</w:t>
            </w:r>
          </w:p>
        </w:tc>
        <w:tc>
          <w:tcPr>
            <w:tcW w:w="810" w:type="dxa"/>
            <w:tcBorders>
              <w:top w:val="single" w:sz="4" w:space="0" w:color="auto"/>
              <w:left w:val="single" w:sz="4" w:space="0" w:color="auto"/>
              <w:bottom w:val="single" w:sz="8" w:space="0" w:color="auto"/>
              <w:right w:val="single" w:sz="4" w:space="0" w:color="auto"/>
            </w:tcBorders>
            <w:shd w:val="clear" w:color="auto" w:fill="FFAC99"/>
            <w:noWrap/>
            <w:vAlign w:val="center"/>
          </w:tcPr>
          <w:p w:rsidR="00A424D3" w:rsidRPr="00EC7008" w:rsidRDefault="00A424D3" w:rsidP="007471A8">
            <w:pPr>
              <w:contextualSpacing/>
              <w:jc w:val="center"/>
              <w:rPr>
                <w:b/>
                <w:bCs/>
                <w:sz w:val="15"/>
                <w:szCs w:val="15"/>
              </w:rPr>
            </w:pPr>
            <w:r w:rsidRPr="00EC7008">
              <w:rPr>
                <w:b/>
                <w:bCs/>
                <w:sz w:val="15"/>
                <w:szCs w:val="15"/>
              </w:rPr>
              <w:t>FY 2003</w:t>
            </w:r>
          </w:p>
        </w:tc>
        <w:tc>
          <w:tcPr>
            <w:tcW w:w="810" w:type="dxa"/>
            <w:tcBorders>
              <w:top w:val="single" w:sz="4" w:space="0" w:color="auto"/>
              <w:left w:val="single" w:sz="4" w:space="0" w:color="auto"/>
              <w:bottom w:val="single" w:sz="8" w:space="0" w:color="auto"/>
              <w:right w:val="single" w:sz="4" w:space="0" w:color="auto"/>
            </w:tcBorders>
            <w:shd w:val="clear" w:color="auto" w:fill="FFAC99"/>
            <w:noWrap/>
            <w:vAlign w:val="center"/>
          </w:tcPr>
          <w:p w:rsidR="00A424D3" w:rsidRPr="00EC7008" w:rsidRDefault="00A424D3" w:rsidP="007471A8">
            <w:pPr>
              <w:contextualSpacing/>
              <w:jc w:val="center"/>
              <w:rPr>
                <w:b/>
                <w:bCs/>
                <w:sz w:val="15"/>
                <w:szCs w:val="15"/>
              </w:rPr>
            </w:pPr>
            <w:r w:rsidRPr="00EC7008">
              <w:rPr>
                <w:b/>
                <w:bCs/>
                <w:sz w:val="15"/>
                <w:szCs w:val="15"/>
              </w:rPr>
              <w:t>FY 2004</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sidRPr="00EC7008">
              <w:rPr>
                <w:b/>
                <w:bCs/>
                <w:sz w:val="15"/>
                <w:szCs w:val="15"/>
              </w:rPr>
              <w:t>FY 2005</w:t>
            </w:r>
          </w:p>
        </w:tc>
        <w:tc>
          <w:tcPr>
            <w:tcW w:w="810" w:type="dxa"/>
            <w:tcBorders>
              <w:top w:val="single" w:sz="4" w:space="0" w:color="auto"/>
              <w:left w:val="single" w:sz="4" w:space="0" w:color="auto"/>
              <w:bottom w:val="single" w:sz="8" w:space="0" w:color="auto"/>
              <w:right w:val="single" w:sz="4" w:space="0" w:color="auto"/>
            </w:tcBorders>
            <w:shd w:val="clear" w:color="auto" w:fill="FFAC99"/>
            <w:noWrap/>
            <w:vAlign w:val="center"/>
          </w:tcPr>
          <w:p w:rsidR="00A424D3" w:rsidRPr="00EC7008" w:rsidRDefault="00A424D3" w:rsidP="007471A8">
            <w:pPr>
              <w:contextualSpacing/>
              <w:jc w:val="center"/>
              <w:rPr>
                <w:b/>
                <w:bCs/>
                <w:sz w:val="15"/>
                <w:szCs w:val="15"/>
              </w:rPr>
            </w:pPr>
            <w:r w:rsidRPr="00EC7008">
              <w:rPr>
                <w:b/>
                <w:bCs/>
                <w:sz w:val="15"/>
                <w:szCs w:val="15"/>
              </w:rPr>
              <w:t>FY 2006</w:t>
            </w:r>
          </w:p>
        </w:tc>
        <w:tc>
          <w:tcPr>
            <w:tcW w:w="774"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sidRPr="00EC7008">
              <w:rPr>
                <w:b/>
                <w:bCs/>
                <w:sz w:val="15"/>
                <w:szCs w:val="15"/>
              </w:rPr>
              <w:t>FY 2007</w:t>
            </w:r>
          </w:p>
        </w:tc>
        <w:tc>
          <w:tcPr>
            <w:tcW w:w="935"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sidRPr="00EC7008">
              <w:rPr>
                <w:b/>
                <w:bCs/>
                <w:sz w:val="15"/>
                <w:szCs w:val="15"/>
              </w:rPr>
              <w:t>FY 2008</w:t>
            </w:r>
          </w:p>
        </w:tc>
        <w:tc>
          <w:tcPr>
            <w:tcW w:w="810"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sidRPr="00EC7008">
              <w:rPr>
                <w:b/>
                <w:bCs/>
                <w:sz w:val="15"/>
                <w:szCs w:val="15"/>
              </w:rPr>
              <w:t>FY 2009</w:t>
            </w:r>
          </w:p>
        </w:tc>
        <w:tc>
          <w:tcPr>
            <w:tcW w:w="990"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Pr>
                <w:b/>
                <w:bCs/>
                <w:sz w:val="15"/>
                <w:szCs w:val="15"/>
              </w:rPr>
              <w:t>FY 2010</w:t>
            </w:r>
          </w:p>
        </w:tc>
        <w:tc>
          <w:tcPr>
            <w:tcW w:w="943"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sidRPr="00EC7008">
              <w:rPr>
                <w:b/>
                <w:bCs/>
                <w:sz w:val="15"/>
                <w:szCs w:val="15"/>
              </w:rPr>
              <w:t>FY 2011</w:t>
            </w:r>
          </w:p>
        </w:tc>
        <w:tc>
          <w:tcPr>
            <w:tcW w:w="825"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sidRPr="00EC7008">
              <w:rPr>
                <w:b/>
                <w:bCs/>
                <w:sz w:val="15"/>
                <w:szCs w:val="15"/>
              </w:rPr>
              <w:t>FY 2012</w:t>
            </w:r>
          </w:p>
        </w:tc>
        <w:tc>
          <w:tcPr>
            <w:tcW w:w="779" w:type="dxa"/>
            <w:tcBorders>
              <w:top w:val="single" w:sz="4" w:space="0" w:color="auto"/>
              <w:left w:val="single" w:sz="4" w:space="0" w:color="auto"/>
              <w:bottom w:val="single" w:sz="8" w:space="0" w:color="auto"/>
              <w:right w:val="single" w:sz="4" w:space="0" w:color="auto"/>
            </w:tcBorders>
            <w:shd w:val="clear" w:color="auto" w:fill="FFAC99"/>
            <w:vAlign w:val="center"/>
          </w:tcPr>
          <w:p w:rsidR="00A424D3" w:rsidRPr="00EC7008" w:rsidRDefault="00A424D3" w:rsidP="007471A8">
            <w:pPr>
              <w:contextualSpacing/>
              <w:jc w:val="center"/>
              <w:rPr>
                <w:b/>
                <w:bCs/>
                <w:sz w:val="15"/>
                <w:szCs w:val="15"/>
              </w:rPr>
            </w:pPr>
            <w:r>
              <w:rPr>
                <w:b/>
                <w:bCs/>
                <w:sz w:val="15"/>
                <w:szCs w:val="15"/>
              </w:rPr>
              <w:t>FY 2013</w:t>
            </w:r>
          </w:p>
        </w:tc>
      </w:tr>
      <w:tr w:rsidR="00A424D3" w:rsidRPr="00EC7008" w:rsidTr="00886A25">
        <w:trPr>
          <w:cantSplit/>
          <w:trHeight w:val="345"/>
          <w:tblHeader/>
          <w:jc w:val="center"/>
        </w:trPr>
        <w:tc>
          <w:tcPr>
            <w:tcW w:w="4618" w:type="dxa"/>
            <w:gridSpan w:val="2"/>
            <w:vMerge/>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contextualSpacing/>
              <w:rPr>
                <w:b/>
                <w:bCs/>
                <w:sz w:val="15"/>
                <w:szCs w:val="15"/>
              </w:rPr>
            </w:pPr>
          </w:p>
        </w:tc>
        <w:tc>
          <w:tcPr>
            <w:tcW w:w="810"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774"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935"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810"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990"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Actual</w:t>
            </w:r>
          </w:p>
        </w:tc>
        <w:tc>
          <w:tcPr>
            <w:tcW w:w="943"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Pr>
                <w:b/>
                <w:bCs/>
                <w:sz w:val="15"/>
                <w:szCs w:val="15"/>
              </w:rPr>
              <w:t>Actual</w:t>
            </w:r>
          </w:p>
        </w:tc>
        <w:tc>
          <w:tcPr>
            <w:tcW w:w="825"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Target</w:t>
            </w:r>
          </w:p>
        </w:tc>
        <w:tc>
          <w:tcPr>
            <w:tcW w:w="779" w:type="dxa"/>
            <w:tcBorders>
              <w:top w:val="single" w:sz="8" w:space="0" w:color="auto"/>
              <w:left w:val="single" w:sz="4" w:space="0" w:color="auto"/>
              <w:bottom w:val="single" w:sz="4" w:space="0" w:color="auto"/>
              <w:right w:val="single" w:sz="4" w:space="0" w:color="auto"/>
            </w:tcBorders>
            <w:vAlign w:val="center"/>
          </w:tcPr>
          <w:p w:rsidR="00A424D3" w:rsidRPr="00EC7008" w:rsidRDefault="00A424D3" w:rsidP="007471A8">
            <w:pPr>
              <w:contextualSpacing/>
              <w:jc w:val="center"/>
              <w:rPr>
                <w:b/>
                <w:bCs/>
                <w:sz w:val="15"/>
                <w:szCs w:val="15"/>
              </w:rPr>
            </w:pPr>
            <w:r w:rsidRPr="00EC7008">
              <w:rPr>
                <w:b/>
                <w:bCs/>
                <w:sz w:val="15"/>
                <w:szCs w:val="15"/>
              </w:rPr>
              <w:t>Target</w:t>
            </w:r>
          </w:p>
        </w:tc>
      </w:tr>
      <w:tr w:rsidR="00A424D3" w:rsidRPr="00EC7008" w:rsidTr="00886A25">
        <w:trPr>
          <w:cantSplit/>
          <w:trHeight w:val="422"/>
          <w:jc w:val="center"/>
        </w:trPr>
        <w:tc>
          <w:tcPr>
            <w:tcW w:w="1702" w:type="dxa"/>
            <w:tcBorders>
              <w:top w:val="single" w:sz="4" w:space="0" w:color="auto"/>
              <w:left w:val="single" w:sz="4" w:space="0" w:color="auto"/>
              <w:bottom w:val="single" w:sz="4" w:space="0" w:color="auto"/>
              <w:right w:val="nil"/>
            </w:tcBorders>
            <w:vAlign w:val="center"/>
          </w:tcPr>
          <w:p w:rsidR="00A424D3" w:rsidRPr="00EC7008" w:rsidRDefault="00A424D3"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pStyle w:val="BodyText2"/>
              <w:contextualSpacing/>
              <w:rPr>
                <w:sz w:val="15"/>
                <w:szCs w:val="15"/>
              </w:rPr>
            </w:pPr>
            <w:r w:rsidRPr="00EC7008">
              <w:rPr>
                <w:sz w:val="15"/>
                <w:szCs w:val="15"/>
              </w:rPr>
              <w:t>Positive encounters with subjects through screening process</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5,396</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15,730</w:t>
            </w:r>
          </w:p>
        </w:tc>
        <w:tc>
          <w:tcPr>
            <w:tcW w:w="810"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19,967</w:t>
            </w:r>
          </w:p>
        </w:tc>
        <w:tc>
          <w:tcPr>
            <w:tcW w:w="774"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20,500</w:t>
            </w:r>
          </w:p>
        </w:tc>
        <w:tc>
          <w:tcPr>
            <w:tcW w:w="935"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19,306</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19,043</w:t>
            </w:r>
          </w:p>
        </w:tc>
        <w:tc>
          <w:tcPr>
            <w:tcW w:w="99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Pr>
                <w:sz w:val="15"/>
                <w:szCs w:val="15"/>
              </w:rPr>
              <w:t>20,944</w:t>
            </w:r>
          </w:p>
        </w:tc>
        <w:tc>
          <w:tcPr>
            <w:tcW w:w="943" w:type="dxa"/>
            <w:tcBorders>
              <w:top w:val="single" w:sz="4" w:space="0" w:color="auto"/>
              <w:left w:val="single" w:sz="4" w:space="0" w:color="auto"/>
              <w:bottom w:val="single" w:sz="4" w:space="0" w:color="auto"/>
              <w:right w:val="single" w:sz="4" w:space="0" w:color="auto"/>
            </w:tcBorders>
            <w:vAlign w:val="center"/>
          </w:tcPr>
          <w:p w:rsidR="00A424D3" w:rsidRDefault="00A424D3" w:rsidP="007471A8">
            <w:pPr>
              <w:tabs>
                <w:tab w:val="left" w:pos="-1440"/>
              </w:tabs>
              <w:contextualSpacing/>
              <w:jc w:val="right"/>
              <w:rPr>
                <w:sz w:val="15"/>
                <w:szCs w:val="15"/>
              </w:rPr>
            </w:pPr>
            <w:r>
              <w:rPr>
                <w:sz w:val="15"/>
                <w:szCs w:val="15"/>
              </w:rPr>
              <w:t>20,806</w:t>
            </w:r>
          </w:p>
        </w:tc>
        <w:tc>
          <w:tcPr>
            <w:tcW w:w="825"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N/A</w:t>
            </w:r>
          </w:p>
        </w:tc>
        <w:tc>
          <w:tcPr>
            <w:tcW w:w="779" w:type="dxa"/>
            <w:tcBorders>
              <w:top w:val="single" w:sz="4" w:space="0" w:color="auto"/>
              <w:left w:val="single" w:sz="4" w:space="0" w:color="auto"/>
              <w:bottom w:val="single" w:sz="4" w:space="0" w:color="auto"/>
              <w:right w:val="single" w:sz="4" w:space="0" w:color="auto"/>
            </w:tcBorders>
            <w:vAlign w:val="center"/>
          </w:tcPr>
          <w:p w:rsidR="00A424D3" w:rsidRPr="00646736" w:rsidRDefault="00A424D3" w:rsidP="007471A8">
            <w:pPr>
              <w:tabs>
                <w:tab w:val="left" w:pos="-1440"/>
              </w:tabs>
              <w:contextualSpacing/>
              <w:jc w:val="right"/>
              <w:rPr>
                <w:sz w:val="15"/>
                <w:szCs w:val="15"/>
              </w:rPr>
            </w:pPr>
            <w:r w:rsidRPr="00646736">
              <w:rPr>
                <w:sz w:val="15"/>
                <w:szCs w:val="15"/>
              </w:rPr>
              <w:t>N/A</w:t>
            </w:r>
          </w:p>
        </w:tc>
      </w:tr>
      <w:tr w:rsidR="00A424D3" w:rsidRPr="00EC7008" w:rsidTr="00B75B18">
        <w:trPr>
          <w:cantSplit/>
          <w:trHeight w:val="188"/>
          <w:jc w:val="center"/>
        </w:trPr>
        <w:tc>
          <w:tcPr>
            <w:tcW w:w="1702" w:type="dxa"/>
            <w:tcBorders>
              <w:top w:val="single" w:sz="4" w:space="0" w:color="auto"/>
              <w:left w:val="single" w:sz="4" w:space="0" w:color="auto"/>
              <w:bottom w:val="single" w:sz="4" w:space="0" w:color="auto"/>
              <w:right w:val="nil"/>
            </w:tcBorders>
            <w:vAlign w:val="center"/>
          </w:tcPr>
          <w:p w:rsidR="00A424D3" w:rsidRPr="00EC7008" w:rsidRDefault="00A424D3"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pStyle w:val="BodyText2"/>
              <w:contextualSpacing/>
              <w:rPr>
                <w:sz w:val="15"/>
                <w:szCs w:val="15"/>
              </w:rPr>
            </w:pPr>
            <w:r>
              <w:rPr>
                <w:sz w:val="15"/>
                <w:szCs w:val="15"/>
              </w:rPr>
              <w:t>Number</w:t>
            </w:r>
            <w:r w:rsidRPr="00EC7008">
              <w:rPr>
                <w:sz w:val="15"/>
                <w:szCs w:val="15"/>
              </w:rPr>
              <w:t xml:space="preserve"> of participants in the JTTF</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2,394</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3,163</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3,714</w:t>
            </w:r>
          </w:p>
        </w:tc>
        <w:tc>
          <w:tcPr>
            <w:tcW w:w="810"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3,540</w:t>
            </w:r>
          </w:p>
        </w:tc>
        <w:tc>
          <w:tcPr>
            <w:tcW w:w="774"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3,600</w:t>
            </w:r>
          </w:p>
        </w:tc>
        <w:tc>
          <w:tcPr>
            <w:tcW w:w="935"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4,163</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4,597</w:t>
            </w:r>
          </w:p>
        </w:tc>
        <w:tc>
          <w:tcPr>
            <w:tcW w:w="99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Pr>
                <w:sz w:val="15"/>
                <w:szCs w:val="15"/>
              </w:rPr>
              <w:t>4,404</w:t>
            </w:r>
          </w:p>
        </w:tc>
        <w:tc>
          <w:tcPr>
            <w:tcW w:w="943"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Pr>
                <w:sz w:val="15"/>
                <w:szCs w:val="15"/>
              </w:rPr>
              <w:t>4,492</w:t>
            </w:r>
          </w:p>
        </w:tc>
        <w:tc>
          <w:tcPr>
            <w:tcW w:w="825"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4,570</w:t>
            </w:r>
          </w:p>
        </w:tc>
        <w:tc>
          <w:tcPr>
            <w:tcW w:w="779" w:type="dxa"/>
            <w:tcBorders>
              <w:top w:val="single" w:sz="4" w:space="0" w:color="auto"/>
              <w:left w:val="single" w:sz="4" w:space="0" w:color="auto"/>
              <w:bottom w:val="single" w:sz="4" w:space="0" w:color="auto"/>
              <w:right w:val="single" w:sz="4" w:space="0" w:color="auto"/>
            </w:tcBorders>
            <w:vAlign w:val="center"/>
          </w:tcPr>
          <w:p w:rsidR="00A424D3" w:rsidRPr="00646736" w:rsidRDefault="00A424D3" w:rsidP="007471A8">
            <w:pPr>
              <w:tabs>
                <w:tab w:val="left" w:pos="-1440"/>
              </w:tabs>
              <w:contextualSpacing/>
              <w:jc w:val="right"/>
              <w:rPr>
                <w:sz w:val="15"/>
                <w:szCs w:val="15"/>
              </w:rPr>
            </w:pPr>
            <w:r w:rsidRPr="00646736">
              <w:rPr>
                <w:sz w:val="15"/>
                <w:szCs w:val="15"/>
              </w:rPr>
              <w:t>4,570</w:t>
            </w:r>
          </w:p>
        </w:tc>
      </w:tr>
      <w:tr w:rsidR="00A424D3" w:rsidRPr="00EC7008" w:rsidTr="00B75B18">
        <w:trPr>
          <w:cantSplit/>
          <w:trHeight w:val="350"/>
          <w:jc w:val="center"/>
        </w:trPr>
        <w:tc>
          <w:tcPr>
            <w:tcW w:w="1702" w:type="dxa"/>
            <w:tcBorders>
              <w:top w:val="single" w:sz="4" w:space="0" w:color="auto"/>
              <w:left w:val="single" w:sz="4" w:space="0" w:color="auto"/>
              <w:bottom w:val="single" w:sz="4" w:space="0" w:color="auto"/>
              <w:right w:val="nil"/>
            </w:tcBorders>
            <w:vAlign w:val="center"/>
          </w:tcPr>
          <w:p w:rsidR="00A424D3" w:rsidRPr="00EC7008" w:rsidRDefault="00A424D3" w:rsidP="007471A8">
            <w:pPr>
              <w:contextualSpacing/>
              <w:rPr>
                <w:sz w:val="15"/>
                <w:szCs w:val="15"/>
              </w:rPr>
            </w:pPr>
            <w:r w:rsidRPr="00EC7008">
              <w:rPr>
                <w:b/>
                <w:bCs/>
                <w:sz w:val="15"/>
                <w:szCs w:val="15"/>
              </w:rPr>
              <w:t xml:space="preserve">Performance Measure </w:t>
            </w:r>
          </w:p>
        </w:tc>
        <w:tc>
          <w:tcPr>
            <w:tcW w:w="2916"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pStyle w:val="BodyText2"/>
              <w:contextualSpacing/>
              <w:rPr>
                <w:sz w:val="15"/>
                <w:szCs w:val="15"/>
              </w:rPr>
            </w:pPr>
            <w:r w:rsidRPr="00EC7008">
              <w:rPr>
                <w:rFonts w:eastAsia="SimSun"/>
                <w:sz w:val="15"/>
                <w:szCs w:val="15"/>
                <w:lang w:eastAsia="zh-CN"/>
              </w:rPr>
              <w:t>Percentage of Counterterrorism Career Path Agents Completing Specialized CT Training</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3%</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10%</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15%</w:t>
            </w:r>
          </w:p>
        </w:tc>
        <w:tc>
          <w:tcPr>
            <w:tcW w:w="810"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74%</w:t>
            </w:r>
          </w:p>
        </w:tc>
        <w:tc>
          <w:tcPr>
            <w:tcW w:w="774"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77%</w:t>
            </w:r>
          </w:p>
        </w:tc>
        <w:tc>
          <w:tcPr>
            <w:tcW w:w="935"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80%</w:t>
            </w:r>
          </w:p>
        </w:tc>
        <w:tc>
          <w:tcPr>
            <w:tcW w:w="81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sidRPr="00EC7008">
              <w:rPr>
                <w:sz w:val="15"/>
                <w:szCs w:val="15"/>
              </w:rPr>
              <w:t>92%</w:t>
            </w:r>
          </w:p>
        </w:tc>
        <w:tc>
          <w:tcPr>
            <w:tcW w:w="990" w:type="dxa"/>
            <w:tcBorders>
              <w:top w:val="single" w:sz="4" w:space="0" w:color="auto"/>
              <w:left w:val="single" w:sz="4" w:space="0" w:color="auto"/>
              <w:bottom w:val="single" w:sz="4" w:space="0" w:color="auto"/>
              <w:right w:val="single" w:sz="4" w:space="0" w:color="auto"/>
            </w:tcBorders>
            <w:noWrap/>
            <w:vAlign w:val="center"/>
          </w:tcPr>
          <w:p w:rsidR="00A424D3" w:rsidRPr="00EC7008" w:rsidRDefault="00A424D3" w:rsidP="007471A8">
            <w:pPr>
              <w:tabs>
                <w:tab w:val="left" w:pos="-1440"/>
              </w:tabs>
              <w:contextualSpacing/>
              <w:jc w:val="right"/>
              <w:rPr>
                <w:sz w:val="15"/>
                <w:szCs w:val="15"/>
              </w:rPr>
            </w:pPr>
            <w:r>
              <w:rPr>
                <w:sz w:val="15"/>
                <w:szCs w:val="15"/>
              </w:rPr>
              <w:t>47%</w:t>
            </w:r>
          </w:p>
        </w:tc>
        <w:tc>
          <w:tcPr>
            <w:tcW w:w="943"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Pr>
                <w:sz w:val="15"/>
                <w:szCs w:val="15"/>
              </w:rPr>
              <w:t>41%</w:t>
            </w:r>
          </w:p>
        </w:tc>
        <w:tc>
          <w:tcPr>
            <w:tcW w:w="825" w:type="dxa"/>
            <w:tcBorders>
              <w:top w:val="single" w:sz="4" w:space="0" w:color="auto"/>
              <w:left w:val="single" w:sz="4" w:space="0" w:color="auto"/>
              <w:bottom w:val="single" w:sz="4" w:space="0" w:color="auto"/>
              <w:right w:val="single" w:sz="4" w:space="0" w:color="auto"/>
            </w:tcBorders>
            <w:vAlign w:val="center"/>
          </w:tcPr>
          <w:p w:rsidR="00A424D3" w:rsidRPr="00EC7008" w:rsidRDefault="00A424D3" w:rsidP="007471A8">
            <w:pPr>
              <w:tabs>
                <w:tab w:val="left" w:pos="-1440"/>
              </w:tabs>
              <w:contextualSpacing/>
              <w:jc w:val="right"/>
              <w:rPr>
                <w:sz w:val="15"/>
                <w:szCs w:val="15"/>
              </w:rPr>
            </w:pPr>
            <w:r w:rsidRPr="00EC7008">
              <w:rPr>
                <w:sz w:val="15"/>
                <w:szCs w:val="15"/>
              </w:rPr>
              <w:t>30%</w:t>
            </w:r>
          </w:p>
        </w:tc>
        <w:tc>
          <w:tcPr>
            <w:tcW w:w="779" w:type="dxa"/>
            <w:tcBorders>
              <w:top w:val="single" w:sz="4" w:space="0" w:color="auto"/>
              <w:left w:val="single" w:sz="4" w:space="0" w:color="auto"/>
              <w:bottom w:val="single" w:sz="4" w:space="0" w:color="auto"/>
              <w:right w:val="single" w:sz="4" w:space="0" w:color="auto"/>
            </w:tcBorders>
            <w:vAlign w:val="center"/>
          </w:tcPr>
          <w:p w:rsidR="00A424D3" w:rsidRPr="00646736" w:rsidRDefault="00A424D3" w:rsidP="007471A8">
            <w:pPr>
              <w:tabs>
                <w:tab w:val="left" w:pos="-1440"/>
              </w:tabs>
              <w:contextualSpacing/>
              <w:jc w:val="right"/>
              <w:rPr>
                <w:sz w:val="15"/>
                <w:szCs w:val="15"/>
              </w:rPr>
            </w:pPr>
            <w:r w:rsidRPr="00646736">
              <w:rPr>
                <w:sz w:val="15"/>
                <w:szCs w:val="15"/>
              </w:rPr>
              <w:t>30%</w:t>
            </w:r>
          </w:p>
        </w:tc>
      </w:tr>
      <w:tr w:rsidR="00415A34" w:rsidRPr="00EC7008" w:rsidTr="00B75B18">
        <w:trPr>
          <w:cantSplit/>
          <w:trHeight w:val="359"/>
          <w:jc w:val="center"/>
        </w:trPr>
        <w:tc>
          <w:tcPr>
            <w:tcW w:w="1702" w:type="dxa"/>
            <w:tcBorders>
              <w:top w:val="single" w:sz="4" w:space="0" w:color="auto"/>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Efficiency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rFonts w:eastAsia="SimSun"/>
                <w:sz w:val="15"/>
                <w:szCs w:val="15"/>
                <w:lang w:eastAsia="zh-CN"/>
              </w:rPr>
            </w:pPr>
            <w:r w:rsidRPr="00EC7008">
              <w:rPr>
                <w:rFonts w:eastAsia="SimSun"/>
                <w:color w:val="000000"/>
                <w:sz w:val="15"/>
                <w:szCs w:val="15"/>
                <w:lang w:eastAsia="zh-CN"/>
              </w:rPr>
              <w:t>Percentage of Counterterrorism Cases targeting Top Priority Groups</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15%</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35%</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34%</w:t>
            </w:r>
          </w:p>
        </w:tc>
        <w:tc>
          <w:tcPr>
            <w:tcW w:w="810"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33%</w:t>
            </w:r>
          </w:p>
        </w:tc>
        <w:tc>
          <w:tcPr>
            <w:tcW w:w="774"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34%</w:t>
            </w:r>
          </w:p>
        </w:tc>
        <w:tc>
          <w:tcPr>
            <w:tcW w:w="93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44%</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60.1%</w:t>
            </w:r>
          </w:p>
        </w:tc>
        <w:tc>
          <w:tcPr>
            <w:tcW w:w="990" w:type="dxa"/>
            <w:tcBorders>
              <w:top w:val="single" w:sz="4" w:space="0" w:color="auto"/>
              <w:left w:val="single" w:sz="4" w:space="0" w:color="auto"/>
              <w:bottom w:val="single" w:sz="4" w:space="0" w:color="auto"/>
              <w:right w:val="single" w:sz="4" w:space="0" w:color="auto"/>
            </w:tcBorders>
            <w:noWrap/>
            <w:vAlign w:val="center"/>
          </w:tcPr>
          <w:p w:rsidR="00415A34" w:rsidRDefault="00415A34" w:rsidP="007471A8">
            <w:pPr>
              <w:tabs>
                <w:tab w:val="left" w:pos="-1440"/>
              </w:tabs>
              <w:contextualSpacing/>
              <w:jc w:val="right"/>
              <w:rPr>
                <w:sz w:val="15"/>
                <w:szCs w:val="15"/>
              </w:rPr>
            </w:pPr>
            <w:r>
              <w:rPr>
                <w:sz w:val="15"/>
                <w:szCs w:val="15"/>
              </w:rPr>
              <w:t>62.3%</w:t>
            </w:r>
          </w:p>
        </w:tc>
        <w:tc>
          <w:tcPr>
            <w:tcW w:w="943" w:type="dxa"/>
            <w:tcBorders>
              <w:top w:val="single" w:sz="4" w:space="0" w:color="auto"/>
              <w:left w:val="single" w:sz="4" w:space="0" w:color="auto"/>
              <w:bottom w:val="single" w:sz="4" w:space="0" w:color="auto"/>
              <w:right w:val="single" w:sz="4" w:space="0" w:color="auto"/>
            </w:tcBorders>
            <w:vAlign w:val="center"/>
          </w:tcPr>
          <w:p w:rsidR="00415A34" w:rsidRDefault="00415A34" w:rsidP="007471A8">
            <w:pPr>
              <w:tabs>
                <w:tab w:val="left" w:pos="-1440"/>
              </w:tabs>
              <w:contextualSpacing/>
              <w:jc w:val="right"/>
              <w:rPr>
                <w:sz w:val="15"/>
                <w:szCs w:val="15"/>
              </w:rPr>
            </w:pPr>
            <w:r>
              <w:rPr>
                <w:sz w:val="15"/>
                <w:szCs w:val="15"/>
              </w:rPr>
              <w:t>62.7%</w:t>
            </w:r>
          </w:p>
        </w:tc>
        <w:tc>
          <w:tcPr>
            <w:tcW w:w="82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65.1%</w:t>
            </w:r>
          </w:p>
        </w:tc>
        <w:tc>
          <w:tcPr>
            <w:tcW w:w="779" w:type="dxa"/>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right"/>
              <w:rPr>
                <w:sz w:val="15"/>
                <w:szCs w:val="15"/>
              </w:rPr>
            </w:pPr>
            <w:r>
              <w:rPr>
                <w:sz w:val="15"/>
                <w:szCs w:val="15"/>
              </w:rPr>
              <w:t>65.1%</w:t>
            </w:r>
          </w:p>
        </w:tc>
      </w:tr>
      <w:tr w:rsidR="00415A34" w:rsidRPr="00EC7008" w:rsidTr="00B75B18">
        <w:trPr>
          <w:cantSplit/>
          <w:trHeight w:val="350"/>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Pr>
                <w:sz w:val="15"/>
                <w:szCs w:val="15"/>
              </w:rPr>
              <w:t>Percentage of known intelligence officers from priority countries who are covered through the use of sophisticated techniques</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B75B18">
        <w:trPr>
          <w:cantSplit/>
          <w:trHeight w:val="440"/>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Pr>
                <w:sz w:val="15"/>
                <w:szCs w:val="15"/>
              </w:rPr>
              <w:t>Percentage of intelligence officers from priority countries who have been disrupted or defeated</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B75B18">
        <w:trPr>
          <w:cantSplit/>
          <w:trHeight w:val="467"/>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Pr>
                <w:sz w:val="15"/>
                <w:szCs w:val="15"/>
              </w:rPr>
              <w:t>Number of successful prevention  activities used by domain entities as a result of CI outreach</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B75B18">
        <w:trPr>
          <w:cantSplit/>
          <w:trHeight w:val="377"/>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Pr>
                <w:sz w:val="15"/>
                <w:szCs w:val="15"/>
              </w:rPr>
              <w:t>Number of vulnerable entities which have been protected through aggressive CI posture</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B75B18">
        <w:trPr>
          <w:cantSplit/>
          <w:trHeight w:val="305"/>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sidRPr="00EC7008">
              <w:rPr>
                <w:sz w:val="15"/>
                <w:szCs w:val="15"/>
              </w:rPr>
              <w:t>Percentage of offices that have sufficiently identified Foreign Intelligence Service (FIS) activities</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B75B18">
        <w:trPr>
          <w:cantSplit/>
          <w:trHeight w:val="77"/>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sidRPr="00EC7008">
              <w:rPr>
                <w:sz w:val="15"/>
                <w:szCs w:val="15"/>
              </w:rPr>
              <w:t>Percentage of field offices with adequate coverage of known or suspected intelligence officers</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415A34">
        <w:trPr>
          <w:cantSplit/>
          <w:trHeight w:val="600"/>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sidRPr="00EC7008">
              <w:rPr>
                <w:sz w:val="15"/>
                <w:szCs w:val="15"/>
              </w:rPr>
              <w:t>Percentage of field offices satisfactorily engaged in strategic partnerships with other USIC entities</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415A34">
        <w:trPr>
          <w:cantSplit/>
          <w:trHeight w:val="600"/>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sidRPr="00EC7008">
              <w:rPr>
                <w:sz w:val="15"/>
                <w:szCs w:val="15"/>
              </w:rPr>
              <w:t>Percentage of field offices that have satisfactorily demonstrated knowledge of and liaison with vulnerable entities within their domain</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415A34">
        <w:trPr>
          <w:cantSplit/>
          <w:trHeight w:val="600"/>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tabs>
                <w:tab w:val="left" w:pos="-1440"/>
              </w:tabs>
              <w:contextualSpacing/>
              <w:rPr>
                <w:b/>
                <w:bCs/>
                <w:sz w:val="15"/>
                <w:szCs w:val="15"/>
              </w:rPr>
            </w:pPr>
            <w:r w:rsidRPr="00EC7008">
              <w:rPr>
                <w:b/>
                <w:bCs/>
                <w:sz w:val="15"/>
                <w:szCs w:val="15"/>
              </w:rPr>
              <w:t>Performance Measure</w:t>
            </w:r>
          </w:p>
        </w:tc>
        <w:tc>
          <w:tcPr>
            <w:tcW w:w="2916"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pStyle w:val="BodyText2"/>
              <w:contextualSpacing/>
              <w:rPr>
                <w:sz w:val="15"/>
                <w:szCs w:val="15"/>
              </w:rPr>
            </w:pPr>
            <w:r w:rsidRPr="00EC7008">
              <w:rPr>
                <w:sz w:val="15"/>
                <w:szCs w:val="15"/>
              </w:rPr>
              <w:t>Percentage of field offices that have identified and documented priority threat country operations</w:t>
            </w:r>
          </w:p>
        </w:tc>
        <w:tc>
          <w:tcPr>
            <w:tcW w:w="9296" w:type="dxa"/>
            <w:gridSpan w:val="11"/>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886A25">
        <w:trPr>
          <w:cantSplit/>
          <w:trHeight w:val="467"/>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tabs>
                <w:tab w:val="left" w:pos="-1440"/>
              </w:tabs>
              <w:contextualSpacing/>
              <w:rPr>
                <w:b/>
                <w:bCs/>
                <w:sz w:val="15"/>
                <w:szCs w:val="15"/>
              </w:rPr>
            </w:pPr>
            <w:r w:rsidRPr="00EC7008">
              <w:rPr>
                <w:b/>
                <w:bCs/>
                <w:sz w:val="15"/>
                <w:szCs w:val="15"/>
              </w:rPr>
              <w:t>Efficiency  Measure</w:t>
            </w:r>
          </w:p>
        </w:tc>
        <w:tc>
          <w:tcPr>
            <w:tcW w:w="2916" w:type="dxa"/>
            <w:tcBorders>
              <w:top w:val="nil"/>
              <w:left w:val="single" w:sz="4" w:space="0" w:color="auto"/>
              <w:bottom w:val="single" w:sz="4" w:space="0" w:color="auto"/>
              <w:right w:val="nil"/>
            </w:tcBorders>
            <w:noWrap/>
            <w:vAlign w:val="center"/>
          </w:tcPr>
          <w:p w:rsidR="00415A34" w:rsidRPr="00EC7008" w:rsidRDefault="00415A34" w:rsidP="007471A8">
            <w:pPr>
              <w:pStyle w:val="BodyText2"/>
              <w:contextualSpacing/>
              <w:rPr>
                <w:sz w:val="15"/>
                <w:szCs w:val="15"/>
              </w:rPr>
            </w:pPr>
            <w:r w:rsidRPr="00125F9D">
              <w:rPr>
                <w:sz w:val="15"/>
                <w:szCs w:val="15"/>
              </w:rPr>
              <w:t>Cost savings/efficiencies through the Lookout Program</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Pr>
                <w:sz w:val="15"/>
                <w:szCs w:val="15"/>
              </w:rPr>
              <w:t>N/A</w:t>
            </w:r>
          </w:p>
        </w:tc>
        <w:tc>
          <w:tcPr>
            <w:tcW w:w="810"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Pr>
                <w:sz w:val="15"/>
                <w:szCs w:val="15"/>
              </w:rPr>
              <w:t>N/A</w:t>
            </w:r>
          </w:p>
        </w:tc>
        <w:tc>
          <w:tcPr>
            <w:tcW w:w="774"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Pr>
                <w:sz w:val="15"/>
                <w:szCs w:val="15"/>
              </w:rPr>
              <w:t>N/A</w:t>
            </w:r>
          </w:p>
        </w:tc>
        <w:tc>
          <w:tcPr>
            <w:tcW w:w="93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Pr>
                <w:sz w:val="15"/>
                <w:szCs w:val="15"/>
              </w:rPr>
              <w:t>N/A</w:t>
            </w:r>
          </w:p>
        </w:tc>
        <w:tc>
          <w:tcPr>
            <w:tcW w:w="99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Pr>
                <w:sz w:val="15"/>
                <w:szCs w:val="15"/>
              </w:rPr>
              <w:t>N/A</w:t>
            </w:r>
          </w:p>
        </w:tc>
        <w:tc>
          <w:tcPr>
            <w:tcW w:w="943"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Pr>
                <w:sz w:val="15"/>
                <w:szCs w:val="15"/>
              </w:rPr>
              <w:t>$373,530</w:t>
            </w:r>
          </w:p>
        </w:tc>
        <w:tc>
          <w:tcPr>
            <w:tcW w:w="82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Pr>
                <w:sz w:val="15"/>
                <w:szCs w:val="15"/>
              </w:rPr>
              <w:t>$170,732</w:t>
            </w:r>
          </w:p>
        </w:tc>
        <w:tc>
          <w:tcPr>
            <w:tcW w:w="779" w:type="dxa"/>
            <w:tcBorders>
              <w:top w:val="single" w:sz="4" w:space="0" w:color="auto"/>
              <w:left w:val="single" w:sz="4" w:space="0" w:color="auto"/>
              <w:bottom w:val="single" w:sz="4" w:space="0" w:color="auto"/>
              <w:right w:val="single" w:sz="4" w:space="0" w:color="auto"/>
            </w:tcBorders>
          </w:tcPr>
          <w:p w:rsidR="00415A34" w:rsidRPr="00646736" w:rsidRDefault="00415A34" w:rsidP="007471A8">
            <w:pPr>
              <w:contextualSpacing/>
              <w:jc w:val="right"/>
              <w:rPr>
                <w:sz w:val="15"/>
                <w:szCs w:val="15"/>
              </w:rPr>
            </w:pPr>
          </w:p>
          <w:p w:rsidR="00415A34" w:rsidRPr="00646736" w:rsidRDefault="00415A34" w:rsidP="007471A8">
            <w:pPr>
              <w:contextualSpacing/>
              <w:jc w:val="right"/>
              <w:rPr>
                <w:sz w:val="15"/>
                <w:szCs w:val="15"/>
              </w:rPr>
            </w:pPr>
            <w:r>
              <w:rPr>
                <w:sz w:val="15"/>
                <w:szCs w:val="15"/>
              </w:rPr>
              <w:t>$134,000</w:t>
            </w:r>
          </w:p>
        </w:tc>
      </w:tr>
      <w:tr w:rsidR="00415A34" w:rsidRPr="00EC7008" w:rsidTr="00415A34">
        <w:trPr>
          <w:cantSplit/>
          <w:trHeight w:val="467"/>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tabs>
                <w:tab w:val="left" w:pos="-1440"/>
              </w:tabs>
              <w:contextualSpacing/>
              <w:rPr>
                <w:b/>
                <w:bCs/>
                <w:sz w:val="15"/>
                <w:szCs w:val="15"/>
              </w:rPr>
            </w:pPr>
            <w:r>
              <w:rPr>
                <w:b/>
                <w:bCs/>
                <w:sz w:val="15"/>
                <w:szCs w:val="15"/>
              </w:rPr>
              <w:t>Performance Measure</w:t>
            </w:r>
          </w:p>
        </w:tc>
        <w:tc>
          <w:tcPr>
            <w:tcW w:w="2916" w:type="dxa"/>
            <w:tcBorders>
              <w:top w:val="single" w:sz="4" w:space="0" w:color="auto"/>
              <w:left w:val="single" w:sz="4" w:space="0" w:color="auto"/>
              <w:bottom w:val="single" w:sz="4" w:space="0" w:color="auto"/>
              <w:right w:val="nil"/>
            </w:tcBorders>
            <w:noWrap/>
            <w:vAlign w:val="center"/>
          </w:tcPr>
          <w:p w:rsidR="00415A34" w:rsidRPr="00125F9D" w:rsidRDefault="00415A34" w:rsidP="007471A8">
            <w:pPr>
              <w:pStyle w:val="BodyText2"/>
              <w:contextualSpacing/>
              <w:rPr>
                <w:sz w:val="15"/>
                <w:szCs w:val="15"/>
              </w:rPr>
            </w:pPr>
            <w:r>
              <w:rPr>
                <w:sz w:val="15"/>
                <w:szCs w:val="15"/>
              </w:rPr>
              <w:t>Number of surveillance targets the FBI can cover of an 24/7 basis</w:t>
            </w:r>
          </w:p>
        </w:tc>
        <w:tc>
          <w:tcPr>
            <w:tcW w:w="9296" w:type="dxa"/>
            <w:gridSpan w:val="11"/>
            <w:tcBorders>
              <w:top w:val="single" w:sz="4" w:space="0" w:color="auto"/>
              <w:left w:val="single" w:sz="4" w:space="0" w:color="auto"/>
              <w:bottom w:val="single" w:sz="4" w:space="0" w:color="auto"/>
              <w:right w:val="single" w:sz="4" w:space="0" w:color="auto"/>
            </w:tcBorders>
            <w:noWrap/>
            <w:vAlign w:val="center"/>
          </w:tcPr>
          <w:p w:rsidR="00415A34" w:rsidRPr="00646736" w:rsidRDefault="00415A34" w:rsidP="007471A8">
            <w:pPr>
              <w:contextualSpacing/>
              <w:jc w:val="center"/>
              <w:rPr>
                <w:sz w:val="15"/>
                <w:szCs w:val="15"/>
              </w:rPr>
            </w:pPr>
            <w:r>
              <w:rPr>
                <w:sz w:val="16"/>
                <w:szCs w:val="16"/>
              </w:rPr>
              <w:t>This information is Classified.</w:t>
            </w:r>
          </w:p>
        </w:tc>
      </w:tr>
      <w:tr w:rsidR="00415A34" w:rsidRPr="00EC7008" w:rsidTr="00415A34">
        <w:trPr>
          <w:cantSplit/>
          <w:trHeight w:val="449"/>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Pr>
                <w:b/>
                <w:bCs/>
                <w:sz w:val="15"/>
                <w:szCs w:val="15"/>
              </w:rPr>
              <w:t>Performance Measure</w:t>
            </w:r>
          </w:p>
        </w:tc>
        <w:tc>
          <w:tcPr>
            <w:tcW w:w="2916" w:type="dxa"/>
            <w:tcBorders>
              <w:top w:val="nil"/>
              <w:left w:val="single" w:sz="4" w:space="0" w:color="auto"/>
              <w:bottom w:val="single" w:sz="4" w:space="0" w:color="auto"/>
              <w:right w:val="nil"/>
            </w:tcBorders>
            <w:noWrap/>
            <w:vAlign w:val="center"/>
          </w:tcPr>
          <w:p w:rsidR="00415A34" w:rsidRPr="00EC7008" w:rsidRDefault="00415A34" w:rsidP="007471A8">
            <w:pPr>
              <w:tabs>
                <w:tab w:val="left" w:pos="-1440"/>
              </w:tabs>
              <w:contextualSpacing/>
              <w:rPr>
                <w:sz w:val="15"/>
                <w:szCs w:val="15"/>
              </w:rPr>
            </w:pPr>
            <w:r>
              <w:rPr>
                <w:sz w:val="15"/>
                <w:szCs w:val="15"/>
              </w:rPr>
              <w:t>Number of CI or CT Pillar I (facilities) under surveillance</w:t>
            </w:r>
          </w:p>
        </w:tc>
        <w:tc>
          <w:tcPr>
            <w:tcW w:w="9296" w:type="dxa"/>
            <w:gridSpan w:val="11"/>
            <w:tcBorders>
              <w:top w:val="single" w:sz="4" w:space="0" w:color="auto"/>
              <w:left w:val="single" w:sz="4" w:space="0" w:color="auto"/>
              <w:bottom w:val="single" w:sz="4" w:space="0" w:color="auto"/>
              <w:right w:val="single" w:sz="4" w:space="0" w:color="auto"/>
            </w:tcBorders>
            <w:noWrap/>
            <w:vAlign w:val="center"/>
          </w:tcPr>
          <w:p w:rsidR="00415A34" w:rsidRPr="00646736" w:rsidRDefault="00415A34" w:rsidP="007471A8">
            <w:pPr>
              <w:tabs>
                <w:tab w:val="left" w:pos="-1440"/>
              </w:tabs>
              <w:contextualSpacing/>
              <w:jc w:val="center"/>
              <w:rPr>
                <w:sz w:val="15"/>
                <w:szCs w:val="15"/>
              </w:rPr>
            </w:pPr>
            <w:r>
              <w:rPr>
                <w:sz w:val="16"/>
                <w:szCs w:val="16"/>
              </w:rPr>
              <w:t>This information is Classified.</w:t>
            </w:r>
          </w:p>
        </w:tc>
      </w:tr>
      <w:tr w:rsidR="00415A34" w:rsidRPr="00EC7008" w:rsidTr="00886A25">
        <w:trPr>
          <w:cantSplit/>
          <w:trHeight w:val="449"/>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nil"/>
            </w:tcBorders>
            <w:noWrap/>
            <w:vAlign w:val="center"/>
          </w:tcPr>
          <w:p w:rsidR="00415A34" w:rsidRPr="00EC7008" w:rsidRDefault="00415A34" w:rsidP="007471A8">
            <w:pPr>
              <w:tabs>
                <w:tab w:val="left" w:pos="-1440"/>
              </w:tabs>
              <w:contextualSpacing/>
              <w:rPr>
                <w:sz w:val="15"/>
                <w:szCs w:val="15"/>
              </w:rPr>
            </w:pPr>
            <w:r w:rsidRPr="00EC7008">
              <w:rPr>
                <w:sz w:val="15"/>
                <w:szCs w:val="15"/>
              </w:rPr>
              <w:t>Number of Priority Criminal Computer Intrusion Investigations Successfully Satisfied</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sidRPr="00EC7008">
              <w:rPr>
                <w:sz w:val="15"/>
                <w:szCs w:val="15"/>
              </w:rPr>
              <w:t>34</w:t>
            </w:r>
          </w:p>
        </w:tc>
        <w:tc>
          <w:tcPr>
            <w:tcW w:w="810"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sidRPr="00EC7008">
              <w:rPr>
                <w:sz w:val="15"/>
                <w:szCs w:val="15"/>
              </w:rPr>
              <w:t>24</w:t>
            </w:r>
          </w:p>
        </w:tc>
        <w:tc>
          <w:tcPr>
            <w:tcW w:w="774"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sidRPr="00EC7008">
              <w:rPr>
                <w:sz w:val="15"/>
                <w:szCs w:val="15"/>
              </w:rPr>
              <w:t>27</w:t>
            </w:r>
          </w:p>
        </w:tc>
        <w:tc>
          <w:tcPr>
            <w:tcW w:w="93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sidRPr="00EC7008">
              <w:rPr>
                <w:sz w:val="15"/>
                <w:szCs w:val="15"/>
              </w:rPr>
              <w:t>31</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sidRPr="00EC7008">
              <w:rPr>
                <w:sz w:val="15"/>
                <w:szCs w:val="15"/>
              </w:rPr>
              <w:t>24</w:t>
            </w:r>
          </w:p>
        </w:tc>
        <w:tc>
          <w:tcPr>
            <w:tcW w:w="99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34</w:t>
            </w:r>
          </w:p>
        </w:tc>
        <w:tc>
          <w:tcPr>
            <w:tcW w:w="943" w:type="dxa"/>
            <w:tcBorders>
              <w:top w:val="single" w:sz="4" w:space="0" w:color="auto"/>
              <w:left w:val="single" w:sz="4" w:space="0" w:color="auto"/>
              <w:bottom w:val="single" w:sz="4" w:space="0" w:color="auto"/>
              <w:right w:val="single" w:sz="4" w:space="0" w:color="auto"/>
            </w:tcBorders>
            <w:vAlign w:val="center"/>
          </w:tcPr>
          <w:p w:rsidR="00415A34" w:rsidRPr="00C27F73" w:rsidRDefault="00415A34" w:rsidP="007471A8">
            <w:pPr>
              <w:tabs>
                <w:tab w:val="left" w:pos="-1440"/>
              </w:tabs>
              <w:contextualSpacing/>
              <w:jc w:val="right"/>
              <w:rPr>
                <w:sz w:val="15"/>
                <w:szCs w:val="15"/>
              </w:rPr>
            </w:pPr>
            <w:r w:rsidRPr="00C27F73">
              <w:rPr>
                <w:sz w:val="15"/>
                <w:szCs w:val="15"/>
              </w:rPr>
              <w:t>35</w:t>
            </w:r>
          </w:p>
        </w:tc>
        <w:tc>
          <w:tcPr>
            <w:tcW w:w="82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N/A</w:t>
            </w:r>
          </w:p>
        </w:tc>
        <w:tc>
          <w:tcPr>
            <w:tcW w:w="779" w:type="dxa"/>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right"/>
              <w:rPr>
                <w:sz w:val="15"/>
                <w:szCs w:val="15"/>
              </w:rPr>
            </w:pPr>
            <w:r w:rsidRPr="00646736">
              <w:rPr>
                <w:sz w:val="15"/>
                <w:szCs w:val="15"/>
              </w:rPr>
              <w:t>N/A</w:t>
            </w:r>
          </w:p>
        </w:tc>
      </w:tr>
      <w:tr w:rsidR="00415A34" w:rsidRPr="00EC7008" w:rsidTr="00B75B18">
        <w:trPr>
          <w:cantSplit/>
          <w:trHeight w:val="269"/>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tabs>
                <w:tab w:val="left" w:pos="-1440"/>
              </w:tabs>
              <w:contextualSpacing/>
              <w:rPr>
                <w:b/>
                <w:bCs/>
                <w:sz w:val="15"/>
                <w:szCs w:val="15"/>
              </w:rPr>
            </w:pPr>
            <w:r w:rsidRPr="00EC7008">
              <w:rPr>
                <w:b/>
                <w:bCs/>
                <w:sz w:val="15"/>
                <w:szCs w:val="15"/>
              </w:rPr>
              <w:t>Efficiency  Measure</w:t>
            </w:r>
          </w:p>
        </w:tc>
        <w:tc>
          <w:tcPr>
            <w:tcW w:w="2916" w:type="dxa"/>
            <w:tcBorders>
              <w:top w:val="nil"/>
              <w:left w:val="single" w:sz="4" w:space="0" w:color="auto"/>
              <w:bottom w:val="single" w:sz="4" w:space="0" w:color="auto"/>
              <w:right w:val="nil"/>
            </w:tcBorders>
            <w:noWrap/>
            <w:vAlign w:val="center"/>
          </w:tcPr>
          <w:p w:rsidR="00415A34" w:rsidRPr="00EC7008" w:rsidRDefault="00415A34" w:rsidP="007471A8">
            <w:pPr>
              <w:pStyle w:val="BodyText2"/>
              <w:contextualSpacing/>
              <w:rPr>
                <w:sz w:val="15"/>
                <w:szCs w:val="15"/>
              </w:rPr>
            </w:pPr>
            <w:r w:rsidRPr="00EC7008">
              <w:rPr>
                <w:sz w:val="15"/>
                <w:szCs w:val="15"/>
              </w:rPr>
              <w:t xml:space="preserve">Cost </w:t>
            </w:r>
            <w:r>
              <w:rPr>
                <w:sz w:val="15"/>
                <w:szCs w:val="15"/>
              </w:rPr>
              <w:t>avoidance</w:t>
            </w:r>
            <w:r w:rsidRPr="00EC7008">
              <w:rPr>
                <w:sz w:val="15"/>
                <w:szCs w:val="15"/>
              </w:rPr>
              <w:t xml:space="preserve"> from online Cyber training ($000)</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sidRPr="00EC7008">
              <w:rPr>
                <w:sz w:val="15"/>
                <w:szCs w:val="15"/>
              </w:rPr>
              <w:t>N/A</w:t>
            </w:r>
          </w:p>
        </w:tc>
        <w:tc>
          <w:tcPr>
            <w:tcW w:w="810"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sidRPr="00EC7008">
              <w:rPr>
                <w:sz w:val="15"/>
                <w:szCs w:val="15"/>
              </w:rPr>
              <w:t>N/A</w:t>
            </w:r>
          </w:p>
        </w:tc>
        <w:tc>
          <w:tcPr>
            <w:tcW w:w="774"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sidRPr="00EC7008">
              <w:rPr>
                <w:sz w:val="15"/>
                <w:szCs w:val="15"/>
              </w:rPr>
              <w:t>331</w:t>
            </w:r>
          </w:p>
        </w:tc>
        <w:tc>
          <w:tcPr>
            <w:tcW w:w="93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sidRPr="00EC7008">
              <w:rPr>
                <w:sz w:val="15"/>
                <w:szCs w:val="15"/>
              </w:rPr>
              <w:t>511</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sidRPr="00EC7008">
              <w:rPr>
                <w:sz w:val="15"/>
                <w:szCs w:val="15"/>
              </w:rPr>
              <w:t>809</w:t>
            </w:r>
          </w:p>
        </w:tc>
        <w:tc>
          <w:tcPr>
            <w:tcW w:w="99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contextualSpacing/>
              <w:jc w:val="right"/>
              <w:rPr>
                <w:sz w:val="15"/>
                <w:szCs w:val="15"/>
              </w:rPr>
            </w:pPr>
            <w:r>
              <w:rPr>
                <w:sz w:val="15"/>
                <w:szCs w:val="15"/>
              </w:rPr>
              <w:t>819</w:t>
            </w:r>
          </w:p>
        </w:tc>
        <w:tc>
          <w:tcPr>
            <w:tcW w:w="943" w:type="dxa"/>
            <w:tcBorders>
              <w:top w:val="single" w:sz="4" w:space="0" w:color="auto"/>
              <w:left w:val="single" w:sz="4" w:space="0" w:color="auto"/>
              <w:bottom w:val="single" w:sz="4" w:space="0" w:color="auto"/>
              <w:right w:val="single" w:sz="4" w:space="0" w:color="auto"/>
            </w:tcBorders>
            <w:vAlign w:val="center"/>
          </w:tcPr>
          <w:p w:rsidR="00415A34" w:rsidRPr="00C27F73" w:rsidRDefault="00415A34" w:rsidP="007471A8">
            <w:pPr>
              <w:contextualSpacing/>
              <w:jc w:val="right"/>
              <w:rPr>
                <w:sz w:val="15"/>
                <w:szCs w:val="15"/>
              </w:rPr>
            </w:pPr>
            <w:r w:rsidRPr="00C27F73">
              <w:rPr>
                <w:sz w:val="15"/>
                <w:szCs w:val="15"/>
              </w:rPr>
              <w:t>4,987</w:t>
            </w:r>
          </w:p>
        </w:tc>
        <w:tc>
          <w:tcPr>
            <w:tcW w:w="82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contextualSpacing/>
              <w:jc w:val="right"/>
              <w:rPr>
                <w:sz w:val="15"/>
                <w:szCs w:val="15"/>
              </w:rPr>
            </w:pPr>
            <w:r w:rsidRPr="00EC7008">
              <w:rPr>
                <w:sz w:val="15"/>
                <w:szCs w:val="15"/>
              </w:rPr>
              <w:t>1,156</w:t>
            </w:r>
          </w:p>
        </w:tc>
        <w:tc>
          <w:tcPr>
            <w:tcW w:w="779" w:type="dxa"/>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contextualSpacing/>
              <w:jc w:val="right"/>
              <w:rPr>
                <w:sz w:val="15"/>
                <w:szCs w:val="15"/>
              </w:rPr>
            </w:pPr>
            <w:r w:rsidRPr="00646736">
              <w:rPr>
                <w:sz w:val="15"/>
                <w:szCs w:val="15"/>
              </w:rPr>
              <w:t>2,500</w:t>
            </w:r>
          </w:p>
        </w:tc>
      </w:tr>
      <w:tr w:rsidR="00415A34" w:rsidRPr="00EC7008" w:rsidTr="00B75B18">
        <w:trPr>
          <w:cantSplit/>
          <w:trHeight w:val="368"/>
          <w:jc w:val="center"/>
        </w:trPr>
        <w:tc>
          <w:tcPr>
            <w:tcW w:w="1702" w:type="dxa"/>
            <w:tcBorders>
              <w:top w:val="nil"/>
              <w:left w:val="single" w:sz="4" w:space="0" w:color="auto"/>
              <w:bottom w:val="single" w:sz="4" w:space="0" w:color="auto"/>
              <w:right w:val="nil"/>
            </w:tcBorders>
            <w:vAlign w:val="center"/>
          </w:tcPr>
          <w:p w:rsidR="00415A34" w:rsidRPr="00EC7008" w:rsidRDefault="00415A34" w:rsidP="007471A8">
            <w:pPr>
              <w:contextualSpacing/>
              <w:rPr>
                <w:b/>
                <w:bCs/>
                <w:sz w:val="15"/>
                <w:szCs w:val="15"/>
              </w:rPr>
            </w:pPr>
            <w:r w:rsidRPr="00EC7008">
              <w:rPr>
                <w:b/>
                <w:bCs/>
                <w:sz w:val="15"/>
                <w:szCs w:val="15"/>
              </w:rPr>
              <w:t>Performance Measure</w:t>
            </w:r>
          </w:p>
        </w:tc>
        <w:tc>
          <w:tcPr>
            <w:tcW w:w="2916" w:type="dxa"/>
            <w:tcBorders>
              <w:top w:val="nil"/>
              <w:left w:val="single" w:sz="4" w:space="0" w:color="auto"/>
              <w:bottom w:val="single" w:sz="4" w:space="0" w:color="auto"/>
              <w:right w:val="nil"/>
            </w:tcBorders>
            <w:noWrap/>
            <w:vAlign w:val="center"/>
          </w:tcPr>
          <w:p w:rsidR="00415A34" w:rsidRPr="00E14CB1" w:rsidRDefault="00415A34" w:rsidP="007471A8">
            <w:pPr>
              <w:pStyle w:val="BodyText2"/>
              <w:contextualSpacing/>
              <w:rPr>
                <w:sz w:val="15"/>
                <w:szCs w:val="15"/>
              </w:rPr>
            </w:pPr>
            <w:r w:rsidRPr="00EC7008">
              <w:rPr>
                <w:sz w:val="15"/>
                <w:szCs w:val="15"/>
              </w:rPr>
              <w:t>Computer Intrusion Program Convictions/Pre-trial diversions</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95</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88</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Pr>
                <w:sz w:val="15"/>
                <w:szCs w:val="15"/>
              </w:rPr>
              <w:t>104</w:t>
            </w:r>
          </w:p>
        </w:tc>
        <w:tc>
          <w:tcPr>
            <w:tcW w:w="810"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120</w:t>
            </w:r>
          </w:p>
        </w:tc>
        <w:tc>
          <w:tcPr>
            <w:tcW w:w="774"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102</w:t>
            </w:r>
          </w:p>
        </w:tc>
        <w:tc>
          <w:tcPr>
            <w:tcW w:w="93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Pr>
                <w:sz w:val="15"/>
                <w:szCs w:val="15"/>
              </w:rPr>
              <w:t>126</w:t>
            </w:r>
          </w:p>
        </w:tc>
        <w:tc>
          <w:tcPr>
            <w:tcW w:w="810" w:type="dxa"/>
            <w:tcBorders>
              <w:top w:val="single" w:sz="4" w:space="0" w:color="auto"/>
              <w:left w:val="single" w:sz="4" w:space="0" w:color="auto"/>
              <w:bottom w:val="single" w:sz="4" w:space="0" w:color="auto"/>
              <w:right w:val="single" w:sz="4" w:space="0" w:color="auto"/>
            </w:tcBorders>
            <w:noWrap/>
            <w:vAlign w:val="center"/>
          </w:tcPr>
          <w:p w:rsidR="00415A34" w:rsidRPr="00EC7008" w:rsidRDefault="00415A34" w:rsidP="007471A8">
            <w:pPr>
              <w:tabs>
                <w:tab w:val="left" w:pos="-1440"/>
              </w:tabs>
              <w:contextualSpacing/>
              <w:jc w:val="right"/>
              <w:rPr>
                <w:sz w:val="15"/>
                <w:szCs w:val="15"/>
              </w:rPr>
            </w:pPr>
            <w:r w:rsidRPr="00EC7008">
              <w:rPr>
                <w:sz w:val="15"/>
                <w:szCs w:val="15"/>
              </w:rPr>
              <w:t>142</w:t>
            </w:r>
          </w:p>
        </w:tc>
        <w:tc>
          <w:tcPr>
            <w:tcW w:w="990" w:type="dxa"/>
            <w:tcBorders>
              <w:top w:val="single" w:sz="4" w:space="0" w:color="auto"/>
              <w:left w:val="single" w:sz="4" w:space="0" w:color="auto"/>
              <w:bottom w:val="single" w:sz="4" w:space="0" w:color="auto"/>
              <w:right w:val="single" w:sz="4" w:space="0" w:color="auto"/>
            </w:tcBorders>
            <w:noWrap/>
            <w:vAlign w:val="center"/>
          </w:tcPr>
          <w:p w:rsidR="00415A34" w:rsidRPr="00097213" w:rsidRDefault="00415A34" w:rsidP="007471A8">
            <w:pPr>
              <w:tabs>
                <w:tab w:val="left" w:pos="-1440"/>
              </w:tabs>
              <w:contextualSpacing/>
              <w:jc w:val="right"/>
              <w:rPr>
                <w:sz w:val="15"/>
                <w:szCs w:val="15"/>
                <w:highlight w:val="yellow"/>
              </w:rPr>
            </w:pPr>
            <w:r w:rsidRPr="00A34CD7">
              <w:rPr>
                <w:sz w:val="15"/>
                <w:szCs w:val="15"/>
              </w:rPr>
              <w:t>134</w:t>
            </w:r>
          </w:p>
        </w:tc>
        <w:tc>
          <w:tcPr>
            <w:tcW w:w="943" w:type="dxa"/>
            <w:tcBorders>
              <w:top w:val="single" w:sz="4" w:space="0" w:color="auto"/>
              <w:left w:val="single" w:sz="4" w:space="0" w:color="auto"/>
              <w:bottom w:val="single" w:sz="4" w:space="0" w:color="auto"/>
              <w:right w:val="single" w:sz="4" w:space="0" w:color="auto"/>
            </w:tcBorders>
            <w:vAlign w:val="center"/>
          </w:tcPr>
          <w:p w:rsidR="00415A34" w:rsidRPr="00C27F73" w:rsidRDefault="00415A34" w:rsidP="007471A8">
            <w:pPr>
              <w:tabs>
                <w:tab w:val="left" w:pos="-1440"/>
              </w:tabs>
              <w:contextualSpacing/>
              <w:jc w:val="right"/>
              <w:rPr>
                <w:sz w:val="15"/>
                <w:szCs w:val="15"/>
              </w:rPr>
            </w:pPr>
            <w:r w:rsidRPr="00C27F73">
              <w:rPr>
                <w:sz w:val="15"/>
                <w:szCs w:val="15"/>
              </w:rPr>
              <w:t>148</w:t>
            </w:r>
          </w:p>
        </w:tc>
        <w:tc>
          <w:tcPr>
            <w:tcW w:w="825" w:type="dxa"/>
            <w:tcBorders>
              <w:top w:val="single" w:sz="4" w:space="0" w:color="auto"/>
              <w:left w:val="single" w:sz="4" w:space="0" w:color="auto"/>
              <w:bottom w:val="single" w:sz="4" w:space="0" w:color="auto"/>
              <w:right w:val="single" w:sz="4" w:space="0" w:color="auto"/>
            </w:tcBorders>
            <w:vAlign w:val="center"/>
          </w:tcPr>
          <w:p w:rsidR="00415A34" w:rsidRPr="00EC7008" w:rsidRDefault="00415A34" w:rsidP="007471A8">
            <w:pPr>
              <w:tabs>
                <w:tab w:val="left" w:pos="-1440"/>
              </w:tabs>
              <w:contextualSpacing/>
              <w:jc w:val="right"/>
              <w:rPr>
                <w:sz w:val="15"/>
                <w:szCs w:val="15"/>
              </w:rPr>
            </w:pPr>
            <w:r w:rsidRPr="00EC7008">
              <w:rPr>
                <w:sz w:val="15"/>
                <w:szCs w:val="15"/>
              </w:rPr>
              <w:t>N/A</w:t>
            </w:r>
          </w:p>
        </w:tc>
        <w:tc>
          <w:tcPr>
            <w:tcW w:w="779" w:type="dxa"/>
            <w:tcBorders>
              <w:top w:val="single" w:sz="4" w:space="0" w:color="auto"/>
              <w:left w:val="single" w:sz="4" w:space="0" w:color="auto"/>
              <w:bottom w:val="single" w:sz="4" w:space="0" w:color="auto"/>
              <w:right w:val="single" w:sz="4" w:space="0" w:color="auto"/>
            </w:tcBorders>
            <w:vAlign w:val="center"/>
          </w:tcPr>
          <w:p w:rsidR="00415A34" w:rsidRPr="00646736" w:rsidRDefault="00415A34" w:rsidP="007471A8">
            <w:pPr>
              <w:tabs>
                <w:tab w:val="left" w:pos="-1440"/>
              </w:tabs>
              <w:contextualSpacing/>
              <w:jc w:val="right"/>
              <w:rPr>
                <w:sz w:val="15"/>
                <w:szCs w:val="15"/>
              </w:rPr>
            </w:pPr>
            <w:r w:rsidRPr="00646736">
              <w:rPr>
                <w:sz w:val="15"/>
                <w:szCs w:val="15"/>
              </w:rPr>
              <w:t>N/A</w:t>
            </w:r>
          </w:p>
        </w:tc>
      </w:tr>
    </w:tbl>
    <w:p w:rsidR="00A424D3" w:rsidRDefault="00A424D3" w:rsidP="007471A8">
      <w:pPr>
        <w:contextualSpacing/>
        <w:rPr>
          <w:u w:val="single"/>
        </w:rPr>
        <w:sectPr w:rsidR="00A424D3" w:rsidSect="0036067B">
          <w:type w:val="continuous"/>
          <w:pgSz w:w="15840" w:h="12240" w:orient="landscape" w:code="1"/>
          <w:pgMar w:top="1080" w:right="1080" w:bottom="1080" w:left="1080" w:header="432" w:footer="432" w:gutter="0"/>
          <w:cols w:space="720"/>
          <w:docGrid w:linePitch="326"/>
        </w:sectPr>
      </w:pPr>
    </w:p>
    <w:p w:rsidR="00A424D3" w:rsidRDefault="00A424D3" w:rsidP="007471A8">
      <w:pPr>
        <w:contextualSpacing/>
        <w:rPr>
          <w:b/>
        </w:rPr>
      </w:pPr>
      <w:r w:rsidRPr="00EB13D2">
        <w:rPr>
          <w:b/>
        </w:rPr>
        <w:lastRenderedPageBreak/>
        <w:t>2. Performance, Resources, and Strategies</w:t>
      </w:r>
      <w:r>
        <w:rPr>
          <w:b/>
        </w:rPr>
        <w:t xml:space="preserve"> </w:t>
      </w:r>
    </w:p>
    <w:p w:rsidR="00A424D3" w:rsidRDefault="00A424D3" w:rsidP="007471A8">
      <w:pPr>
        <w:contextualSpacing/>
      </w:pPr>
      <w:r w:rsidRPr="00FB298F">
        <w:t xml:space="preserve">The </w:t>
      </w:r>
      <w:r>
        <w:t xml:space="preserve">resources within the </w:t>
      </w:r>
      <w:r w:rsidRPr="00FB298F">
        <w:t>Counterterrorism/Counterintelligence decision unit contribute to the Department’s Strategic Goal 1:  Prevent Terrorism and Promote the Nation’s Security</w:t>
      </w:r>
      <w:r>
        <w:t xml:space="preserve"> Consistent with the Rule of Law</w:t>
      </w:r>
      <w:r w:rsidRPr="00FB298F">
        <w:t>, Objectives 1.1</w:t>
      </w:r>
      <w:r>
        <w:t xml:space="preserve"> and 1.3</w:t>
      </w:r>
      <w:r w:rsidRPr="00FB298F">
        <w:t xml:space="preserve">.  This decision unit also ties directly to the top three FBI priorities:  Priority 1 – Protect the United States from terrorist attacks; Priority 2 – Protect the United States against foreign intelligence operations and espionage; and Priority 3 – </w:t>
      </w:r>
      <w:r>
        <w:t>Protect the United States against cyber-based attacks and high-technology crimes.</w:t>
      </w:r>
    </w:p>
    <w:p w:rsidR="00FD2AE9" w:rsidRPr="00EB13D2" w:rsidRDefault="00FD2AE9" w:rsidP="007471A8">
      <w:pPr>
        <w:contextualSpacing/>
      </w:pPr>
    </w:p>
    <w:p w:rsidR="00A424D3" w:rsidRDefault="00A424D3" w:rsidP="007471A8">
      <w:pPr>
        <w:contextualSpacing/>
        <w:rPr>
          <w:b/>
          <w:bCs/>
          <w:u w:val="single"/>
        </w:rPr>
      </w:pPr>
      <w:r w:rsidRPr="00EB13D2">
        <w:rPr>
          <w:b/>
          <w:bCs/>
          <w:u w:val="single"/>
        </w:rPr>
        <w:t>Counterterrorism</w:t>
      </w:r>
    </w:p>
    <w:p w:rsidR="00A424D3" w:rsidRDefault="00A424D3" w:rsidP="007471A8">
      <w:pPr>
        <w:contextualSpacing/>
        <w:rPr>
          <w:b/>
          <w:bCs/>
          <w:u w:val="single"/>
        </w:rPr>
      </w:pPr>
      <w:r w:rsidRPr="00EB13D2">
        <w:rPr>
          <w:b/>
          <w:bCs/>
        </w:rPr>
        <w:t>a. Performance Plan and Report for Outcomes</w:t>
      </w:r>
    </w:p>
    <w:p w:rsidR="00A424D3" w:rsidRPr="0048369E" w:rsidRDefault="00A424D3" w:rsidP="007471A8">
      <w:pPr>
        <w:contextualSpacing/>
        <w:rPr>
          <w:b/>
          <w:bCs/>
          <w:u w:val="single"/>
        </w:rPr>
      </w:pPr>
      <w:r>
        <w:t>The</w:t>
      </w:r>
      <w:r w:rsidRPr="00FB298F">
        <w:t xml:space="preserve"> FBI must understand all dimensions of the threats facing the </w:t>
      </w:r>
      <w:r>
        <w:t>N</w:t>
      </w:r>
      <w:r w:rsidRPr="00FB298F">
        <w:t>ation and address them with new and innovative investigative and operational strategies.  The FBI must be able to effectively respond to the challenges posed by unconventional terrorist methods, such as the use of chemical, biological, radiological, explosive, and nuclear materials.  When terrorist acts do occur, the FBI must rapidly identify, locate, and apprehend the perpetrators and their affiliates.  As part of its CT mission, the FBI will continue to combat t</w:t>
      </w:r>
      <w:r>
        <w:t xml:space="preserve">errorism by investigating those </w:t>
      </w:r>
      <w:r w:rsidRPr="00FB298F">
        <w:t xml:space="preserve">persons and countries that finance terrorist acts. </w:t>
      </w:r>
    </w:p>
    <w:p w:rsidR="00A424D3" w:rsidRDefault="00A424D3" w:rsidP="007471A8">
      <w:pPr>
        <w:contextualSpacing/>
        <w:rPr>
          <w:b/>
          <w:bCs/>
          <w:i/>
          <w:iCs/>
        </w:rPr>
      </w:pPr>
    </w:p>
    <w:p w:rsidR="00A424D3" w:rsidRDefault="00A424D3" w:rsidP="007471A8">
      <w:pPr>
        <w:contextualSpacing/>
      </w:pPr>
      <w:r w:rsidRPr="00FB298F">
        <w:t>The FBI has also established strong working relationships with other members of the Intelligence Community (IC).  From the FBI Director’s daily meeti</w:t>
      </w:r>
      <w:r>
        <w:t>ngs with other IC executives,</w:t>
      </w:r>
      <w:r w:rsidRPr="00FB298F">
        <w:t xml:space="preserve"> regular exchange of personnel among agencies, to joint efforts in specific investigations</w:t>
      </w:r>
      <w:r>
        <w:t xml:space="preserve">. Additionally, with </w:t>
      </w:r>
      <w:r w:rsidRPr="00FB298F">
        <w:t>the National Counterterrorism Center, the Terrorist Screening Center, the co-location of personnel at Liberty Crossing</w:t>
      </w:r>
      <w:r>
        <w:t>,</w:t>
      </w:r>
      <w:r w:rsidRPr="00FB298F">
        <w:t xml:space="preserve"> and</w:t>
      </w:r>
      <w:r>
        <w:t xml:space="preserve"> other multi-agency entities, </w:t>
      </w:r>
      <w:r w:rsidRPr="00FB298F">
        <w:t>the FBI and its partners in the IC are now integrated at virtually every level of operations.</w:t>
      </w:r>
    </w:p>
    <w:p w:rsidR="000906AA" w:rsidRPr="000906AA" w:rsidRDefault="000906AA" w:rsidP="007471A8">
      <w:pPr>
        <w:contextualSpacing/>
      </w:pPr>
    </w:p>
    <w:p w:rsidR="00A424D3" w:rsidRDefault="00A424D3" w:rsidP="007471A8">
      <w:pPr>
        <w:contextualSpacing/>
      </w:pPr>
      <w:r>
        <w:rPr>
          <w:b/>
          <w:i/>
        </w:rPr>
        <w:t>Performance Measure:</w:t>
      </w:r>
      <w:r>
        <w:t xml:space="preserve">  Number of participants in the Joint Terrorism Task Forces </w:t>
      </w:r>
    </w:p>
    <w:p w:rsidR="00A424D3" w:rsidRDefault="00C5224D" w:rsidP="00EB00B9">
      <w:pPr>
        <w:tabs>
          <w:tab w:val="left" w:pos="2160"/>
        </w:tabs>
        <w:contextualSpacing/>
      </w:pPr>
      <w:r>
        <w:rPr>
          <w:noProof/>
        </w:rPr>
        <w:pict>
          <v:shape id="_x0000_s1069" type="#_x0000_t202" style="position:absolute;margin-left:216.35pt;margin-top:3.75pt;width:295.6pt;height:253.6pt;z-index:-251622400;mso-wrap-style:none;mso-wrap-distance-top:7.2pt;mso-wrap-distance-bottom:7.2pt" wrapcoords="-57 -65 -57 21535 21657 21535 21657 -65 -57 -65" strokecolor="#969696">
            <v:textbox style="mso-next-textbox:#_x0000_s1069;mso-fit-shape-to-text:t">
              <w:txbxContent>
                <w:p w:rsidR="00561262" w:rsidRPr="00576C5F" w:rsidRDefault="00561262" w:rsidP="00A424D3">
                  <w:pPr>
                    <w:jc w:val="center"/>
                    <w:rPr>
                      <w:b/>
                      <w:sz w:val="16"/>
                    </w:rPr>
                  </w:pPr>
                  <w:r>
                    <w:rPr>
                      <w:noProof/>
                    </w:rPr>
                    <w:drawing>
                      <wp:inline distT="0" distB="0" distL="0" distR="0">
                        <wp:extent cx="3561080" cy="3119755"/>
                        <wp:effectExtent l="0" t="0" r="0" b="0"/>
                        <wp:docPr id="1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tight"/>
          </v:shape>
        </w:pict>
      </w:r>
    </w:p>
    <w:p w:rsidR="00A424D3" w:rsidRDefault="00A424D3" w:rsidP="00EB00B9">
      <w:pPr>
        <w:tabs>
          <w:tab w:val="left" w:pos="2160"/>
        </w:tabs>
        <w:contextualSpacing/>
        <w:rPr>
          <w:b/>
          <w:bCs/>
          <w:i/>
          <w:iCs/>
        </w:rPr>
      </w:pPr>
      <w:r>
        <w:rPr>
          <w:b/>
          <w:bCs/>
          <w:i/>
          <w:iCs/>
        </w:rPr>
        <w:t>FY 2011 Target:</w:t>
      </w:r>
      <w:r w:rsidR="00EB00B9">
        <w:rPr>
          <w:b/>
          <w:bCs/>
          <w:i/>
          <w:iCs/>
        </w:rPr>
        <w:tab/>
      </w:r>
      <w:r w:rsidRPr="00D37C7E">
        <w:rPr>
          <w:bCs/>
          <w:iCs/>
        </w:rPr>
        <w:t>4,545</w:t>
      </w:r>
    </w:p>
    <w:p w:rsidR="00A424D3" w:rsidRDefault="00A424D3" w:rsidP="00EB00B9">
      <w:pPr>
        <w:tabs>
          <w:tab w:val="left" w:pos="2160"/>
        </w:tabs>
        <w:contextualSpacing/>
        <w:rPr>
          <w:b/>
          <w:bCs/>
          <w:i/>
          <w:iCs/>
        </w:rPr>
      </w:pPr>
      <w:r>
        <w:rPr>
          <w:b/>
          <w:bCs/>
          <w:i/>
          <w:iCs/>
        </w:rPr>
        <w:t>FY 2011 Actual:</w:t>
      </w:r>
      <w:r w:rsidR="00EB00B9">
        <w:rPr>
          <w:b/>
          <w:bCs/>
          <w:i/>
          <w:iCs/>
        </w:rPr>
        <w:tab/>
      </w:r>
      <w:r w:rsidRPr="00D37C7E">
        <w:rPr>
          <w:bCs/>
          <w:iCs/>
        </w:rPr>
        <w:t>4,492</w:t>
      </w:r>
      <w:r>
        <w:rPr>
          <w:b/>
          <w:bCs/>
          <w:i/>
          <w:iCs/>
        </w:rPr>
        <w:t xml:space="preserve"> </w:t>
      </w:r>
    </w:p>
    <w:p w:rsidR="00A424D3" w:rsidRDefault="00A424D3" w:rsidP="007471A8">
      <w:pPr>
        <w:contextualSpacing/>
        <w:rPr>
          <w:b/>
          <w:bCs/>
          <w:i/>
          <w:iCs/>
        </w:rPr>
      </w:pPr>
    </w:p>
    <w:p w:rsidR="00A424D3" w:rsidRPr="00D623EC" w:rsidRDefault="00A424D3" w:rsidP="007471A8">
      <w:pPr>
        <w:contextualSpacing/>
      </w:pPr>
      <w:r w:rsidRPr="00D623EC">
        <w:rPr>
          <w:b/>
          <w:bCs/>
          <w:i/>
          <w:iCs/>
        </w:rPr>
        <w:t xml:space="preserve">Discussion: </w:t>
      </w:r>
      <w:r w:rsidRPr="00D623EC">
        <w:t xml:space="preserve">The FBI's Joint Terrorism Task Forces serve as the "operational arm" of the U.S. Government's domestic </w:t>
      </w:r>
      <w:r>
        <w:t>c</w:t>
      </w:r>
      <w:r w:rsidRPr="00D623EC">
        <w:t xml:space="preserve">ounterterrorism strategy.  The partnership between FBI </w:t>
      </w:r>
      <w:r>
        <w:t>SAs</w:t>
      </w:r>
      <w:r w:rsidRPr="00D623EC">
        <w:t xml:space="preserve"> and intelligence analysts and hundreds of investigators from federal, state, and local agencies across the country creates an important force multiplier in the fight against terrorism.  The JTTFs consist of full- and part-time task force officers, </w:t>
      </w:r>
      <w:r>
        <w:t>operating</w:t>
      </w:r>
      <w:r w:rsidRPr="00D623EC">
        <w:t xml:space="preserve"> in concert with intelligence community assets, with the goal of maximizing cooperation between all agencies involved.</w:t>
      </w:r>
    </w:p>
    <w:p w:rsidR="00A424D3" w:rsidRPr="00D623EC" w:rsidRDefault="00A424D3" w:rsidP="007471A8">
      <w:pPr>
        <w:ind w:left="720"/>
        <w:contextualSpacing/>
      </w:pPr>
    </w:p>
    <w:p w:rsidR="00A424D3" w:rsidRPr="00D623EC" w:rsidRDefault="00A424D3" w:rsidP="007471A8">
      <w:pPr>
        <w:contextualSpacing/>
      </w:pPr>
      <w:r w:rsidRPr="00D623EC">
        <w:t>During FY 201</w:t>
      </w:r>
      <w:r>
        <w:t>1</w:t>
      </w:r>
      <w:r w:rsidRPr="00D623EC">
        <w:t>, the FBI did not meet its target of 4,5</w:t>
      </w:r>
      <w:r>
        <w:t>45;</w:t>
      </w:r>
      <w:r w:rsidRPr="00D623EC">
        <w:t xml:space="preserve"> at the end of FY 201</w:t>
      </w:r>
      <w:r>
        <w:t>1</w:t>
      </w:r>
      <w:r w:rsidRPr="00D623EC">
        <w:t xml:space="preserve"> there were 4,4</w:t>
      </w:r>
      <w:r>
        <w:t>92</w:t>
      </w:r>
      <w:r w:rsidRPr="00D623EC">
        <w:t xml:space="preserve"> federal, state, and local part-time and full-time members.  </w:t>
      </w:r>
    </w:p>
    <w:p w:rsidR="00A424D3" w:rsidRDefault="00A424D3" w:rsidP="007471A8">
      <w:pPr>
        <w:contextualSpacing/>
      </w:pPr>
    </w:p>
    <w:p w:rsidR="00A424D3" w:rsidRDefault="00A424D3" w:rsidP="00EB00B9">
      <w:pPr>
        <w:tabs>
          <w:tab w:val="left" w:pos="2160"/>
        </w:tabs>
        <w:contextualSpacing/>
        <w:rPr>
          <w:b/>
          <w:bCs/>
          <w:i/>
          <w:iCs/>
        </w:rPr>
      </w:pPr>
      <w:r>
        <w:rPr>
          <w:b/>
          <w:bCs/>
          <w:i/>
          <w:iCs/>
        </w:rPr>
        <w:t xml:space="preserve">FY 2012 Target:  </w:t>
      </w:r>
      <w:r w:rsidR="00EB00B9">
        <w:rPr>
          <w:b/>
          <w:bCs/>
          <w:i/>
          <w:iCs/>
        </w:rPr>
        <w:tab/>
      </w:r>
      <w:r>
        <w:rPr>
          <w:bCs/>
          <w:iCs/>
        </w:rPr>
        <w:t>4,570</w:t>
      </w:r>
      <w:r>
        <w:rPr>
          <w:b/>
          <w:bCs/>
          <w:i/>
          <w:iCs/>
        </w:rPr>
        <w:t xml:space="preserve"> </w:t>
      </w:r>
    </w:p>
    <w:p w:rsidR="00A424D3" w:rsidRPr="00D978AC" w:rsidRDefault="00A424D3" w:rsidP="00EB00B9">
      <w:pPr>
        <w:tabs>
          <w:tab w:val="left" w:pos="2160"/>
        </w:tabs>
        <w:contextualSpacing/>
        <w:rPr>
          <w:b/>
          <w:bCs/>
          <w:i/>
          <w:iCs/>
        </w:rPr>
      </w:pPr>
      <w:r w:rsidRPr="00EB13D2">
        <w:rPr>
          <w:b/>
          <w:bCs/>
          <w:i/>
          <w:iCs/>
        </w:rPr>
        <w:t>FY 20</w:t>
      </w:r>
      <w:r>
        <w:rPr>
          <w:b/>
          <w:bCs/>
          <w:i/>
          <w:iCs/>
        </w:rPr>
        <w:t>13</w:t>
      </w:r>
      <w:r w:rsidRPr="00EB13D2">
        <w:rPr>
          <w:b/>
          <w:bCs/>
          <w:i/>
          <w:iCs/>
        </w:rPr>
        <w:t xml:space="preserve"> Target:</w:t>
      </w:r>
      <w:r>
        <w:rPr>
          <w:b/>
          <w:bCs/>
          <w:i/>
          <w:iCs/>
        </w:rPr>
        <w:t xml:space="preserve">  </w:t>
      </w:r>
      <w:r w:rsidR="00EB00B9">
        <w:rPr>
          <w:b/>
          <w:bCs/>
          <w:i/>
          <w:iCs/>
        </w:rPr>
        <w:tab/>
      </w:r>
      <w:r>
        <w:t>4,570</w:t>
      </w:r>
    </w:p>
    <w:p w:rsidR="00A424D3" w:rsidRPr="007C05A8" w:rsidRDefault="00C5224D" w:rsidP="00EB00B9">
      <w:pPr>
        <w:tabs>
          <w:tab w:val="left" w:pos="2160"/>
        </w:tabs>
        <w:contextualSpacing/>
        <w:rPr>
          <w:iCs/>
        </w:rPr>
      </w:pPr>
      <w:r w:rsidRPr="00C5224D">
        <w:rPr>
          <w:noProof/>
        </w:rPr>
        <w:lastRenderedPageBreak/>
        <w:pict>
          <v:shape id="_x0000_s1070" type="#_x0000_t202" style="position:absolute;margin-left:1746.45pt;margin-top:21.35pt;width:252pt;height:210.6pt;z-index:-251621376;mso-wrap-distance-top:7.2pt;mso-wrap-distance-bottom:7.2pt;mso-position-horizontal:right;mso-position-horizontal-relative:margin" wrapcoords="-64 -77 -64 21523 21664 21523 21664 -77 -64 -77" strokecolor="#969696">
            <v:textbox style="mso-next-textbox:#_x0000_s1070">
              <w:txbxContent>
                <w:p w:rsidR="00561262" w:rsidRDefault="00561262" w:rsidP="00A424D3">
                  <w:pPr>
                    <w:jc w:val="center"/>
                    <w:rPr>
                      <w:b/>
                      <w:sz w:val="16"/>
                    </w:rPr>
                  </w:pPr>
                  <w:r>
                    <w:rPr>
                      <w:noProof/>
                    </w:rPr>
                    <w:drawing>
                      <wp:inline distT="0" distB="0" distL="0" distR="0">
                        <wp:extent cx="3248660" cy="2667635"/>
                        <wp:effectExtent l="0" t="0" r="0" b="0"/>
                        <wp:docPr id="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1262" w:rsidRDefault="00561262" w:rsidP="00A424D3">
                  <w:pPr>
                    <w:jc w:val="both"/>
                  </w:pPr>
                </w:p>
              </w:txbxContent>
            </v:textbox>
            <w10:wrap type="tight" anchorx="margin"/>
          </v:shape>
        </w:pict>
      </w:r>
      <w:r w:rsidR="00A424D3">
        <w:rPr>
          <w:b/>
          <w:bCs/>
          <w:i/>
          <w:iCs/>
        </w:rPr>
        <w:t>Performance Measure:</w:t>
      </w:r>
      <w:r w:rsidR="00EB00B9">
        <w:t xml:space="preserve"> </w:t>
      </w:r>
      <w:r w:rsidR="00A424D3">
        <w:t>Percentage of Counterterrorism (CT) Career Path Agents completing specialized CT training</w:t>
      </w:r>
      <w:r w:rsidR="00A424D3">
        <w:rPr>
          <w:iCs/>
        </w:rPr>
        <w:t xml:space="preserve"> </w:t>
      </w:r>
    </w:p>
    <w:p w:rsidR="00A424D3" w:rsidRDefault="00A424D3" w:rsidP="00EB00B9">
      <w:pPr>
        <w:tabs>
          <w:tab w:val="left" w:pos="2160"/>
        </w:tabs>
        <w:contextualSpacing/>
      </w:pPr>
    </w:p>
    <w:p w:rsidR="00A424D3" w:rsidRDefault="00A424D3" w:rsidP="00EB00B9">
      <w:pPr>
        <w:tabs>
          <w:tab w:val="left" w:pos="2160"/>
        </w:tabs>
        <w:contextualSpacing/>
        <w:rPr>
          <w:b/>
          <w:i/>
        </w:rPr>
      </w:pPr>
      <w:r>
        <w:rPr>
          <w:b/>
          <w:i/>
        </w:rPr>
        <w:t xml:space="preserve">FY 2011 Target: </w:t>
      </w:r>
      <w:r w:rsidR="00EB00B9">
        <w:rPr>
          <w:b/>
          <w:i/>
        </w:rPr>
        <w:tab/>
      </w:r>
      <w:r w:rsidRPr="0074521A">
        <w:t>30%</w:t>
      </w:r>
    </w:p>
    <w:p w:rsidR="00A424D3" w:rsidRPr="0074521A" w:rsidRDefault="00A424D3" w:rsidP="00EB00B9">
      <w:pPr>
        <w:tabs>
          <w:tab w:val="left" w:pos="2160"/>
        </w:tabs>
        <w:contextualSpacing/>
        <w:rPr>
          <w:b/>
          <w:i/>
        </w:rPr>
      </w:pPr>
      <w:r>
        <w:rPr>
          <w:b/>
          <w:i/>
        </w:rPr>
        <w:t xml:space="preserve">FY 2011 Actual: </w:t>
      </w:r>
      <w:r w:rsidR="00EB00B9">
        <w:rPr>
          <w:b/>
          <w:i/>
        </w:rPr>
        <w:tab/>
      </w:r>
      <w:r w:rsidRPr="0074521A">
        <w:t>41%</w:t>
      </w:r>
    </w:p>
    <w:p w:rsidR="00A424D3" w:rsidRDefault="00A424D3" w:rsidP="007471A8">
      <w:pPr>
        <w:autoSpaceDE w:val="0"/>
        <w:autoSpaceDN w:val="0"/>
        <w:adjustRightInd w:val="0"/>
        <w:contextualSpacing/>
        <w:rPr>
          <w:b/>
          <w:bCs/>
          <w:i/>
          <w:iCs/>
        </w:rPr>
      </w:pPr>
    </w:p>
    <w:p w:rsidR="008A3367" w:rsidRDefault="00A424D3" w:rsidP="007471A8">
      <w:pPr>
        <w:autoSpaceDE w:val="0"/>
        <w:autoSpaceDN w:val="0"/>
        <w:adjustRightInd w:val="0"/>
        <w:contextualSpacing/>
        <w:rPr>
          <w:bCs/>
          <w:iCs/>
        </w:rPr>
      </w:pPr>
      <w:r>
        <w:rPr>
          <w:b/>
          <w:bCs/>
          <w:i/>
          <w:iCs/>
        </w:rPr>
        <w:t xml:space="preserve">Discussion: </w:t>
      </w:r>
      <w:r>
        <w:rPr>
          <w:bCs/>
          <w:iCs/>
        </w:rPr>
        <w:t xml:space="preserve">Education remains a high priority focus of the </w:t>
      </w:r>
      <w:r w:rsidRPr="00B67BA4">
        <w:rPr>
          <w:bCs/>
          <w:iCs/>
        </w:rPr>
        <w:t>CT program</w:t>
      </w:r>
      <w:r>
        <w:rPr>
          <w:bCs/>
          <w:iCs/>
        </w:rPr>
        <w:t xml:space="preserve"> and is essential to understanding and mitigating the threats facing the </w:t>
      </w:r>
      <w:r w:rsidR="00C90C45">
        <w:rPr>
          <w:bCs/>
          <w:iCs/>
        </w:rPr>
        <w:t>U.S</w:t>
      </w:r>
      <w:r>
        <w:rPr>
          <w:bCs/>
          <w:iCs/>
        </w:rPr>
        <w:t xml:space="preserve">. The </w:t>
      </w:r>
      <w:r w:rsidRPr="00B67BA4">
        <w:rPr>
          <w:bCs/>
          <w:iCs/>
        </w:rPr>
        <w:t>FBI</w:t>
      </w:r>
      <w:r>
        <w:rPr>
          <w:bCs/>
          <w:iCs/>
        </w:rPr>
        <w:t xml:space="preserve"> seeks to maintain priority in providing specialized training to Counterterrorism SAs</w:t>
      </w:r>
      <w:r w:rsidR="008A3367">
        <w:rPr>
          <w:bCs/>
          <w:iCs/>
        </w:rPr>
        <w:t xml:space="preserve">     </w:t>
      </w:r>
      <w:r>
        <w:rPr>
          <w:bCs/>
          <w:iCs/>
        </w:rPr>
        <w:t xml:space="preserve"> </w:t>
      </w:r>
      <w:r w:rsidR="008A3367">
        <w:rPr>
          <w:bCs/>
          <w:iCs/>
        </w:rPr>
        <w:t xml:space="preserve">   </w:t>
      </w:r>
    </w:p>
    <w:p w:rsidR="00A424D3" w:rsidRPr="00FF7D6E" w:rsidRDefault="008A3367" w:rsidP="007471A8">
      <w:pPr>
        <w:autoSpaceDE w:val="0"/>
        <w:autoSpaceDN w:val="0"/>
        <w:adjustRightInd w:val="0"/>
        <w:contextualSpacing/>
        <w:rPr>
          <w:b/>
          <w:bCs/>
          <w:i/>
          <w:iCs/>
        </w:rPr>
      </w:pPr>
      <w:proofErr w:type="gramStart"/>
      <w:r>
        <w:rPr>
          <w:bCs/>
          <w:iCs/>
        </w:rPr>
        <w:t>to</w:t>
      </w:r>
      <w:proofErr w:type="gramEnd"/>
      <w:r>
        <w:rPr>
          <w:bCs/>
          <w:iCs/>
        </w:rPr>
        <w:t xml:space="preserve"> </w:t>
      </w:r>
      <w:r w:rsidR="00A424D3">
        <w:rPr>
          <w:bCs/>
          <w:iCs/>
        </w:rPr>
        <w:t xml:space="preserve">combat the current threat and tradecraft use by CT threats. </w:t>
      </w:r>
      <w:r w:rsidR="00A424D3" w:rsidRPr="00FF7D6E">
        <w:t xml:space="preserve">Approximately 2,200 </w:t>
      </w:r>
      <w:r w:rsidR="00A424D3">
        <w:t>SAs</w:t>
      </w:r>
      <w:r w:rsidR="00A424D3" w:rsidRPr="00FF7D6E">
        <w:t xml:space="preserve"> are </w:t>
      </w:r>
      <w:r w:rsidR="00A424D3" w:rsidRPr="00FF7D6E">
        <w:rPr>
          <w:color w:val="000000"/>
        </w:rPr>
        <w:t>currently</w:t>
      </w:r>
      <w:r w:rsidR="00A424D3" w:rsidRPr="00FF7D6E">
        <w:rPr>
          <w:color w:val="0000FF"/>
        </w:rPr>
        <w:t xml:space="preserve"> </w:t>
      </w:r>
      <w:r w:rsidR="00A424D3">
        <w:t>in</w:t>
      </w:r>
      <w:r w:rsidR="00A424D3" w:rsidRPr="00FF7D6E">
        <w:t xml:space="preserve"> the </w:t>
      </w:r>
      <w:r w:rsidR="00A424D3">
        <w:t>c</w:t>
      </w:r>
      <w:r w:rsidR="00A424D3" w:rsidRPr="00FF7D6E">
        <w:t xml:space="preserve">ounterterrorism career path.  This includes all non-managerial </w:t>
      </w:r>
      <w:r w:rsidR="00A424D3">
        <w:t>SAs</w:t>
      </w:r>
      <w:r w:rsidR="00A424D3" w:rsidRPr="00FF7D6E">
        <w:t xml:space="preserve"> who joined the career path upon</w:t>
      </w:r>
      <w:r w:rsidR="00A424D3" w:rsidRPr="00FF7D6E">
        <w:rPr>
          <w:color w:val="0000FF"/>
        </w:rPr>
        <w:t xml:space="preserve"> </w:t>
      </w:r>
      <w:smartTag w:uri="urn:schemas-microsoft-com:office:smarttags" w:element="place">
        <w:smartTag w:uri="urn:schemas-microsoft-com:office:smarttags" w:element="PlaceName">
          <w:r w:rsidR="00A424D3">
            <w:t>FBI</w:t>
          </w:r>
        </w:smartTag>
        <w:r w:rsidR="00A424D3">
          <w:t xml:space="preserve"> </w:t>
        </w:r>
        <w:smartTag w:uri="urn:schemas-microsoft-com:office:smarttags" w:element="PlaceType">
          <w:r w:rsidR="00A424D3">
            <w:t>A</w:t>
          </w:r>
          <w:r w:rsidR="00A424D3" w:rsidRPr="00FF7D6E">
            <w:t>cademy</w:t>
          </w:r>
        </w:smartTag>
      </w:smartTag>
      <w:r w:rsidR="00A424D3" w:rsidRPr="00FF7D6E">
        <w:t xml:space="preserve"> graduation, or who transfer</w:t>
      </w:r>
      <w:r w:rsidR="00A424D3" w:rsidRPr="00FF7D6E">
        <w:rPr>
          <w:color w:val="000000"/>
        </w:rPr>
        <w:t>red</w:t>
      </w:r>
      <w:r w:rsidR="00A424D3" w:rsidRPr="00FF7D6E">
        <w:t xml:space="preserve"> from another career path.  U</w:t>
      </w:r>
      <w:r w:rsidR="00A424D3" w:rsidRPr="00FF7D6E">
        <w:rPr>
          <w:color w:val="000000"/>
        </w:rPr>
        <w:t xml:space="preserve">ntil these </w:t>
      </w:r>
      <w:r w:rsidR="00A424D3">
        <w:t>SA</w:t>
      </w:r>
      <w:r w:rsidR="00A424D3" w:rsidRPr="00FF7D6E">
        <w:t xml:space="preserve">s advance into a managerial role, are transferred to another career path, or leave the FBI, they remain on the </w:t>
      </w:r>
      <w:r w:rsidR="00A424D3">
        <w:t>CT</w:t>
      </w:r>
      <w:r w:rsidR="00A424D3" w:rsidRPr="00FF7D6E">
        <w:t xml:space="preserve"> career path.</w:t>
      </w:r>
    </w:p>
    <w:p w:rsidR="00A424D3" w:rsidRPr="00FF7D6E" w:rsidRDefault="00A424D3" w:rsidP="007471A8">
      <w:pPr>
        <w:autoSpaceDE w:val="0"/>
        <w:autoSpaceDN w:val="0"/>
        <w:adjustRightInd w:val="0"/>
        <w:contextualSpacing/>
        <w:rPr>
          <w:b/>
          <w:bCs/>
          <w:i/>
          <w:iCs/>
        </w:rPr>
      </w:pPr>
    </w:p>
    <w:p w:rsidR="00A424D3" w:rsidRPr="00FF7D6E" w:rsidRDefault="00A424D3" w:rsidP="007471A8">
      <w:pPr>
        <w:autoSpaceDE w:val="0"/>
        <w:autoSpaceDN w:val="0"/>
        <w:adjustRightInd w:val="0"/>
        <w:contextualSpacing/>
      </w:pPr>
      <w:r w:rsidRPr="00FF7D6E">
        <w:t>The C</w:t>
      </w:r>
      <w:r>
        <w:t>T</w:t>
      </w:r>
      <w:r w:rsidRPr="00FF7D6E">
        <w:t xml:space="preserve"> career path is comprised of stages, which denote each </w:t>
      </w:r>
      <w:r>
        <w:t>Special A</w:t>
      </w:r>
      <w:r w:rsidRPr="00FF7D6E">
        <w:t xml:space="preserve">gent’s approximate tenure and level of experience.  Stage 2 </w:t>
      </w:r>
      <w:r>
        <w:t>is defined as the period from a Special A</w:t>
      </w:r>
      <w:r w:rsidRPr="00FF7D6E">
        <w:t xml:space="preserve">gent’s </w:t>
      </w:r>
      <w:smartTag w:uri="urn:schemas-microsoft-com:office:smarttags" w:element="place">
        <w:smartTag w:uri="urn:schemas-microsoft-com:office:smarttags" w:element="PlaceName">
          <w:r w:rsidRPr="00FF7D6E">
            <w:t>FBI</w:t>
          </w:r>
        </w:smartTag>
        <w:r w:rsidRPr="00FF7D6E">
          <w:t xml:space="preserve"> </w:t>
        </w:r>
        <w:smartTag w:uri="urn:schemas-microsoft-com:office:smarttags" w:element="PlaceType">
          <w:r>
            <w:t>A</w:t>
          </w:r>
          <w:r w:rsidRPr="00FF7D6E">
            <w:t>cademy</w:t>
          </w:r>
        </w:smartTag>
      </w:smartTag>
      <w:r w:rsidRPr="00FF7D6E">
        <w:t xml:space="preserve"> graduation until his/her </w:t>
      </w:r>
      <w:r>
        <w:t>three</w:t>
      </w:r>
      <w:r w:rsidRPr="00FF7D6E">
        <w:t>-year service anniversary.  During stage 2, the Counterterrorism Investigation and Operations (CTIOPS) course is mandatory for all CT agents, and is the basis for this measure.</w:t>
      </w:r>
    </w:p>
    <w:p w:rsidR="00A424D3" w:rsidRPr="00FF7D6E" w:rsidRDefault="00A424D3" w:rsidP="007471A8">
      <w:pPr>
        <w:autoSpaceDE w:val="0"/>
        <w:autoSpaceDN w:val="0"/>
        <w:adjustRightInd w:val="0"/>
        <w:contextualSpacing/>
      </w:pPr>
    </w:p>
    <w:p w:rsidR="00A424D3" w:rsidRPr="00FF7D6E" w:rsidRDefault="00A424D3" w:rsidP="007471A8">
      <w:pPr>
        <w:contextualSpacing/>
      </w:pPr>
      <w:r w:rsidRPr="00FF7D6E">
        <w:t>During FY 201</w:t>
      </w:r>
      <w:r>
        <w:t>1</w:t>
      </w:r>
      <w:r w:rsidRPr="00FF7D6E">
        <w:t>, 4</w:t>
      </w:r>
      <w:r>
        <w:t>1 percent</w:t>
      </w:r>
      <w:r w:rsidRPr="00FF7D6E">
        <w:t xml:space="preserve"> of agents in stage 2 received CTIOPS training, exceeding the target of 30</w:t>
      </w:r>
      <w:r>
        <w:t xml:space="preserve"> percent</w:t>
      </w:r>
      <w:r w:rsidRPr="00FF7D6E">
        <w:t xml:space="preserve">.  The FBI is currently on track to </w:t>
      </w:r>
      <w:r>
        <w:t>meet</w:t>
      </w:r>
      <w:r w:rsidRPr="00FF7D6E">
        <w:t xml:space="preserve"> its target for FY 201</w:t>
      </w:r>
      <w:r>
        <w:t>2</w:t>
      </w:r>
      <w:r w:rsidRPr="00FF7D6E">
        <w:t xml:space="preserve">.  </w:t>
      </w:r>
    </w:p>
    <w:p w:rsidR="00A424D3" w:rsidRPr="00FF7D6E" w:rsidRDefault="00A424D3" w:rsidP="007471A8">
      <w:pPr>
        <w:contextualSpacing/>
      </w:pPr>
    </w:p>
    <w:p w:rsidR="00A424D3" w:rsidRPr="00D978AC" w:rsidRDefault="00A424D3" w:rsidP="007471A8">
      <w:pPr>
        <w:contextualSpacing/>
        <w:rPr>
          <w:color w:val="FF0000"/>
        </w:rPr>
      </w:pPr>
      <w:r w:rsidRPr="00FF7D6E">
        <w:t xml:space="preserve">The number of CT career path agents used to calculate this metric is not a static number, as new </w:t>
      </w:r>
      <w:r>
        <w:t>SAs</w:t>
      </w:r>
      <w:r w:rsidRPr="00FF7D6E">
        <w:t xml:space="preserve"> are added to the CT </w:t>
      </w:r>
      <w:r w:rsidRPr="00FF7D6E">
        <w:rPr>
          <w:color w:val="000000"/>
        </w:rPr>
        <w:t xml:space="preserve">career path </w:t>
      </w:r>
      <w:r w:rsidRPr="00FF7D6E">
        <w:t xml:space="preserve">population with each FBI </w:t>
      </w:r>
      <w:r>
        <w:t>A</w:t>
      </w:r>
      <w:r w:rsidRPr="00FF7D6E">
        <w:t xml:space="preserve">cademy graduation.  Additionally, these numbers are affected by the ebb and flow of CT-competent and non-CT-competent </w:t>
      </w:r>
      <w:r>
        <w:t>SAs</w:t>
      </w:r>
      <w:r w:rsidRPr="00FF7D6E">
        <w:t xml:space="preserve"> who transfer between </w:t>
      </w:r>
      <w:r>
        <w:t>career p</w:t>
      </w:r>
      <w:r w:rsidRPr="00FF7D6E">
        <w:t>aths.  Career path competency is expected to increase yearly with the continuation of mandatory CT career path training.</w:t>
      </w:r>
      <w:r>
        <w:t xml:space="preserve">  </w:t>
      </w:r>
    </w:p>
    <w:p w:rsidR="00A424D3" w:rsidRDefault="00A424D3" w:rsidP="007471A8">
      <w:pPr>
        <w:contextualSpacing/>
        <w:rPr>
          <w:b/>
          <w:i/>
        </w:rPr>
      </w:pPr>
    </w:p>
    <w:p w:rsidR="00A424D3" w:rsidRDefault="00A424D3" w:rsidP="00EB00B9">
      <w:pPr>
        <w:tabs>
          <w:tab w:val="left" w:pos="2160"/>
        </w:tabs>
        <w:autoSpaceDE w:val="0"/>
        <w:autoSpaceDN w:val="0"/>
        <w:adjustRightInd w:val="0"/>
        <w:contextualSpacing/>
      </w:pPr>
      <w:r w:rsidRPr="00EB13D2">
        <w:rPr>
          <w:b/>
          <w:bCs/>
          <w:i/>
          <w:iCs/>
        </w:rPr>
        <w:t>FY 20</w:t>
      </w:r>
      <w:r>
        <w:rPr>
          <w:b/>
          <w:bCs/>
          <w:i/>
          <w:iCs/>
        </w:rPr>
        <w:t>12</w:t>
      </w:r>
      <w:r w:rsidRPr="00EB13D2">
        <w:rPr>
          <w:b/>
          <w:bCs/>
          <w:i/>
          <w:iCs/>
        </w:rPr>
        <w:t xml:space="preserve"> Target:</w:t>
      </w:r>
      <w:r>
        <w:t xml:space="preserve">  </w:t>
      </w:r>
      <w:r w:rsidR="00EB00B9">
        <w:tab/>
      </w:r>
      <w:r>
        <w:t xml:space="preserve">30%        </w:t>
      </w:r>
    </w:p>
    <w:p w:rsidR="00A424D3" w:rsidRDefault="00A424D3" w:rsidP="00EB00B9">
      <w:pPr>
        <w:tabs>
          <w:tab w:val="left" w:pos="2160"/>
        </w:tabs>
        <w:autoSpaceDE w:val="0"/>
        <w:autoSpaceDN w:val="0"/>
        <w:adjustRightInd w:val="0"/>
        <w:contextualSpacing/>
      </w:pPr>
      <w:r w:rsidRPr="00EB13D2">
        <w:rPr>
          <w:b/>
          <w:bCs/>
          <w:i/>
          <w:iCs/>
        </w:rPr>
        <w:t>FY 20</w:t>
      </w:r>
      <w:r>
        <w:rPr>
          <w:b/>
          <w:bCs/>
          <w:i/>
          <w:iCs/>
        </w:rPr>
        <w:t>13</w:t>
      </w:r>
      <w:r w:rsidRPr="00EB13D2">
        <w:rPr>
          <w:b/>
          <w:bCs/>
          <w:i/>
          <w:iCs/>
        </w:rPr>
        <w:t xml:space="preserve"> Target:</w:t>
      </w:r>
      <w:r>
        <w:t xml:space="preserve">  </w:t>
      </w:r>
      <w:r w:rsidR="00EB00B9">
        <w:tab/>
      </w:r>
      <w:r>
        <w:t>30%</w:t>
      </w:r>
    </w:p>
    <w:p w:rsidR="00A424D3" w:rsidRDefault="00A424D3" w:rsidP="007471A8">
      <w:pPr>
        <w:contextualSpacing/>
        <w:rPr>
          <w:b/>
          <w:i/>
        </w:rPr>
      </w:pPr>
    </w:p>
    <w:p w:rsidR="00A424D3" w:rsidRPr="00EB13D2" w:rsidRDefault="00A424D3" w:rsidP="007471A8">
      <w:pPr>
        <w:contextualSpacing/>
        <w:rPr>
          <w:i/>
          <w:iCs/>
        </w:rPr>
      </w:pPr>
      <w:r>
        <w:rPr>
          <w:b/>
          <w:i/>
        </w:rPr>
        <w:t>Efficiency Measure:</w:t>
      </w:r>
      <w:r>
        <w:t xml:space="preserve">  Percentage of Counterterrorism investigations targeting Top Priority Threats </w:t>
      </w:r>
    </w:p>
    <w:p w:rsidR="00A424D3" w:rsidRDefault="00A424D3" w:rsidP="007471A8">
      <w:pPr>
        <w:contextualSpacing/>
      </w:pPr>
    </w:p>
    <w:p w:rsidR="00A424D3" w:rsidRDefault="00A424D3" w:rsidP="00EB00B9">
      <w:pPr>
        <w:tabs>
          <w:tab w:val="left" w:pos="2160"/>
        </w:tabs>
        <w:contextualSpacing/>
        <w:rPr>
          <w:b/>
          <w:i/>
        </w:rPr>
      </w:pPr>
      <w:r>
        <w:rPr>
          <w:b/>
          <w:i/>
        </w:rPr>
        <w:t xml:space="preserve">FY 2011 Target: </w:t>
      </w:r>
      <w:r w:rsidR="00EB00B9">
        <w:rPr>
          <w:b/>
          <w:i/>
        </w:rPr>
        <w:tab/>
      </w:r>
      <w:r w:rsidRPr="003520D2">
        <w:t>65.1%</w:t>
      </w:r>
    </w:p>
    <w:p w:rsidR="00A424D3" w:rsidRPr="008F0E1E" w:rsidRDefault="00A424D3" w:rsidP="00EB00B9">
      <w:pPr>
        <w:tabs>
          <w:tab w:val="left" w:pos="2160"/>
        </w:tabs>
        <w:contextualSpacing/>
        <w:rPr>
          <w:b/>
          <w:i/>
        </w:rPr>
      </w:pPr>
      <w:r>
        <w:rPr>
          <w:b/>
          <w:i/>
        </w:rPr>
        <w:t xml:space="preserve">FY 2012 Actual: </w:t>
      </w:r>
      <w:r w:rsidR="00EB00B9">
        <w:rPr>
          <w:b/>
          <w:i/>
        </w:rPr>
        <w:tab/>
      </w:r>
      <w:r w:rsidRPr="003520D2">
        <w:t>62.7%</w:t>
      </w:r>
    </w:p>
    <w:p w:rsidR="00A424D3" w:rsidRDefault="00A424D3" w:rsidP="007471A8">
      <w:pPr>
        <w:contextualSpacing/>
        <w:rPr>
          <w:b/>
          <w:bCs/>
          <w:color w:val="FF0000"/>
        </w:rPr>
      </w:pPr>
    </w:p>
    <w:p w:rsidR="00A424D3" w:rsidRDefault="00A424D3" w:rsidP="007471A8">
      <w:pPr>
        <w:contextualSpacing/>
        <w:rPr>
          <w:bCs/>
        </w:rPr>
      </w:pPr>
      <w:r w:rsidRPr="00754EDF">
        <w:rPr>
          <w:b/>
          <w:bCs/>
          <w:i/>
          <w:iCs/>
        </w:rPr>
        <w:t>Discussion:</w:t>
      </w:r>
      <w:r>
        <w:rPr>
          <w:bCs/>
        </w:rPr>
        <w:t xml:space="preserve"> The FBI investigates all counterterrorism leads it receives to the fullest extent possible.  These leads encompass a broad spectrum of actors, from known national threats, emerging threats, to false alarms; all of which receive the utmost attention until they have been disproven and closed.  To maximize the impact of the FBI’s counterterrorism agents, the Counterterrorism Division has committed to increasing the share of investigations against the highest-risk terrorist groups and threats.</w:t>
      </w:r>
    </w:p>
    <w:p w:rsidR="00A424D3" w:rsidRPr="00543953" w:rsidRDefault="00C5224D" w:rsidP="007471A8">
      <w:pPr>
        <w:contextualSpacing/>
        <w:rPr>
          <w:highlight w:val="yellow"/>
        </w:rPr>
      </w:pPr>
      <w:r>
        <w:rPr>
          <w:noProof/>
        </w:rPr>
        <w:lastRenderedPageBreak/>
        <w:pict>
          <v:shape id="_x0000_s1073" type="#_x0000_t202" style="position:absolute;margin-left:202.05pt;margin-top:5.45pt;width:312.4pt;height:222pt;z-index:-251618304;mso-wrap-style:none;mso-wrap-distance-top:7.2pt;mso-wrap-distance-bottom:7.2pt;v-text-anchor:middle" wrapcoords="-62 -73 -62 21527 21662 21527 21662 -73 -62 -73" strokecolor="#969696">
            <v:textbox style="mso-next-textbox:#_x0000_s1073">
              <w:txbxContent>
                <w:p w:rsidR="00561262" w:rsidRDefault="00561262" w:rsidP="00A424D3">
                  <w:pPr>
                    <w:jc w:val="both"/>
                    <w:rPr>
                      <w:b/>
                      <w:sz w:val="16"/>
                    </w:rPr>
                  </w:pPr>
                  <w:r>
                    <w:rPr>
                      <w:noProof/>
                    </w:rPr>
                    <w:drawing>
                      <wp:inline distT="0" distB="0" distL="0" distR="0">
                        <wp:extent cx="3774558" cy="2806996"/>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1262" w:rsidRDefault="00561262" w:rsidP="00A424D3">
                  <w:pPr>
                    <w:jc w:val="both"/>
                  </w:pPr>
                </w:p>
              </w:txbxContent>
            </v:textbox>
            <w10:wrap type="tight"/>
          </v:shape>
        </w:pict>
      </w:r>
      <w:r w:rsidR="00A424D3">
        <w:rPr>
          <w:bCs/>
        </w:rPr>
        <w:t xml:space="preserve">For this measure, the </w:t>
      </w:r>
      <w:r w:rsidR="00A424D3" w:rsidRPr="006B1E99">
        <w:t xml:space="preserve">“Top Priority Threats” encompass all priority one international terrorist groups from the National Intelligence Priority Framework (NIPF) as well as the top priority </w:t>
      </w:r>
      <w:r w:rsidR="00A424D3">
        <w:t>domestic terrorist</w:t>
      </w:r>
      <w:r w:rsidR="00A424D3" w:rsidRPr="006B1E99">
        <w:t xml:space="preserve"> groups identified by the FBI’s domestic terrorism program</w:t>
      </w:r>
      <w:r w:rsidR="00A424D3">
        <w:t>; both lists are classified</w:t>
      </w:r>
      <w:r w:rsidR="00A424D3" w:rsidRPr="006B1E99">
        <w:t xml:space="preserve">.  (The NIPF standardizes international priorities across the intelligence community; no such list is available for domestic threats).  </w:t>
      </w:r>
      <w:r w:rsidR="00A424D3">
        <w:rPr>
          <w:bCs/>
        </w:rPr>
        <w:t xml:space="preserve">For the purpose of this measure, “investigations” are defined as preliminary or full substantive investigations.  </w:t>
      </w:r>
    </w:p>
    <w:p w:rsidR="00A424D3" w:rsidRDefault="00A424D3" w:rsidP="007471A8">
      <w:pPr>
        <w:contextualSpacing/>
        <w:rPr>
          <w:b/>
          <w:bCs/>
        </w:rPr>
      </w:pPr>
    </w:p>
    <w:p w:rsidR="00A424D3" w:rsidRDefault="00A424D3" w:rsidP="00EB00B9">
      <w:pPr>
        <w:tabs>
          <w:tab w:val="left" w:pos="2160"/>
        </w:tabs>
        <w:autoSpaceDE w:val="0"/>
        <w:autoSpaceDN w:val="0"/>
        <w:adjustRightInd w:val="0"/>
        <w:contextualSpacing/>
      </w:pPr>
      <w:r w:rsidRPr="00EB13D2">
        <w:rPr>
          <w:b/>
          <w:bCs/>
          <w:i/>
          <w:iCs/>
        </w:rPr>
        <w:t>FY 20</w:t>
      </w:r>
      <w:r>
        <w:rPr>
          <w:b/>
          <w:bCs/>
          <w:i/>
          <w:iCs/>
        </w:rPr>
        <w:t>12</w:t>
      </w:r>
      <w:r w:rsidRPr="00EB13D2">
        <w:rPr>
          <w:b/>
          <w:bCs/>
          <w:i/>
          <w:iCs/>
        </w:rPr>
        <w:t xml:space="preserve"> Target:</w:t>
      </w:r>
      <w:r>
        <w:t xml:space="preserve">  </w:t>
      </w:r>
      <w:r w:rsidR="00EB00B9">
        <w:tab/>
      </w:r>
      <w:r>
        <w:t xml:space="preserve">65.1%        </w:t>
      </w:r>
    </w:p>
    <w:p w:rsidR="00A424D3" w:rsidRDefault="00A424D3" w:rsidP="00EB00B9">
      <w:pPr>
        <w:tabs>
          <w:tab w:val="left" w:pos="2160"/>
        </w:tabs>
        <w:autoSpaceDE w:val="0"/>
        <w:autoSpaceDN w:val="0"/>
        <w:adjustRightInd w:val="0"/>
        <w:contextualSpacing/>
      </w:pPr>
      <w:r w:rsidRPr="00EB13D2">
        <w:rPr>
          <w:b/>
          <w:bCs/>
          <w:i/>
          <w:iCs/>
        </w:rPr>
        <w:t>FY 20</w:t>
      </w:r>
      <w:r>
        <w:rPr>
          <w:b/>
          <w:bCs/>
          <w:i/>
          <w:iCs/>
        </w:rPr>
        <w:t>13</w:t>
      </w:r>
      <w:r w:rsidRPr="00EB13D2">
        <w:rPr>
          <w:b/>
          <w:bCs/>
          <w:i/>
          <w:iCs/>
        </w:rPr>
        <w:t xml:space="preserve"> Target:</w:t>
      </w:r>
      <w:r>
        <w:t xml:space="preserve">  </w:t>
      </w:r>
      <w:r w:rsidR="00EB00B9">
        <w:tab/>
      </w:r>
      <w:r>
        <w:t>65.1%</w:t>
      </w:r>
    </w:p>
    <w:p w:rsidR="00A424D3" w:rsidRDefault="00A424D3" w:rsidP="007471A8">
      <w:pPr>
        <w:contextualSpacing/>
        <w:rPr>
          <w:b/>
          <w:i/>
        </w:rPr>
      </w:pPr>
    </w:p>
    <w:p w:rsidR="00A424D3" w:rsidRDefault="00A424D3" w:rsidP="007471A8">
      <w:pPr>
        <w:contextualSpacing/>
        <w:rPr>
          <w:b/>
          <w:bCs/>
        </w:rPr>
      </w:pPr>
      <w:r w:rsidRPr="00FB298F">
        <w:rPr>
          <w:b/>
          <w:bCs/>
        </w:rPr>
        <w:t>b. Strategies to Accomplish Outcomes</w:t>
      </w:r>
    </w:p>
    <w:p w:rsidR="00A424D3" w:rsidRDefault="00A424D3" w:rsidP="007471A8">
      <w:pPr>
        <w:contextualSpacing/>
      </w:pPr>
      <w:r>
        <w:t>The FBI must be able to effectively respond to the challenges posed by unconventional terrorist methods, such as the use of chemical, biological, radiological, explosive, and nuclear materials.  When terrorist acts do occur, the FBI must rapidly identify, locate, apprehend, and prosecute those responsible.  As part of its counterterrorism mission, the FBI will continue to combat terrorism by investigating those persons and countries that finance terrorist acts.  The FBI will aggressively use the money laundering and asset forfeiture statutes to locate and disrupt the financial sources of terrorist organizations.  The FBI will also work to effectively and efficiently utilize the tools authorized by Congress.  While the ultimate goal is to prevent a terrorist act before it occurs, the FBI must be able to respond should an act occur.  The FBI’s efforts in this area include improved intelligence gathering and sharing, improved analytical capabilities, and enhanced training and liaison.</w:t>
      </w:r>
    </w:p>
    <w:p w:rsidR="00A424D3" w:rsidRDefault="00A424D3" w:rsidP="007471A8">
      <w:pPr>
        <w:contextualSpacing/>
      </w:pPr>
    </w:p>
    <w:p w:rsidR="00A424D3" w:rsidRPr="002A3A54" w:rsidRDefault="00A424D3" w:rsidP="007471A8">
      <w:pPr>
        <w:pStyle w:val="BodyText"/>
        <w:contextualSpacing/>
        <w:rPr>
          <w:b/>
          <w:iCs/>
          <w:szCs w:val="24"/>
        </w:rPr>
      </w:pPr>
      <w:r w:rsidRPr="002A3A54">
        <w:rPr>
          <w:b/>
          <w:iCs/>
          <w:szCs w:val="24"/>
        </w:rPr>
        <w:t>c. Priority Goals</w:t>
      </w:r>
    </w:p>
    <w:p w:rsidR="00A424D3" w:rsidRDefault="00A424D3" w:rsidP="007471A8">
      <w:pPr>
        <w:pStyle w:val="BodyText"/>
        <w:contextualSpacing/>
        <w:rPr>
          <w:iCs/>
          <w:szCs w:val="24"/>
        </w:rPr>
      </w:pPr>
      <w:r>
        <w:rPr>
          <w:iCs/>
          <w:szCs w:val="24"/>
        </w:rPr>
        <w:t xml:space="preserve">The FBI contributes to the </w:t>
      </w:r>
      <w:r>
        <w:rPr>
          <w:bCs/>
          <w:szCs w:val="24"/>
        </w:rPr>
        <w:t>National Security</w:t>
      </w:r>
      <w:r>
        <w:rPr>
          <w:iCs/>
          <w:szCs w:val="24"/>
        </w:rPr>
        <w:t xml:space="preserve"> Priority Goal 1, which aims to b</w:t>
      </w:r>
      <w:r>
        <w:rPr>
          <w:szCs w:val="24"/>
        </w:rPr>
        <w:t xml:space="preserve">etter inform the Intelligence Community, thereby increasing the ability to protect Americans from terrorism and other threats to national security – both at home and abroad. By September 30, 2013, the FBI will increase by 6 percent the number of counterterrorism intelligence products shared with the U.S. Intelligence Community, state and local Law Enforcement Community partners, and foreign government agencies.  </w:t>
      </w:r>
      <w:r>
        <w:rPr>
          <w:iCs/>
          <w:szCs w:val="24"/>
        </w:rPr>
        <w:t>The FBI’s progress will be reported quarterly.</w:t>
      </w:r>
    </w:p>
    <w:p w:rsidR="00FD2AE9" w:rsidRDefault="00FD2AE9" w:rsidP="007471A8">
      <w:pPr>
        <w:contextualSpacing/>
        <w:rPr>
          <w:b/>
          <w:bCs/>
        </w:rPr>
      </w:pPr>
    </w:p>
    <w:p w:rsidR="000906AA" w:rsidRDefault="000906AA">
      <w:pPr>
        <w:rPr>
          <w:b/>
          <w:bCs/>
          <w:u w:val="single"/>
        </w:rPr>
      </w:pPr>
      <w:r>
        <w:rPr>
          <w:b/>
          <w:bCs/>
          <w:u w:val="single"/>
        </w:rPr>
        <w:br w:type="page"/>
      </w:r>
    </w:p>
    <w:p w:rsidR="00A424D3" w:rsidRDefault="00A424D3" w:rsidP="007471A8">
      <w:pPr>
        <w:contextualSpacing/>
        <w:rPr>
          <w:b/>
          <w:bCs/>
          <w:u w:val="single"/>
        </w:rPr>
      </w:pPr>
      <w:r w:rsidRPr="00ED3B16">
        <w:rPr>
          <w:b/>
          <w:bCs/>
          <w:u w:val="single"/>
        </w:rPr>
        <w:lastRenderedPageBreak/>
        <w:t>Counterintelligence</w:t>
      </w:r>
    </w:p>
    <w:p w:rsidR="00A424D3" w:rsidRDefault="00A424D3" w:rsidP="007471A8">
      <w:pPr>
        <w:contextualSpacing/>
        <w:rPr>
          <w:b/>
          <w:bCs/>
        </w:rPr>
      </w:pPr>
      <w:r w:rsidRPr="00FB298F">
        <w:rPr>
          <w:b/>
          <w:bCs/>
        </w:rPr>
        <w:t>a. Performance Plan and Report for Outcomes</w:t>
      </w:r>
    </w:p>
    <w:p w:rsidR="00A424D3" w:rsidRDefault="00A424D3" w:rsidP="007471A8">
      <w:pPr>
        <w:contextualSpacing/>
        <w:rPr>
          <w:rFonts w:eastAsia="SimSun"/>
          <w:lang w:eastAsia="zh-CN"/>
        </w:rPr>
      </w:pPr>
      <w:r>
        <w:rPr>
          <w:rFonts w:eastAsia="SimSun"/>
          <w:lang w:eastAsia="zh-CN"/>
        </w:rPr>
        <w:t>Please refer to the classified addendum.</w:t>
      </w:r>
    </w:p>
    <w:p w:rsidR="00A424D3" w:rsidRPr="005B2782" w:rsidRDefault="00A424D3" w:rsidP="007471A8">
      <w:pPr>
        <w:contextualSpacing/>
        <w:rPr>
          <w:rFonts w:eastAsia="SimSun"/>
          <w:lang w:eastAsia="zh-CN"/>
        </w:rPr>
      </w:pPr>
    </w:p>
    <w:p w:rsidR="00A424D3" w:rsidRDefault="00A424D3" w:rsidP="007471A8">
      <w:pPr>
        <w:contextualSpacing/>
        <w:rPr>
          <w:b/>
          <w:bCs/>
        </w:rPr>
      </w:pPr>
      <w:r w:rsidRPr="00EB13D2">
        <w:rPr>
          <w:b/>
          <w:bCs/>
        </w:rPr>
        <w:t>b. Strategies to Accomplish Outcomes</w:t>
      </w:r>
    </w:p>
    <w:p w:rsidR="00A424D3" w:rsidRDefault="00A424D3" w:rsidP="007471A8">
      <w:pPr>
        <w:contextualSpacing/>
      </w:pPr>
      <w:r>
        <w:t>The FBI’s Counterintelligence (CI) Program continues to execute a comprehensive National Strategy for Counterintelligence.  This strategy is predicated on the need for centralized national direction that facilitates a focus on common priorities and specific objectives in all areas of the country.  It also recognizes the need for collaboration and strategic partnerships, both within the U.S. Intelligence Community, as well as within the Business and Academic sectors.  This strategy enables the program to combat effectively the intelligence threats facing the U.S.</w:t>
      </w:r>
    </w:p>
    <w:p w:rsidR="00A424D3" w:rsidRDefault="00A424D3" w:rsidP="007471A8">
      <w:pPr>
        <w:contextualSpacing/>
        <w:rPr>
          <w:b/>
          <w:bCs/>
        </w:rPr>
      </w:pPr>
    </w:p>
    <w:p w:rsidR="00A424D3" w:rsidRPr="002A3A54" w:rsidRDefault="00A424D3" w:rsidP="007471A8">
      <w:pPr>
        <w:pStyle w:val="BodyText"/>
        <w:contextualSpacing/>
        <w:rPr>
          <w:b/>
          <w:iCs/>
          <w:szCs w:val="24"/>
        </w:rPr>
      </w:pPr>
      <w:r w:rsidRPr="002A3A54">
        <w:rPr>
          <w:b/>
          <w:iCs/>
          <w:szCs w:val="24"/>
        </w:rPr>
        <w:t>c. Priority Goals</w:t>
      </w:r>
    </w:p>
    <w:p w:rsidR="00A424D3" w:rsidRDefault="00A424D3" w:rsidP="007471A8">
      <w:pPr>
        <w:pStyle w:val="BodyText"/>
        <w:contextualSpacing/>
        <w:rPr>
          <w:iCs/>
          <w:szCs w:val="24"/>
        </w:rPr>
      </w:pPr>
      <w:r>
        <w:rPr>
          <w:iCs/>
          <w:szCs w:val="24"/>
        </w:rPr>
        <w:t xml:space="preserve">The FBI contributes to the </w:t>
      </w:r>
      <w:r>
        <w:rPr>
          <w:bCs/>
          <w:szCs w:val="24"/>
        </w:rPr>
        <w:t>National Security</w:t>
      </w:r>
      <w:r>
        <w:rPr>
          <w:iCs/>
          <w:szCs w:val="24"/>
        </w:rPr>
        <w:t xml:space="preserve"> Priority Goal 1, which aims to b</w:t>
      </w:r>
      <w:r>
        <w:rPr>
          <w:szCs w:val="24"/>
        </w:rPr>
        <w:t xml:space="preserve">etter inform the Intelligence Community, thereby increasing the ability to protect Americans from terrorism and other threats to national security – both at home and abroad. By September 30, 2013, the FBI will increase by 6 percent the number of counterterrorism intelligence products shared with the U.S. Intelligence Community, state and local Law Enforcement Community partners, and foreign government agencies.  </w:t>
      </w:r>
      <w:r>
        <w:rPr>
          <w:iCs/>
          <w:szCs w:val="24"/>
        </w:rPr>
        <w:t>The FBI’s progress will be reported quarterly.</w:t>
      </w:r>
    </w:p>
    <w:p w:rsidR="00A424D3" w:rsidRDefault="00A424D3" w:rsidP="007471A8">
      <w:pPr>
        <w:contextualSpacing/>
        <w:rPr>
          <w:b/>
          <w:bCs/>
        </w:rPr>
      </w:pPr>
    </w:p>
    <w:p w:rsidR="00A424D3" w:rsidRPr="00EB13D2" w:rsidRDefault="00A424D3" w:rsidP="007471A8">
      <w:pPr>
        <w:contextualSpacing/>
        <w:rPr>
          <w:b/>
          <w:bCs/>
          <w:u w:val="single"/>
        </w:rPr>
      </w:pPr>
      <w:r w:rsidRPr="00EB13D2">
        <w:rPr>
          <w:b/>
          <w:bCs/>
          <w:u w:val="single"/>
        </w:rPr>
        <w:t>Computer Intrusions</w:t>
      </w:r>
    </w:p>
    <w:p w:rsidR="008A3367" w:rsidRPr="00EB13D2" w:rsidRDefault="008A3367" w:rsidP="007471A8">
      <w:pPr>
        <w:contextualSpacing/>
        <w:rPr>
          <w:b/>
          <w:bCs/>
          <w:u w:val="single"/>
        </w:rPr>
      </w:pPr>
      <w:r w:rsidRPr="00EB13D2">
        <w:rPr>
          <w:b/>
          <w:bCs/>
        </w:rPr>
        <w:t>a. Performance Plan and Report for Outcomes</w:t>
      </w:r>
    </w:p>
    <w:p w:rsidR="008A3367" w:rsidRPr="00097271" w:rsidRDefault="008A3367" w:rsidP="007471A8">
      <w:pPr>
        <w:contextualSpacing/>
        <w:rPr>
          <w:color w:val="000000"/>
        </w:rPr>
      </w:pPr>
      <w:r w:rsidRPr="00097271">
        <w:rPr>
          <w:color w:val="000000"/>
        </w:rPr>
        <w:t xml:space="preserve">The Computer Intrusion Program (CIP) is the top priority of the FBI’s Cyber Division.  The mission of the CIP is to identify, assess and neutralize computer intrusion threats emanating from terrorist organizations, state sponsored threat actors, and criminal groups targeting the national information infrastructure.  </w:t>
      </w:r>
    </w:p>
    <w:p w:rsidR="008A3367" w:rsidRDefault="00C5224D" w:rsidP="007471A8">
      <w:pPr>
        <w:contextualSpacing/>
        <w:rPr>
          <w:b/>
          <w:bCs/>
        </w:rPr>
      </w:pPr>
      <w:r w:rsidRPr="00C5224D">
        <w:rPr>
          <w:noProof/>
        </w:rPr>
        <w:pict>
          <v:shape id="_x0000_s1076" type="#_x0000_t202" style="position:absolute;margin-left:238.1pt;margin-top:8.9pt;width:256.7pt;height:186.45pt;z-index:-251615232;mso-wrap-style:none;mso-wrap-distance-top:36pt;mso-wrap-distance-bottom:7.2pt" wrapcoords="-63 -81 -63 21519 21663 21519 21663 -81 -63 -81" strokecolor="#969696">
            <v:textbox style="mso-next-textbox:#_x0000_s1076;mso-fit-shape-to-text:t">
              <w:txbxContent>
                <w:p w:rsidR="00561262" w:rsidRDefault="00561262" w:rsidP="008A3367">
                  <w:pPr>
                    <w:jc w:val="both"/>
                  </w:pPr>
                  <w:r>
                    <w:rPr>
                      <w:b/>
                      <w:noProof/>
                      <w:sz w:val="16"/>
                    </w:rPr>
                    <w:drawing>
                      <wp:inline distT="0" distB="0" distL="0" distR="0">
                        <wp:extent cx="3067050" cy="2266950"/>
                        <wp:effectExtent l="0" t="0" r="0" b="0"/>
                        <wp:docPr id="35" name="Object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w10:wrap type="tight"/>
          </v:shape>
        </w:pict>
      </w:r>
    </w:p>
    <w:p w:rsidR="008A3367" w:rsidRDefault="008A3367" w:rsidP="007471A8">
      <w:pPr>
        <w:contextualSpacing/>
      </w:pPr>
      <w:r>
        <w:rPr>
          <w:b/>
          <w:bCs/>
          <w:i/>
          <w:iCs/>
        </w:rPr>
        <w:t>Efficiency</w:t>
      </w:r>
      <w:r>
        <w:rPr>
          <w:b/>
          <w:i/>
          <w:iCs/>
        </w:rPr>
        <w:t xml:space="preserve"> Measure:</w:t>
      </w:r>
      <w:r>
        <w:t xml:space="preserve">  Cost Avoidance </w:t>
      </w:r>
    </w:p>
    <w:p w:rsidR="008A3367" w:rsidRPr="00EB13D2" w:rsidRDefault="008A3367" w:rsidP="007471A8">
      <w:pPr>
        <w:contextualSpacing/>
      </w:pPr>
      <w:proofErr w:type="gramStart"/>
      <w:r>
        <w:t>from</w:t>
      </w:r>
      <w:proofErr w:type="gramEnd"/>
      <w:r>
        <w:t xml:space="preserve"> Online Cyber Training</w:t>
      </w:r>
    </w:p>
    <w:p w:rsidR="008A3367" w:rsidRPr="00EB13D2" w:rsidRDefault="008A3367" w:rsidP="007471A8">
      <w:pPr>
        <w:ind w:left="720"/>
        <w:contextualSpacing/>
      </w:pPr>
    </w:p>
    <w:p w:rsidR="008A3367" w:rsidRPr="003520D2" w:rsidRDefault="008A3367" w:rsidP="00245AC3">
      <w:pPr>
        <w:tabs>
          <w:tab w:val="left" w:pos="2160"/>
        </w:tabs>
        <w:contextualSpacing/>
        <w:jc w:val="both"/>
      </w:pPr>
      <w:r>
        <w:rPr>
          <w:b/>
          <w:i/>
        </w:rPr>
        <w:t xml:space="preserve">FY 2011 Target: </w:t>
      </w:r>
      <w:r w:rsidR="00245AC3">
        <w:rPr>
          <w:b/>
          <w:i/>
        </w:rPr>
        <w:tab/>
      </w:r>
      <w:r>
        <w:t>$625,000</w:t>
      </w:r>
    </w:p>
    <w:p w:rsidR="008A3367" w:rsidRPr="003520D2" w:rsidRDefault="008A3367" w:rsidP="00245AC3">
      <w:pPr>
        <w:tabs>
          <w:tab w:val="left" w:pos="2160"/>
        </w:tabs>
        <w:contextualSpacing/>
        <w:jc w:val="both"/>
      </w:pPr>
      <w:r>
        <w:rPr>
          <w:b/>
          <w:i/>
        </w:rPr>
        <w:t xml:space="preserve">FY 2011 Actual: </w:t>
      </w:r>
      <w:r w:rsidR="00245AC3">
        <w:rPr>
          <w:b/>
          <w:i/>
        </w:rPr>
        <w:tab/>
      </w:r>
      <w:r>
        <w:rPr>
          <w:b/>
          <w:i/>
        </w:rPr>
        <w:t>$</w:t>
      </w:r>
      <w:r>
        <w:t>4,987,000</w:t>
      </w:r>
    </w:p>
    <w:p w:rsidR="008A3367" w:rsidRDefault="008A3367" w:rsidP="007471A8">
      <w:pPr>
        <w:contextualSpacing/>
      </w:pPr>
    </w:p>
    <w:p w:rsidR="008A3367" w:rsidRDefault="008A3367" w:rsidP="007471A8">
      <w:pPr>
        <w:contextualSpacing/>
      </w:pPr>
      <w:r w:rsidRPr="008670D0">
        <w:rPr>
          <w:b/>
          <w:bCs/>
          <w:i/>
          <w:iCs/>
        </w:rPr>
        <w:t>Discussion:</w:t>
      </w:r>
      <w:r>
        <w:rPr>
          <w:b/>
          <w:bCs/>
          <w:i/>
          <w:iCs/>
        </w:rPr>
        <w:t xml:space="preserve"> </w:t>
      </w:r>
      <w:r>
        <w:t>The FBI’</w:t>
      </w:r>
      <w:r w:rsidRPr="0013267B">
        <w:t>s Cyber Program provides online training for its introductory level courses</w:t>
      </w:r>
      <w:r>
        <w:t>,</w:t>
      </w:r>
      <w:r w:rsidRPr="0013267B">
        <w:t xml:space="preserve"> </w:t>
      </w:r>
      <w:r>
        <w:t xml:space="preserve">intermediate </w:t>
      </w:r>
    </w:p>
    <w:p w:rsidR="008A3367" w:rsidRPr="0013267B" w:rsidRDefault="008A3367" w:rsidP="007471A8">
      <w:pPr>
        <w:contextualSpacing/>
      </w:pPr>
      <w:proofErr w:type="gramStart"/>
      <w:r>
        <w:t>and</w:t>
      </w:r>
      <w:proofErr w:type="gramEnd"/>
      <w:r>
        <w:t xml:space="preserve"> advanced courses for SAs in the Cyber Career Path, </w:t>
      </w:r>
      <w:r w:rsidRPr="0013267B">
        <w:t>and online proficiency tests (“Test out”) for all levels of its core curriculum</w:t>
      </w:r>
      <w:r>
        <w:t>.</w:t>
      </w:r>
      <w:r w:rsidRPr="0013267B">
        <w:t xml:space="preserve"> </w:t>
      </w:r>
      <w:r>
        <w:t>The FBI</w:t>
      </w:r>
      <w:r w:rsidRPr="0013267B">
        <w:t xml:space="preserve"> will implement multiple distance learning modalities in FY</w:t>
      </w:r>
      <w:r>
        <w:t xml:space="preserve"> </w:t>
      </w:r>
      <w:r w:rsidRPr="0013267B">
        <w:t>2012 for use in FY</w:t>
      </w:r>
      <w:r>
        <w:t xml:space="preserve"> </w:t>
      </w:r>
      <w:r w:rsidRPr="0013267B">
        <w:t xml:space="preserve">2013.  The student population for the introductory classes is quite broad, including FBI </w:t>
      </w:r>
      <w:r>
        <w:t>SAs</w:t>
      </w:r>
      <w:r w:rsidRPr="0013267B">
        <w:t>, support employees</w:t>
      </w:r>
      <w:r>
        <w:t>,</w:t>
      </w:r>
      <w:r w:rsidRPr="0013267B">
        <w:t xml:space="preserve"> and state and local law enforcement or intelligence partners.  These classes are primarily introductory-level training classes that provide students with basic cyber concepts and investigative strategies. Introductory-level classes do not involve significant hands-on interaction with hardware, software or networking devices.  The population for the intermediate and advanced core courses is primarily </w:t>
      </w:r>
      <w:r>
        <w:t xml:space="preserve">SAs in the Cyber </w:t>
      </w:r>
      <w:r w:rsidRPr="0013267B">
        <w:t xml:space="preserve">Career Path.  Intermediate and advanced courses require significant hands-on exercises with intrusion investigation software tools.  For </w:t>
      </w:r>
      <w:r>
        <w:t>SAs</w:t>
      </w:r>
      <w:r w:rsidRPr="0013267B">
        <w:t xml:space="preserve"> in the Cyber Career Path, core classes which are required before continuing on to take more technically advanced courses.  Knowledge of </w:t>
      </w:r>
      <w:r w:rsidRPr="0013267B">
        <w:lastRenderedPageBreak/>
        <w:t xml:space="preserve">cyber basics, and the mission and priorities of the Cyber Division throughout the FBI, </w:t>
      </w:r>
      <w:r>
        <w:t>are integrated in</w:t>
      </w:r>
      <w:r w:rsidRPr="0013267B">
        <w:t xml:space="preserve"> the program.  </w:t>
      </w:r>
    </w:p>
    <w:p w:rsidR="008A3367" w:rsidRPr="0013267B" w:rsidRDefault="008A3367" w:rsidP="007471A8">
      <w:pPr>
        <w:contextualSpacing/>
      </w:pPr>
    </w:p>
    <w:p w:rsidR="008A3367" w:rsidRDefault="008A3367" w:rsidP="007471A8">
      <w:pPr>
        <w:contextualSpacing/>
      </w:pPr>
      <w:r w:rsidRPr="0013267B">
        <w:t>In addition to offering introductory level online training via the FBI Virtual Academy (the FBI's closed s</w:t>
      </w:r>
      <w:r>
        <w:t>ystem intranet training system)</w:t>
      </w:r>
      <w:proofErr w:type="gramStart"/>
      <w:r>
        <w:t>,</w:t>
      </w:r>
      <w:proofErr w:type="gramEnd"/>
      <w:r w:rsidRPr="0013267B">
        <w:t xml:space="preserve"> </w:t>
      </w:r>
      <w:r>
        <w:t xml:space="preserve">the FBI offers </w:t>
      </w:r>
      <w:r w:rsidRPr="0013267B">
        <w:t>training over the Internet</w:t>
      </w:r>
      <w:r>
        <w:t xml:space="preserve">. The </w:t>
      </w:r>
      <w:r w:rsidRPr="0013267B">
        <w:t xml:space="preserve">Cyber Division is </w:t>
      </w:r>
      <w:r>
        <w:t xml:space="preserve">also </w:t>
      </w:r>
      <w:r w:rsidRPr="0013267B">
        <w:t>implementing an updated distance learning system which will go online in FY</w:t>
      </w:r>
      <w:r>
        <w:t xml:space="preserve"> </w:t>
      </w:r>
      <w:r w:rsidRPr="0013267B">
        <w:t>2012 and will deliver sophisticated online training in FY</w:t>
      </w:r>
      <w:r>
        <w:t xml:space="preserve"> </w:t>
      </w:r>
      <w:r w:rsidRPr="0013267B">
        <w:t xml:space="preserve">2013.  This new system will have advanced functionality to support the online delivery of intermediate and advanced level courses with hands-on exercises.  The system will use virtual machines and virtual networks to mimic what the Cyber Agent will encounter in the field, and will support a number of training modalities to include teleconferenced lectures and labs, archived lectures, online live tutoring, and self-paced training and exercises.  Taken together, these existing and </w:t>
      </w:r>
      <w:r>
        <w:t>new</w:t>
      </w:r>
      <w:r w:rsidRPr="0013267B">
        <w:t xml:space="preserve"> online training options will allow the FBI to offer improved courses to all employees, including those in remote locations, </w:t>
      </w:r>
      <w:r>
        <w:t xml:space="preserve">as well as </w:t>
      </w:r>
      <w:r w:rsidRPr="0013267B">
        <w:t xml:space="preserve">state and local investigators and FBI employees who </w:t>
      </w:r>
      <w:r>
        <w:t>might not have been able to have access to previous training opportunities.</w:t>
      </w:r>
    </w:p>
    <w:p w:rsidR="008A3367" w:rsidRDefault="008A3367" w:rsidP="007471A8">
      <w:pPr>
        <w:contextualSpacing/>
      </w:pPr>
    </w:p>
    <w:p w:rsidR="008A3367" w:rsidRPr="00AB56A6" w:rsidRDefault="008A3367" w:rsidP="007471A8">
      <w:pPr>
        <w:contextualSpacing/>
      </w:pPr>
      <w:r w:rsidRPr="00AB56A6">
        <w:t>The</w:t>
      </w:r>
      <w:r>
        <w:t xml:space="preserve"> abnormally high results in FY 2011 result from an increase</w:t>
      </w:r>
      <w:r w:rsidRPr="00AB56A6">
        <w:t xml:space="preserve"> in online classes in the 4th quarter. </w:t>
      </w:r>
      <w:r>
        <w:t>T</w:t>
      </w:r>
      <w:r w:rsidRPr="00AB56A6">
        <w:t xml:space="preserve">his was due in part to the increased technical proficiency of the student population, as well as the Cyber Incentive Program. </w:t>
      </w:r>
      <w:r>
        <w:t>The expected return to more normal levels in FY 2012 and FY 2013 reflect</w:t>
      </w:r>
      <w:r w:rsidRPr="00AB56A6">
        <w:t xml:space="preserve"> an increase in the number of agents who have completed the </w:t>
      </w:r>
      <w:r>
        <w:t>cyber</w:t>
      </w:r>
      <w:r w:rsidRPr="00AB56A6">
        <w:t xml:space="preserve"> core training and are therefore no longer eligible for the </w:t>
      </w:r>
      <w:r>
        <w:t>available online training.</w:t>
      </w:r>
    </w:p>
    <w:p w:rsidR="008A3367" w:rsidRDefault="008A3367" w:rsidP="007471A8">
      <w:pPr>
        <w:contextualSpacing/>
      </w:pPr>
    </w:p>
    <w:p w:rsidR="008A3367" w:rsidRDefault="008A3367" w:rsidP="00245AC3">
      <w:pPr>
        <w:tabs>
          <w:tab w:val="left" w:pos="2160"/>
        </w:tabs>
        <w:contextualSpacing/>
      </w:pPr>
      <w:r w:rsidRPr="00EB13D2">
        <w:rPr>
          <w:b/>
          <w:bCs/>
          <w:i/>
          <w:iCs/>
        </w:rPr>
        <w:t>FY 20</w:t>
      </w:r>
      <w:r>
        <w:rPr>
          <w:b/>
          <w:bCs/>
          <w:i/>
          <w:iCs/>
        </w:rPr>
        <w:t>12</w:t>
      </w:r>
      <w:r w:rsidRPr="00EB13D2">
        <w:rPr>
          <w:b/>
          <w:bCs/>
          <w:i/>
          <w:iCs/>
        </w:rPr>
        <w:t xml:space="preserve"> Target:</w:t>
      </w:r>
      <w:r>
        <w:rPr>
          <w:b/>
          <w:bCs/>
        </w:rPr>
        <w:t xml:space="preserve"> </w:t>
      </w:r>
      <w:r w:rsidR="00245AC3">
        <w:rPr>
          <w:b/>
          <w:bCs/>
        </w:rPr>
        <w:tab/>
      </w:r>
      <w:r>
        <w:rPr>
          <w:bCs/>
        </w:rPr>
        <w:t>$1,156,000</w:t>
      </w:r>
    </w:p>
    <w:p w:rsidR="008A3367" w:rsidRDefault="008A3367" w:rsidP="00245AC3">
      <w:pPr>
        <w:tabs>
          <w:tab w:val="left" w:pos="2160"/>
        </w:tabs>
        <w:contextualSpacing/>
        <w:rPr>
          <w:bCs/>
        </w:rPr>
      </w:pPr>
      <w:r w:rsidRPr="00EB13D2">
        <w:rPr>
          <w:b/>
          <w:bCs/>
          <w:i/>
          <w:iCs/>
        </w:rPr>
        <w:t>FY 20</w:t>
      </w:r>
      <w:r>
        <w:rPr>
          <w:b/>
          <w:bCs/>
          <w:i/>
          <w:iCs/>
        </w:rPr>
        <w:t>13</w:t>
      </w:r>
      <w:r w:rsidRPr="00EB13D2">
        <w:rPr>
          <w:b/>
          <w:bCs/>
          <w:i/>
          <w:iCs/>
        </w:rPr>
        <w:t xml:space="preserve"> Target:</w:t>
      </w:r>
      <w:r>
        <w:rPr>
          <w:b/>
          <w:bCs/>
        </w:rPr>
        <w:t xml:space="preserve"> </w:t>
      </w:r>
      <w:r w:rsidR="00245AC3">
        <w:rPr>
          <w:b/>
          <w:bCs/>
        </w:rPr>
        <w:tab/>
      </w:r>
      <w:r>
        <w:rPr>
          <w:bCs/>
        </w:rPr>
        <w:t>$2,500,000</w:t>
      </w:r>
    </w:p>
    <w:p w:rsidR="008A3367" w:rsidRDefault="008A3367" w:rsidP="007471A8">
      <w:pPr>
        <w:contextualSpacing/>
        <w:rPr>
          <w:bCs/>
        </w:rPr>
      </w:pPr>
    </w:p>
    <w:p w:rsidR="008A3367" w:rsidRDefault="00C5224D" w:rsidP="007471A8">
      <w:pPr>
        <w:contextualSpacing/>
      </w:pPr>
      <w:r>
        <w:rPr>
          <w:noProof/>
        </w:rPr>
        <w:pict>
          <v:shape id="_x0000_s1077" type="#_x0000_t202" style="position:absolute;margin-left:270.65pt;margin-top:24.25pt;width:244.5pt;height:179.55pt;z-index:-251614208;mso-wrap-distance-top:36pt;mso-wrap-distance-bottom:7.2pt;mso-position-horizontal-relative:text;mso-position-vertical-relative:text" wrapcoords="-66 -90 -66 21510 21666 21510 21666 -90 -66 -90" strokecolor="#969696">
            <v:textbox style="mso-next-textbox:#_x0000_s1077">
              <w:txbxContent>
                <w:p w:rsidR="00561262" w:rsidRDefault="00561262" w:rsidP="008A3367">
                  <w:pPr>
                    <w:jc w:val="both"/>
                  </w:pPr>
                </w:p>
              </w:txbxContent>
            </v:textbox>
            <w10:wrap type="tight"/>
          </v:shape>
        </w:pict>
      </w:r>
      <w:r w:rsidR="008A3367">
        <w:rPr>
          <w:b/>
          <w:bCs/>
          <w:i/>
          <w:iCs/>
        </w:rPr>
        <w:t>Performance</w:t>
      </w:r>
      <w:r w:rsidR="008A3367">
        <w:rPr>
          <w:b/>
          <w:i/>
          <w:iCs/>
        </w:rPr>
        <w:t xml:space="preserve"> Measure:</w:t>
      </w:r>
      <w:r w:rsidR="008A3367">
        <w:t xml:space="preserve"> Computer Intrusion Program Convictions/Pre-Trial Diversions</w:t>
      </w:r>
    </w:p>
    <w:p w:rsidR="008A3367" w:rsidRDefault="00245AC3" w:rsidP="007471A8">
      <w:pPr>
        <w:contextualSpacing/>
        <w:rPr>
          <w:b/>
          <w:bCs/>
          <w:i/>
          <w:iCs/>
        </w:rPr>
      </w:pPr>
      <w:r>
        <w:rPr>
          <w:b/>
          <w:bCs/>
          <w:i/>
          <w:iCs/>
          <w:noProof/>
        </w:rPr>
        <w:drawing>
          <wp:anchor distT="91440" distB="133350" distL="327660" distR="289560" simplePos="0" relativeHeight="251700224" behindDoc="0" locked="0" layoutInCell="1" allowOverlap="1">
            <wp:simplePos x="0" y="0"/>
            <wp:positionH relativeFrom="column">
              <wp:posOffset>3545840</wp:posOffset>
            </wp:positionH>
            <wp:positionV relativeFrom="paragraph">
              <wp:posOffset>164465</wp:posOffset>
            </wp:positionV>
            <wp:extent cx="2891790" cy="2253615"/>
            <wp:effectExtent l="0" t="0" r="0" b="0"/>
            <wp:wrapSquare wrapText="bothSides"/>
            <wp:docPr id="51" name="Objec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8A3367" w:rsidRPr="003520D2" w:rsidRDefault="008A3367" w:rsidP="00245AC3">
      <w:pPr>
        <w:tabs>
          <w:tab w:val="left" w:pos="2160"/>
        </w:tabs>
        <w:contextualSpacing/>
        <w:rPr>
          <w:b/>
          <w:bCs/>
          <w:i/>
          <w:iCs/>
        </w:rPr>
      </w:pPr>
      <w:r>
        <w:rPr>
          <w:b/>
          <w:bCs/>
          <w:i/>
          <w:iCs/>
        </w:rPr>
        <w:t xml:space="preserve">FY 2011 Actual: </w:t>
      </w:r>
      <w:r w:rsidR="00245AC3">
        <w:rPr>
          <w:b/>
          <w:bCs/>
          <w:i/>
          <w:iCs/>
        </w:rPr>
        <w:tab/>
      </w:r>
      <w:r w:rsidRPr="003520D2">
        <w:rPr>
          <w:bCs/>
          <w:iCs/>
        </w:rPr>
        <w:t>148</w:t>
      </w:r>
    </w:p>
    <w:p w:rsidR="008A3367" w:rsidRDefault="008A3367" w:rsidP="007471A8">
      <w:pPr>
        <w:contextualSpacing/>
        <w:rPr>
          <w:b/>
          <w:bCs/>
          <w:i/>
          <w:iCs/>
        </w:rPr>
      </w:pPr>
    </w:p>
    <w:p w:rsidR="008A3367" w:rsidRPr="00BD2F29" w:rsidRDefault="008A3367" w:rsidP="007471A8">
      <w:pPr>
        <w:contextualSpacing/>
        <w:rPr>
          <w:bCs/>
          <w:iCs/>
        </w:rPr>
      </w:pPr>
      <w:r w:rsidRPr="00EB13D2">
        <w:t xml:space="preserve">In accordance with </w:t>
      </w:r>
      <w:r>
        <w:t>DOJ</w:t>
      </w:r>
      <w:r w:rsidRPr="00EB13D2">
        <w:t xml:space="preserve"> guidance, targeted levels of performance are not projected for this indicator.</w:t>
      </w:r>
    </w:p>
    <w:p w:rsidR="008A3367" w:rsidRPr="002E51B0" w:rsidRDefault="008A3367" w:rsidP="007471A8">
      <w:pPr>
        <w:ind w:left="720"/>
        <w:contextualSpacing/>
      </w:pPr>
      <w:r w:rsidRPr="002E51B0">
        <w:t xml:space="preserve"> </w:t>
      </w:r>
      <w:r w:rsidRPr="002E51B0">
        <w:tab/>
      </w:r>
    </w:p>
    <w:p w:rsidR="00D65A2C" w:rsidRDefault="008A3367" w:rsidP="007471A8">
      <w:pPr>
        <w:contextualSpacing/>
      </w:pPr>
      <w:r w:rsidRPr="002E51B0">
        <w:rPr>
          <w:b/>
          <w:bCs/>
          <w:i/>
          <w:iCs/>
        </w:rPr>
        <w:t>Discussion:</w:t>
      </w:r>
      <w:r w:rsidRPr="002E51B0">
        <w:rPr>
          <w:b/>
          <w:bCs/>
        </w:rPr>
        <w:t xml:space="preserve"> </w:t>
      </w:r>
      <w:r w:rsidRPr="0013267B">
        <w:t xml:space="preserve">Computer intrusion convictions </w:t>
      </w:r>
    </w:p>
    <w:p w:rsidR="00D65A2C" w:rsidRDefault="008A3367" w:rsidP="007471A8">
      <w:pPr>
        <w:contextualSpacing/>
        <w:rPr>
          <w:rFonts w:eastAsia="SimSun"/>
        </w:rPr>
      </w:pPr>
      <w:proofErr w:type="gramStart"/>
      <w:r w:rsidRPr="0013267B">
        <w:t>are</w:t>
      </w:r>
      <w:proofErr w:type="gramEnd"/>
      <w:r w:rsidRPr="0013267B">
        <w:t xml:space="preserve"> expected to rise as a result of increased investigations and level of agent expertise. T</w:t>
      </w:r>
      <w:r w:rsidRPr="0013267B">
        <w:rPr>
          <w:rFonts w:eastAsia="SimSun"/>
        </w:rPr>
        <w:t xml:space="preserve">he </w:t>
      </w:r>
    </w:p>
    <w:p w:rsidR="00D65A2C" w:rsidRDefault="008A3367" w:rsidP="007471A8">
      <w:pPr>
        <w:contextualSpacing/>
        <w:rPr>
          <w:rFonts w:eastAsia="SimSun"/>
        </w:rPr>
      </w:pPr>
      <w:r w:rsidRPr="0013267B">
        <w:rPr>
          <w:rFonts w:eastAsia="SimSun"/>
        </w:rPr>
        <w:t xml:space="preserve">FBI anticipates addressing an ever-increasing caseload and </w:t>
      </w:r>
      <w:r>
        <w:rPr>
          <w:rFonts w:eastAsia="SimSun"/>
        </w:rPr>
        <w:t xml:space="preserve">therefore expects </w:t>
      </w:r>
      <w:r w:rsidRPr="0013267B">
        <w:rPr>
          <w:rFonts w:eastAsia="SimSun"/>
        </w:rPr>
        <w:t xml:space="preserve">changes in the amount of subsequent convictions/pre-trial diversions. The strategies to accomplish these outcomes include:  continuing and enhancing </w:t>
      </w:r>
    </w:p>
    <w:p w:rsidR="00D65A2C" w:rsidRDefault="008A3367" w:rsidP="007471A8">
      <w:pPr>
        <w:contextualSpacing/>
        <w:rPr>
          <w:rFonts w:eastAsia="SimSun"/>
        </w:rPr>
      </w:pPr>
      <w:proofErr w:type="gramStart"/>
      <w:r w:rsidRPr="0013267B">
        <w:rPr>
          <w:rFonts w:eastAsia="SimSun"/>
        </w:rPr>
        <w:t>the</w:t>
      </w:r>
      <w:proofErr w:type="gramEnd"/>
      <w:r w:rsidRPr="0013267B">
        <w:rPr>
          <w:rFonts w:eastAsia="SimSun"/>
        </w:rPr>
        <w:t xml:space="preserve"> alliances with </w:t>
      </w:r>
      <w:proofErr w:type="spellStart"/>
      <w:r w:rsidRPr="0013267B">
        <w:rPr>
          <w:rFonts w:eastAsia="SimSun"/>
        </w:rPr>
        <w:t>cybersecurity</w:t>
      </w:r>
      <w:proofErr w:type="spellEnd"/>
      <w:r w:rsidRPr="0013267B">
        <w:rPr>
          <w:rFonts w:eastAsia="SimSun"/>
        </w:rPr>
        <w:t xml:space="preserve"> community members, the coordination of intelligence</w:t>
      </w:r>
      <w:r w:rsidR="00D65A2C">
        <w:rPr>
          <w:rFonts w:eastAsia="SimSun"/>
        </w:rPr>
        <w:t>—</w:t>
      </w:r>
    </w:p>
    <w:p w:rsidR="00D65A2C" w:rsidRDefault="008A3367" w:rsidP="007471A8">
      <w:pPr>
        <w:contextualSpacing/>
        <w:rPr>
          <w:rFonts w:eastAsia="SimSun"/>
        </w:rPr>
      </w:pPr>
      <w:proofErr w:type="gramStart"/>
      <w:r w:rsidRPr="0013267B">
        <w:rPr>
          <w:rFonts w:eastAsia="SimSun"/>
        </w:rPr>
        <w:t>both</w:t>
      </w:r>
      <w:proofErr w:type="gramEnd"/>
      <w:r w:rsidRPr="0013267B">
        <w:rPr>
          <w:rFonts w:eastAsia="SimSun"/>
        </w:rPr>
        <w:t xml:space="preserve"> criminal and national security in nature, </w:t>
      </w:r>
    </w:p>
    <w:p w:rsidR="008A3367" w:rsidRDefault="008A3367" w:rsidP="007471A8">
      <w:pPr>
        <w:contextualSpacing/>
      </w:pPr>
      <w:proofErr w:type="gramStart"/>
      <w:r w:rsidRPr="0013267B">
        <w:rPr>
          <w:rFonts w:eastAsia="SimSun"/>
        </w:rPr>
        <w:t>and</w:t>
      </w:r>
      <w:proofErr w:type="gramEnd"/>
      <w:r w:rsidRPr="0013267B">
        <w:rPr>
          <w:rFonts w:eastAsia="SimSun"/>
        </w:rPr>
        <w:t xml:space="preserve"> increased international liaison and partnerships. This key factor includes initiatives to develop cyber crime law enforcement strategy</w:t>
      </w:r>
      <w:r>
        <w:rPr>
          <w:rFonts w:eastAsia="SimSun"/>
        </w:rPr>
        <w:t xml:space="preserve"> that</w:t>
      </w:r>
      <w:r w:rsidRPr="0013267B">
        <w:rPr>
          <w:rFonts w:eastAsia="SimSun"/>
        </w:rPr>
        <w:t xml:space="preserve"> leverage</w:t>
      </w:r>
      <w:r>
        <w:rPr>
          <w:rFonts w:eastAsia="SimSun"/>
        </w:rPr>
        <w:t>s</w:t>
      </w:r>
      <w:r w:rsidRPr="0013267B">
        <w:rPr>
          <w:rFonts w:eastAsia="SimSun"/>
        </w:rPr>
        <w:t xml:space="preserve"> international cooperation between governments, law enforcement, and private industry, share information and training, share and develop new tools, and educate the public. Given the transnational nature of cyber crime, it is imperative to establish effective international cooperation and develop appropriate and consistent legislation.  As cyber crimes cross national boundaries, international law enforcement cooperation is crucial.  Because most laws and agencies operate within national borders, gaps exist in international legal coverage and harmonization of</w:t>
      </w:r>
      <w:r>
        <w:rPr>
          <w:rFonts w:eastAsia="SimSun"/>
        </w:rPr>
        <w:t xml:space="preserve"> </w:t>
      </w:r>
      <w:r>
        <w:rPr>
          <w:rFonts w:eastAsia="SimSun"/>
        </w:rPr>
        <w:lastRenderedPageBreak/>
        <w:t>offenses</w:t>
      </w:r>
      <w:r w:rsidRPr="0013267B">
        <w:rPr>
          <w:rFonts w:eastAsia="SimSun"/>
        </w:rPr>
        <w:t xml:space="preserve">, and agencies seek (or provide) international assistance only when a crime impacts their interests.  </w:t>
      </w:r>
      <w:r>
        <w:t xml:space="preserve"> </w:t>
      </w:r>
    </w:p>
    <w:p w:rsidR="008A3367" w:rsidRDefault="008A3367" w:rsidP="007471A8">
      <w:pPr>
        <w:contextualSpacing/>
      </w:pPr>
    </w:p>
    <w:p w:rsidR="008A3367" w:rsidRPr="002A3A54" w:rsidRDefault="008A3367" w:rsidP="007471A8">
      <w:pPr>
        <w:pStyle w:val="BodyText"/>
        <w:contextualSpacing/>
        <w:rPr>
          <w:b/>
          <w:iCs/>
          <w:szCs w:val="24"/>
        </w:rPr>
      </w:pPr>
      <w:r w:rsidRPr="002A3A54">
        <w:rPr>
          <w:b/>
          <w:iCs/>
          <w:szCs w:val="24"/>
        </w:rPr>
        <w:t>c. Priority Goals</w:t>
      </w:r>
    </w:p>
    <w:p w:rsidR="008A3367" w:rsidRDefault="008A3367" w:rsidP="007471A8">
      <w:pPr>
        <w:pStyle w:val="BodyText"/>
        <w:contextualSpacing/>
        <w:rPr>
          <w:iCs/>
          <w:szCs w:val="24"/>
        </w:rPr>
      </w:pPr>
      <w:r>
        <w:rPr>
          <w:iCs/>
          <w:szCs w:val="24"/>
        </w:rPr>
        <w:t xml:space="preserve">The FBI contributes to the </w:t>
      </w:r>
      <w:r>
        <w:rPr>
          <w:bCs/>
          <w:szCs w:val="24"/>
        </w:rPr>
        <w:t>National Security</w:t>
      </w:r>
      <w:r>
        <w:rPr>
          <w:iCs/>
          <w:szCs w:val="24"/>
        </w:rPr>
        <w:t xml:space="preserve"> Priority Goal 1, which aims to b</w:t>
      </w:r>
      <w:r>
        <w:rPr>
          <w:szCs w:val="24"/>
        </w:rPr>
        <w:t xml:space="preserve">etter inform the Intelligence Community, thereby increasing the ability to protect Americans from terrorism and other threats to national security – both at home and abroad. By September 30, 2013, the FBI will increase by 6 percent the number of counterterrorism intelligence products shared with the U.S. Intelligence Community, state and local Law Enforcement Community partners, and foreign government agencies.  </w:t>
      </w:r>
      <w:r>
        <w:rPr>
          <w:iCs/>
          <w:szCs w:val="24"/>
        </w:rPr>
        <w:t>The FBI’s progress will be reported quarterly.</w:t>
      </w:r>
    </w:p>
    <w:p w:rsidR="008A3367" w:rsidRDefault="008A3367" w:rsidP="007471A8">
      <w:pPr>
        <w:contextualSpacing/>
      </w:pPr>
    </w:p>
    <w:p w:rsidR="00630F6F" w:rsidRDefault="00466E4D" w:rsidP="007471A8">
      <w:pPr>
        <w:contextualSpacing/>
        <w:rPr>
          <w:b/>
        </w:rPr>
      </w:pPr>
      <w:r>
        <w:rPr>
          <w:b/>
        </w:rPr>
        <w:br w:type="page"/>
      </w:r>
      <w:bookmarkStart w:id="9" w:name="CEFC_DU"/>
      <w:bookmarkEnd w:id="9"/>
      <w:r w:rsidR="00630F6F" w:rsidRPr="005375B8">
        <w:rPr>
          <w:b/>
        </w:rPr>
        <w:lastRenderedPageBreak/>
        <w:t>C. Criminal Enterprises and Federal Crimes Decision Unit</w:t>
      </w:r>
    </w:p>
    <w:p w:rsidR="00630F6F" w:rsidRPr="009465F6" w:rsidRDefault="00630F6F" w:rsidP="007471A8">
      <w:pPr>
        <w:pStyle w:val="BodyText"/>
        <w:contextualSpacing/>
        <w:rPr>
          <w:b/>
          <w:bCs/>
          <w:i/>
          <w:iCs/>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1404"/>
        <w:gridCol w:w="1116"/>
        <w:gridCol w:w="1728"/>
      </w:tblGrid>
      <w:tr w:rsidR="00630F6F" w:rsidRPr="009465F6" w:rsidTr="002B03A4">
        <w:trPr>
          <w:jc w:val="center"/>
        </w:trPr>
        <w:tc>
          <w:tcPr>
            <w:tcW w:w="5328" w:type="dxa"/>
            <w:vAlign w:val="center"/>
          </w:tcPr>
          <w:p w:rsidR="00630F6F" w:rsidRPr="009465F6" w:rsidRDefault="00630F6F" w:rsidP="007471A8">
            <w:pPr>
              <w:pStyle w:val="Title"/>
              <w:ind w:left="0"/>
              <w:contextualSpacing/>
              <w:jc w:val="left"/>
              <w:rPr>
                <w:i w:val="0"/>
                <w:szCs w:val="24"/>
              </w:rPr>
            </w:pPr>
            <w:r w:rsidRPr="00623C32">
              <w:rPr>
                <w:bCs/>
                <w:i w:val="0"/>
                <w:szCs w:val="24"/>
              </w:rPr>
              <w:t>C</w:t>
            </w:r>
            <w:r>
              <w:rPr>
                <w:bCs/>
                <w:i w:val="0"/>
                <w:szCs w:val="24"/>
              </w:rPr>
              <w:t>RIMINAL ENTERPRISES AND FEDERAL CRIMES DECISION UNIT TOTAL</w:t>
            </w:r>
          </w:p>
        </w:tc>
        <w:tc>
          <w:tcPr>
            <w:tcW w:w="1404" w:type="dxa"/>
            <w:vAlign w:val="center"/>
          </w:tcPr>
          <w:p w:rsidR="00630F6F" w:rsidRPr="009465F6" w:rsidRDefault="00630F6F" w:rsidP="007471A8">
            <w:pPr>
              <w:pStyle w:val="Title"/>
              <w:ind w:left="0"/>
              <w:contextualSpacing/>
              <w:rPr>
                <w:i w:val="0"/>
                <w:szCs w:val="24"/>
              </w:rPr>
            </w:pPr>
            <w:r w:rsidRPr="009465F6">
              <w:rPr>
                <w:i w:val="0"/>
                <w:szCs w:val="24"/>
              </w:rPr>
              <w:t xml:space="preserve">Perm. </w:t>
            </w:r>
            <w:proofErr w:type="gramStart"/>
            <w:r w:rsidRPr="009465F6">
              <w:rPr>
                <w:i w:val="0"/>
                <w:szCs w:val="24"/>
              </w:rPr>
              <w:t>Pos.</w:t>
            </w:r>
            <w:proofErr w:type="gramEnd"/>
          </w:p>
        </w:tc>
        <w:tc>
          <w:tcPr>
            <w:tcW w:w="1116" w:type="dxa"/>
            <w:vAlign w:val="center"/>
          </w:tcPr>
          <w:p w:rsidR="00630F6F" w:rsidRPr="009465F6" w:rsidRDefault="00630F6F" w:rsidP="007471A8">
            <w:pPr>
              <w:pStyle w:val="Title"/>
              <w:ind w:left="0"/>
              <w:contextualSpacing/>
              <w:rPr>
                <w:i w:val="0"/>
                <w:szCs w:val="24"/>
              </w:rPr>
            </w:pPr>
            <w:r w:rsidRPr="009465F6">
              <w:rPr>
                <w:i w:val="0"/>
                <w:szCs w:val="24"/>
              </w:rPr>
              <w:t>FTE</w:t>
            </w:r>
          </w:p>
        </w:tc>
        <w:tc>
          <w:tcPr>
            <w:tcW w:w="1728" w:type="dxa"/>
            <w:vAlign w:val="center"/>
          </w:tcPr>
          <w:p w:rsidR="00630F6F" w:rsidRPr="009465F6" w:rsidRDefault="00630F6F" w:rsidP="007471A8">
            <w:pPr>
              <w:pStyle w:val="Title"/>
              <w:ind w:left="0"/>
              <w:contextualSpacing/>
              <w:rPr>
                <w:i w:val="0"/>
                <w:szCs w:val="24"/>
              </w:rPr>
            </w:pPr>
            <w:r w:rsidRPr="009465F6">
              <w:rPr>
                <w:i w:val="0"/>
                <w:szCs w:val="24"/>
              </w:rPr>
              <w:t>Amount</w:t>
            </w:r>
            <w:r>
              <w:rPr>
                <w:i w:val="0"/>
                <w:szCs w:val="24"/>
              </w:rPr>
              <w:t xml:space="preserve"> ($000)</w:t>
            </w:r>
          </w:p>
        </w:tc>
      </w:tr>
      <w:tr w:rsidR="00630F6F" w:rsidRPr="009465F6" w:rsidTr="002B03A4">
        <w:trPr>
          <w:jc w:val="center"/>
        </w:trPr>
        <w:tc>
          <w:tcPr>
            <w:tcW w:w="5328" w:type="dxa"/>
          </w:tcPr>
          <w:p w:rsidR="00630F6F" w:rsidRPr="009465F6" w:rsidRDefault="00630F6F" w:rsidP="007471A8">
            <w:pPr>
              <w:pStyle w:val="Title"/>
              <w:ind w:left="0"/>
              <w:contextualSpacing/>
              <w:jc w:val="left"/>
              <w:rPr>
                <w:b w:val="0"/>
                <w:bCs/>
                <w:i w:val="0"/>
                <w:szCs w:val="24"/>
              </w:rPr>
            </w:pPr>
            <w:r w:rsidRPr="009465F6">
              <w:rPr>
                <w:b w:val="0"/>
                <w:bCs/>
                <w:i w:val="0"/>
                <w:szCs w:val="24"/>
              </w:rPr>
              <w:t>20</w:t>
            </w:r>
            <w:r>
              <w:rPr>
                <w:b w:val="0"/>
                <w:bCs/>
                <w:i w:val="0"/>
                <w:szCs w:val="24"/>
              </w:rPr>
              <w:t>11</w:t>
            </w:r>
            <w:r w:rsidRPr="009465F6">
              <w:rPr>
                <w:b w:val="0"/>
                <w:bCs/>
                <w:i w:val="0"/>
                <w:szCs w:val="24"/>
              </w:rPr>
              <w:t xml:space="preserve"> Enacted</w:t>
            </w:r>
            <w:r>
              <w:rPr>
                <w:b w:val="0"/>
                <w:bCs/>
                <w:i w:val="0"/>
                <w:szCs w:val="24"/>
              </w:rPr>
              <w:t xml:space="preserve"> with Rescissions</w:t>
            </w:r>
          </w:p>
        </w:tc>
        <w:tc>
          <w:tcPr>
            <w:tcW w:w="1404" w:type="dxa"/>
          </w:tcPr>
          <w:p w:rsidR="00630F6F" w:rsidRPr="009465F6" w:rsidRDefault="00630F6F" w:rsidP="007471A8">
            <w:pPr>
              <w:pStyle w:val="Title"/>
              <w:ind w:left="0"/>
              <w:contextualSpacing/>
              <w:jc w:val="right"/>
              <w:rPr>
                <w:b w:val="0"/>
                <w:bCs/>
                <w:i w:val="0"/>
                <w:szCs w:val="24"/>
              </w:rPr>
            </w:pPr>
            <w:r>
              <w:rPr>
                <w:b w:val="0"/>
                <w:bCs/>
                <w:i w:val="0"/>
                <w:szCs w:val="24"/>
              </w:rPr>
              <w:t>11,608</w:t>
            </w:r>
          </w:p>
        </w:tc>
        <w:tc>
          <w:tcPr>
            <w:tcW w:w="1116" w:type="dxa"/>
          </w:tcPr>
          <w:p w:rsidR="00630F6F" w:rsidRPr="009465F6" w:rsidRDefault="00630F6F" w:rsidP="007471A8">
            <w:pPr>
              <w:pStyle w:val="Title"/>
              <w:ind w:left="0"/>
              <w:contextualSpacing/>
              <w:jc w:val="right"/>
              <w:rPr>
                <w:b w:val="0"/>
                <w:bCs/>
                <w:i w:val="0"/>
                <w:szCs w:val="24"/>
              </w:rPr>
            </w:pPr>
            <w:r>
              <w:rPr>
                <w:b w:val="0"/>
                <w:bCs/>
                <w:i w:val="0"/>
                <w:szCs w:val="24"/>
              </w:rPr>
              <w:t>11,403</w:t>
            </w:r>
          </w:p>
        </w:tc>
        <w:tc>
          <w:tcPr>
            <w:tcW w:w="1728" w:type="dxa"/>
          </w:tcPr>
          <w:p w:rsidR="00630F6F" w:rsidRPr="009465F6" w:rsidRDefault="00630F6F" w:rsidP="007471A8">
            <w:pPr>
              <w:pStyle w:val="Title"/>
              <w:ind w:left="0"/>
              <w:contextualSpacing/>
              <w:jc w:val="right"/>
              <w:rPr>
                <w:b w:val="0"/>
                <w:bCs/>
                <w:i w:val="0"/>
                <w:szCs w:val="24"/>
              </w:rPr>
            </w:pPr>
            <w:r>
              <w:rPr>
                <w:b w:val="0"/>
                <w:bCs/>
                <w:i w:val="0"/>
                <w:szCs w:val="24"/>
              </w:rPr>
              <w:t>$2,546,852</w:t>
            </w:r>
          </w:p>
        </w:tc>
      </w:tr>
      <w:tr w:rsidR="00630F6F" w:rsidRPr="009465F6" w:rsidTr="002B03A4">
        <w:trPr>
          <w:jc w:val="center"/>
        </w:trPr>
        <w:tc>
          <w:tcPr>
            <w:tcW w:w="5328" w:type="dxa"/>
          </w:tcPr>
          <w:p w:rsidR="00630F6F" w:rsidRPr="009465F6" w:rsidRDefault="00630F6F" w:rsidP="007471A8">
            <w:pPr>
              <w:pStyle w:val="Title"/>
              <w:ind w:left="0"/>
              <w:contextualSpacing/>
              <w:jc w:val="left"/>
              <w:rPr>
                <w:b w:val="0"/>
                <w:bCs/>
                <w:i w:val="0"/>
                <w:szCs w:val="24"/>
              </w:rPr>
            </w:pPr>
            <w:r w:rsidRPr="009465F6">
              <w:rPr>
                <w:b w:val="0"/>
                <w:bCs/>
                <w:i w:val="0"/>
                <w:szCs w:val="24"/>
              </w:rPr>
              <w:t>20</w:t>
            </w:r>
            <w:r>
              <w:rPr>
                <w:b w:val="0"/>
                <w:bCs/>
                <w:i w:val="0"/>
                <w:szCs w:val="24"/>
              </w:rPr>
              <w:t>12</w:t>
            </w:r>
            <w:r w:rsidRPr="009465F6">
              <w:rPr>
                <w:b w:val="0"/>
                <w:bCs/>
                <w:i w:val="0"/>
                <w:szCs w:val="24"/>
              </w:rPr>
              <w:t xml:space="preserve"> </w:t>
            </w:r>
            <w:r>
              <w:rPr>
                <w:b w:val="0"/>
                <w:bCs/>
                <w:i w:val="0"/>
                <w:szCs w:val="24"/>
              </w:rPr>
              <w:t>Enacted</w:t>
            </w:r>
          </w:p>
        </w:tc>
        <w:tc>
          <w:tcPr>
            <w:tcW w:w="1404" w:type="dxa"/>
          </w:tcPr>
          <w:p w:rsidR="00630F6F" w:rsidRPr="009465F6" w:rsidRDefault="00630F6F" w:rsidP="007471A8">
            <w:pPr>
              <w:pStyle w:val="Title"/>
              <w:ind w:left="0"/>
              <w:contextualSpacing/>
              <w:jc w:val="right"/>
              <w:rPr>
                <w:b w:val="0"/>
                <w:bCs/>
                <w:i w:val="0"/>
                <w:szCs w:val="24"/>
              </w:rPr>
            </w:pPr>
            <w:r>
              <w:rPr>
                <w:b w:val="0"/>
                <w:bCs/>
                <w:i w:val="0"/>
                <w:szCs w:val="24"/>
              </w:rPr>
              <w:t>11,948</w:t>
            </w:r>
          </w:p>
        </w:tc>
        <w:tc>
          <w:tcPr>
            <w:tcW w:w="1116" w:type="dxa"/>
          </w:tcPr>
          <w:p w:rsidR="00630F6F" w:rsidRPr="009465F6" w:rsidRDefault="00630F6F" w:rsidP="007471A8">
            <w:pPr>
              <w:pStyle w:val="Title"/>
              <w:ind w:left="0"/>
              <w:contextualSpacing/>
              <w:jc w:val="right"/>
              <w:rPr>
                <w:b w:val="0"/>
                <w:bCs/>
                <w:i w:val="0"/>
                <w:szCs w:val="24"/>
              </w:rPr>
            </w:pPr>
            <w:r>
              <w:rPr>
                <w:b w:val="0"/>
                <w:bCs/>
                <w:i w:val="0"/>
                <w:szCs w:val="24"/>
              </w:rPr>
              <w:t>11,741</w:t>
            </w:r>
          </w:p>
        </w:tc>
        <w:tc>
          <w:tcPr>
            <w:tcW w:w="1728" w:type="dxa"/>
          </w:tcPr>
          <w:p w:rsidR="00630F6F" w:rsidRPr="009465F6" w:rsidRDefault="00630F6F" w:rsidP="007471A8">
            <w:pPr>
              <w:pStyle w:val="Title"/>
              <w:ind w:left="0"/>
              <w:contextualSpacing/>
              <w:jc w:val="right"/>
              <w:rPr>
                <w:b w:val="0"/>
                <w:bCs/>
                <w:i w:val="0"/>
                <w:szCs w:val="24"/>
              </w:rPr>
            </w:pPr>
            <w:r>
              <w:rPr>
                <w:b w:val="0"/>
                <w:bCs/>
                <w:i w:val="0"/>
                <w:szCs w:val="24"/>
              </w:rPr>
              <w:t>2,624,371</w:t>
            </w:r>
          </w:p>
        </w:tc>
      </w:tr>
      <w:tr w:rsidR="00630F6F" w:rsidRPr="009465F6" w:rsidTr="002B03A4">
        <w:trPr>
          <w:jc w:val="center"/>
        </w:trPr>
        <w:tc>
          <w:tcPr>
            <w:tcW w:w="5328" w:type="dxa"/>
          </w:tcPr>
          <w:p w:rsidR="00630F6F" w:rsidRPr="009465F6" w:rsidRDefault="00630F6F" w:rsidP="007471A8">
            <w:pPr>
              <w:pStyle w:val="Title"/>
              <w:ind w:left="0"/>
              <w:contextualSpacing/>
              <w:jc w:val="left"/>
              <w:rPr>
                <w:b w:val="0"/>
                <w:bCs/>
                <w:i w:val="0"/>
                <w:szCs w:val="24"/>
              </w:rPr>
            </w:pPr>
            <w:r w:rsidRPr="009465F6">
              <w:rPr>
                <w:b w:val="0"/>
                <w:bCs/>
                <w:i w:val="0"/>
                <w:szCs w:val="24"/>
              </w:rPr>
              <w:t>Adjustments to Base and Technical Adjustments</w:t>
            </w:r>
          </w:p>
        </w:tc>
        <w:tc>
          <w:tcPr>
            <w:tcW w:w="1404" w:type="dxa"/>
          </w:tcPr>
          <w:p w:rsidR="00630F6F" w:rsidRPr="009465F6" w:rsidRDefault="00630F6F" w:rsidP="007471A8">
            <w:pPr>
              <w:pStyle w:val="Title"/>
              <w:ind w:left="0"/>
              <w:contextualSpacing/>
              <w:jc w:val="right"/>
              <w:rPr>
                <w:b w:val="0"/>
                <w:bCs/>
                <w:i w:val="0"/>
                <w:szCs w:val="24"/>
              </w:rPr>
            </w:pPr>
            <w:r>
              <w:rPr>
                <w:b w:val="0"/>
                <w:bCs/>
                <w:i w:val="0"/>
                <w:szCs w:val="24"/>
              </w:rPr>
              <w:t>6</w:t>
            </w:r>
          </w:p>
        </w:tc>
        <w:tc>
          <w:tcPr>
            <w:tcW w:w="1116" w:type="dxa"/>
          </w:tcPr>
          <w:p w:rsidR="00630F6F" w:rsidRPr="009465F6" w:rsidRDefault="00630F6F" w:rsidP="007471A8">
            <w:pPr>
              <w:pStyle w:val="Title"/>
              <w:ind w:left="0"/>
              <w:contextualSpacing/>
              <w:jc w:val="right"/>
              <w:rPr>
                <w:b w:val="0"/>
                <w:bCs/>
                <w:i w:val="0"/>
                <w:szCs w:val="24"/>
              </w:rPr>
            </w:pPr>
            <w:r>
              <w:rPr>
                <w:b w:val="0"/>
                <w:bCs/>
                <w:i w:val="0"/>
                <w:szCs w:val="24"/>
              </w:rPr>
              <w:t>38</w:t>
            </w:r>
          </w:p>
        </w:tc>
        <w:tc>
          <w:tcPr>
            <w:tcW w:w="1728" w:type="dxa"/>
          </w:tcPr>
          <w:p w:rsidR="00630F6F" w:rsidRPr="009465F6" w:rsidRDefault="00630F6F" w:rsidP="007471A8">
            <w:pPr>
              <w:pStyle w:val="Title"/>
              <w:ind w:left="0"/>
              <w:contextualSpacing/>
              <w:jc w:val="right"/>
              <w:rPr>
                <w:b w:val="0"/>
                <w:bCs/>
                <w:i w:val="0"/>
                <w:szCs w:val="24"/>
              </w:rPr>
            </w:pPr>
            <w:r>
              <w:rPr>
                <w:b w:val="0"/>
                <w:bCs/>
                <w:i w:val="0"/>
                <w:szCs w:val="24"/>
              </w:rPr>
              <w:t>47,861</w:t>
            </w:r>
          </w:p>
        </w:tc>
      </w:tr>
      <w:tr w:rsidR="00630F6F" w:rsidRPr="009465F6" w:rsidTr="002B03A4">
        <w:trPr>
          <w:jc w:val="center"/>
        </w:trPr>
        <w:tc>
          <w:tcPr>
            <w:tcW w:w="5328" w:type="dxa"/>
          </w:tcPr>
          <w:p w:rsidR="00630F6F" w:rsidRPr="009465F6" w:rsidRDefault="00630F6F" w:rsidP="007471A8">
            <w:pPr>
              <w:pStyle w:val="Title"/>
              <w:ind w:left="0"/>
              <w:contextualSpacing/>
              <w:jc w:val="left"/>
              <w:rPr>
                <w:b w:val="0"/>
                <w:bCs/>
                <w:i w:val="0"/>
                <w:szCs w:val="24"/>
              </w:rPr>
            </w:pPr>
            <w:r>
              <w:rPr>
                <w:b w:val="0"/>
                <w:bCs/>
                <w:i w:val="0"/>
                <w:szCs w:val="24"/>
              </w:rPr>
              <w:t>2013 Current Services</w:t>
            </w:r>
          </w:p>
        </w:tc>
        <w:tc>
          <w:tcPr>
            <w:tcW w:w="1404" w:type="dxa"/>
          </w:tcPr>
          <w:p w:rsidR="00630F6F" w:rsidRPr="009465F6" w:rsidRDefault="00630F6F" w:rsidP="007471A8">
            <w:pPr>
              <w:pStyle w:val="Title"/>
              <w:ind w:left="0"/>
              <w:contextualSpacing/>
              <w:jc w:val="right"/>
              <w:rPr>
                <w:b w:val="0"/>
                <w:bCs/>
                <w:i w:val="0"/>
                <w:szCs w:val="24"/>
              </w:rPr>
            </w:pPr>
            <w:r>
              <w:rPr>
                <w:b w:val="0"/>
                <w:bCs/>
                <w:i w:val="0"/>
                <w:szCs w:val="24"/>
              </w:rPr>
              <w:t>11,954</w:t>
            </w:r>
          </w:p>
        </w:tc>
        <w:tc>
          <w:tcPr>
            <w:tcW w:w="1116" w:type="dxa"/>
          </w:tcPr>
          <w:p w:rsidR="00630F6F" w:rsidRPr="009465F6" w:rsidRDefault="00630F6F" w:rsidP="007471A8">
            <w:pPr>
              <w:pStyle w:val="Title"/>
              <w:ind w:left="0"/>
              <w:contextualSpacing/>
              <w:jc w:val="right"/>
              <w:rPr>
                <w:b w:val="0"/>
                <w:bCs/>
                <w:i w:val="0"/>
                <w:szCs w:val="24"/>
              </w:rPr>
            </w:pPr>
            <w:r>
              <w:rPr>
                <w:b w:val="0"/>
                <w:bCs/>
                <w:i w:val="0"/>
                <w:szCs w:val="24"/>
              </w:rPr>
              <w:t>11,779</w:t>
            </w:r>
          </w:p>
        </w:tc>
        <w:tc>
          <w:tcPr>
            <w:tcW w:w="1728" w:type="dxa"/>
          </w:tcPr>
          <w:p w:rsidR="00630F6F" w:rsidRPr="009465F6" w:rsidRDefault="00630F6F" w:rsidP="007471A8">
            <w:pPr>
              <w:pStyle w:val="Title"/>
              <w:ind w:left="0"/>
              <w:contextualSpacing/>
              <w:jc w:val="right"/>
              <w:rPr>
                <w:b w:val="0"/>
                <w:bCs/>
                <w:i w:val="0"/>
                <w:szCs w:val="24"/>
              </w:rPr>
            </w:pPr>
            <w:r>
              <w:rPr>
                <w:b w:val="0"/>
                <w:bCs/>
                <w:i w:val="0"/>
                <w:szCs w:val="24"/>
              </w:rPr>
              <w:t>2,672,232</w:t>
            </w:r>
          </w:p>
        </w:tc>
      </w:tr>
      <w:tr w:rsidR="00630F6F" w:rsidRPr="009465F6" w:rsidTr="002B03A4">
        <w:trPr>
          <w:jc w:val="center"/>
        </w:trPr>
        <w:tc>
          <w:tcPr>
            <w:tcW w:w="5328" w:type="dxa"/>
          </w:tcPr>
          <w:p w:rsidR="00630F6F" w:rsidRPr="009465F6" w:rsidRDefault="00630F6F" w:rsidP="007471A8">
            <w:pPr>
              <w:pStyle w:val="Title"/>
              <w:ind w:left="0"/>
              <w:contextualSpacing/>
              <w:jc w:val="left"/>
              <w:rPr>
                <w:b w:val="0"/>
                <w:bCs/>
                <w:i w:val="0"/>
                <w:szCs w:val="24"/>
              </w:rPr>
            </w:pPr>
            <w:r w:rsidRPr="009465F6">
              <w:rPr>
                <w:b w:val="0"/>
                <w:bCs/>
                <w:i w:val="0"/>
                <w:szCs w:val="24"/>
              </w:rPr>
              <w:t>20</w:t>
            </w:r>
            <w:r>
              <w:rPr>
                <w:b w:val="0"/>
                <w:bCs/>
                <w:i w:val="0"/>
                <w:szCs w:val="24"/>
              </w:rPr>
              <w:t>13 Program Increases</w:t>
            </w:r>
          </w:p>
        </w:tc>
        <w:tc>
          <w:tcPr>
            <w:tcW w:w="1404" w:type="dxa"/>
          </w:tcPr>
          <w:p w:rsidR="00630F6F" w:rsidRPr="009465F6" w:rsidRDefault="00630F6F" w:rsidP="007471A8">
            <w:pPr>
              <w:pStyle w:val="Title"/>
              <w:ind w:left="0"/>
              <w:contextualSpacing/>
              <w:jc w:val="right"/>
              <w:rPr>
                <w:b w:val="0"/>
                <w:bCs/>
                <w:i w:val="0"/>
                <w:szCs w:val="24"/>
              </w:rPr>
            </w:pPr>
            <w:r>
              <w:rPr>
                <w:b w:val="0"/>
                <w:bCs/>
                <w:i w:val="0"/>
                <w:szCs w:val="24"/>
              </w:rPr>
              <w:t>44</w:t>
            </w:r>
          </w:p>
        </w:tc>
        <w:tc>
          <w:tcPr>
            <w:tcW w:w="1116" w:type="dxa"/>
          </w:tcPr>
          <w:p w:rsidR="00630F6F" w:rsidRPr="009465F6" w:rsidRDefault="00630F6F" w:rsidP="007471A8">
            <w:pPr>
              <w:pStyle w:val="Title"/>
              <w:ind w:left="0"/>
              <w:contextualSpacing/>
              <w:jc w:val="right"/>
              <w:rPr>
                <w:b w:val="0"/>
                <w:bCs/>
                <w:i w:val="0"/>
                <w:szCs w:val="24"/>
              </w:rPr>
            </w:pPr>
            <w:r>
              <w:rPr>
                <w:b w:val="0"/>
                <w:bCs/>
                <w:i w:val="0"/>
                <w:szCs w:val="24"/>
              </w:rPr>
              <w:t>22</w:t>
            </w:r>
          </w:p>
        </w:tc>
        <w:tc>
          <w:tcPr>
            <w:tcW w:w="1728" w:type="dxa"/>
          </w:tcPr>
          <w:p w:rsidR="00630F6F" w:rsidRPr="009465F6" w:rsidRDefault="00630F6F" w:rsidP="007471A8">
            <w:pPr>
              <w:pStyle w:val="Title"/>
              <w:ind w:left="0"/>
              <w:contextualSpacing/>
              <w:jc w:val="right"/>
              <w:rPr>
                <w:b w:val="0"/>
                <w:bCs/>
                <w:i w:val="0"/>
                <w:szCs w:val="24"/>
              </w:rPr>
            </w:pPr>
            <w:r>
              <w:rPr>
                <w:b w:val="0"/>
                <w:bCs/>
                <w:i w:val="0"/>
                <w:szCs w:val="24"/>
              </w:rPr>
              <w:t>8,793</w:t>
            </w:r>
          </w:p>
        </w:tc>
      </w:tr>
      <w:tr w:rsidR="00630F6F" w:rsidRPr="009465F6" w:rsidTr="002B03A4">
        <w:trPr>
          <w:jc w:val="center"/>
        </w:trPr>
        <w:tc>
          <w:tcPr>
            <w:tcW w:w="5328" w:type="dxa"/>
          </w:tcPr>
          <w:p w:rsidR="00630F6F" w:rsidRDefault="00630F6F" w:rsidP="007471A8">
            <w:pPr>
              <w:pStyle w:val="Title"/>
              <w:ind w:left="0"/>
              <w:contextualSpacing/>
              <w:jc w:val="left"/>
              <w:rPr>
                <w:b w:val="0"/>
                <w:bCs/>
                <w:i w:val="0"/>
                <w:szCs w:val="24"/>
              </w:rPr>
            </w:pPr>
            <w:r>
              <w:rPr>
                <w:b w:val="0"/>
                <w:bCs/>
                <w:i w:val="0"/>
                <w:szCs w:val="24"/>
              </w:rPr>
              <w:t>2013 Program Offsets</w:t>
            </w:r>
          </w:p>
        </w:tc>
        <w:tc>
          <w:tcPr>
            <w:tcW w:w="1404" w:type="dxa"/>
          </w:tcPr>
          <w:p w:rsidR="00630F6F" w:rsidRDefault="00630F6F" w:rsidP="007471A8">
            <w:pPr>
              <w:pStyle w:val="Title"/>
              <w:ind w:left="0"/>
              <w:contextualSpacing/>
              <w:jc w:val="right"/>
              <w:rPr>
                <w:b w:val="0"/>
                <w:bCs/>
                <w:i w:val="0"/>
                <w:szCs w:val="24"/>
              </w:rPr>
            </w:pPr>
            <w:r>
              <w:rPr>
                <w:b w:val="0"/>
                <w:bCs/>
                <w:i w:val="0"/>
                <w:szCs w:val="24"/>
              </w:rPr>
              <w:t>…</w:t>
            </w:r>
          </w:p>
        </w:tc>
        <w:tc>
          <w:tcPr>
            <w:tcW w:w="1116" w:type="dxa"/>
          </w:tcPr>
          <w:p w:rsidR="00630F6F" w:rsidRDefault="00630F6F" w:rsidP="007471A8">
            <w:pPr>
              <w:pStyle w:val="Title"/>
              <w:ind w:left="0"/>
              <w:contextualSpacing/>
              <w:jc w:val="right"/>
              <w:rPr>
                <w:b w:val="0"/>
                <w:bCs/>
                <w:i w:val="0"/>
                <w:szCs w:val="24"/>
              </w:rPr>
            </w:pPr>
            <w:r>
              <w:rPr>
                <w:b w:val="0"/>
                <w:bCs/>
                <w:i w:val="0"/>
                <w:szCs w:val="24"/>
              </w:rPr>
              <w:t>…</w:t>
            </w:r>
          </w:p>
        </w:tc>
        <w:tc>
          <w:tcPr>
            <w:tcW w:w="1728" w:type="dxa"/>
          </w:tcPr>
          <w:p w:rsidR="00630F6F" w:rsidRDefault="00630F6F" w:rsidP="007471A8">
            <w:pPr>
              <w:pStyle w:val="Title"/>
              <w:ind w:left="0"/>
              <w:contextualSpacing/>
              <w:jc w:val="right"/>
              <w:rPr>
                <w:b w:val="0"/>
                <w:bCs/>
                <w:i w:val="0"/>
                <w:szCs w:val="24"/>
              </w:rPr>
            </w:pPr>
            <w:r>
              <w:rPr>
                <w:b w:val="0"/>
                <w:bCs/>
                <w:i w:val="0"/>
                <w:szCs w:val="24"/>
              </w:rPr>
              <w:t>(15,608)</w:t>
            </w:r>
          </w:p>
        </w:tc>
      </w:tr>
      <w:tr w:rsidR="00630F6F" w:rsidRPr="009465F6" w:rsidTr="002B03A4">
        <w:trPr>
          <w:jc w:val="center"/>
        </w:trPr>
        <w:tc>
          <w:tcPr>
            <w:tcW w:w="5328" w:type="dxa"/>
          </w:tcPr>
          <w:p w:rsidR="00630F6F" w:rsidRPr="009465F6" w:rsidRDefault="00630F6F" w:rsidP="007471A8">
            <w:pPr>
              <w:pStyle w:val="Title"/>
              <w:ind w:left="0"/>
              <w:contextualSpacing/>
              <w:jc w:val="left"/>
              <w:rPr>
                <w:b w:val="0"/>
                <w:bCs/>
                <w:i w:val="0"/>
                <w:szCs w:val="24"/>
              </w:rPr>
            </w:pPr>
            <w:r>
              <w:rPr>
                <w:b w:val="0"/>
                <w:bCs/>
                <w:i w:val="0"/>
                <w:szCs w:val="24"/>
              </w:rPr>
              <w:t>2013 Request</w:t>
            </w:r>
          </w:p>
        </w:tc>
        <w:tc>
          <w:tcPr>
            <w:tcW w:w="1404" w:type="dxa"/>
          </w:tcPr>
          <w:p w:rsidR="00630F6F" w:rsidRPr="009465F6" w:rsidRDefault="00630F6F" w:rsidP="007471A8">
            <w:pPr>
              <w:pStyle w:val="Title"/>
              <w:ind w:left="0"/>
              <w:contextualSpacing/>
              <w:jc w:val="right"/>
              <w:rPr>
                <w:b w:val="0"/>
                <w:bCs/>
                <w:i w:val="0"/>
                <w:szCs w:val="24"/>
              </w:rPr>
            </w:pPr>
            <w:r>
              <w:rPr>
                <w:b w:val="0"/>
                <w:bCs/>
                <w:i w:val="0"/>
                <w:szCs w:val="24"/>
              </w:rPr>
              <w:t>11,998</w:t>
            </w:r>
          </w:p>
        </w:tc>
        <w:tc>
          <w:tcPr>
            <w:tcW w:w="1116" w:type="dxa"/>
          </w:tcPr>
          <w:p w:rsidR="00630F6F" w:rsidRPr="009465F6" w:rsidRDefault="00630F6F" w:rsidP="007471A8">
            <w:pPr>
              <w:pStyle w:val="Title"/>
              <w:ind w:left="0"/>
              <w:contextualSpacing/>
              <w:jc w:val="right"/>
              <w:rPr>
                <w:b w:val="0"/>
                <w:bCs/>
                <w:i w:val="0"/>
                <w:szCs w:val="24"/>
              </w:rPr>
            </w:pPr>
            <w:r>
              <w:rPr>
                <w:b w:val="0"/>
                <w:bCs/>
                <w:i w:val="0"/>
                <w:szCs w:val="24"/>
              </w:rPr>
              <w:t>11,801</w:t>
            </w:r>
          </w:p>
        </w:tc>
        <w:tc>
          <w:tcPr>
            <w:tcW w:w="1728" w:type="dxa"/>
          </w:tcPr>
          <w:p w:rsidR="00630F6F" w:rsidRPr="009465F6" w:rsidRDefault="00630F6F" w:rsidP="007471A8">
            <w:pPr>
              <w:pStyle w:val="Title"/>
              <w:ind w:left="0"/>
              <w:contextualSpacing/>
              <w:jc w:val="right"/>
              <w:rPr>
                <w:b w:val="0"/>
                <w:bCs/>
                <w:i w:val="0"/>
                <w:szCs w:val="24"/>
              </w:rPr>
            </w:pPr>
            <w:r>
              <w:rPr>
                <w:b w:val="0"/>
                <w:bCs/>
                <w:i w:val="0"/>
                <w:szCs w:val="24"/>
              </w:rPr>
              <w:t xml:space="preserve">2,665,417      </w:t>
            </w:r>
          </w:p>
        </w:tc>
      </w:tr>
      <w:tr w:rsidR="00630F6F" w:rsidRPr="009465F6" w:rsidTr="002B03A4">
        <w:trPr>
          <w:jc w:val="center"/>
        </w:trPr>
        <w:tc>
          <w:tcPr>
            <w:tcW w:w="5328" w:type="dxa"/>
            <w:shd w:val="clear" w:color="auto" w:fill="C0C0C0"/>
          </w:tcPr>
          <w:p w:rsidR="00630F6F" w:rsidRPr="00462810" w:rsidRDefault="00630F6F" w:rsidP="007471A8">
            <w:pPr>
              <w:pStyle w:val="Title"/>
              <w:ind w:left="0"/>
              <w:contextualSpacing/>
              <w:jc w:val="left"/>
              <w:rPr>
                <w:i w:val="0"/>
                <w:szCs w:val="24"/>
              </w:rPr>
            </w:pPr>
            <w:r w:rsidRPr="00462810">
              <w:rPr>
                <w:i w:val="0"/>
                <w:szCs w:val="24"/>
              </w:rPr>
              <w:t>Total Change 201</w:t>
            </w:r>
            <w:r>
              <w:rPr>
                <w:i w:val="0"/>
                <w:szCs w:val="24"/>
              </w:rPr>
              <w:t>2</w:t>
            </w:r>
            <w:r w:rsidRPr="00462810">
              <w:rPr>
                <w:i w:val="0"/>
                <w:szCs w:val="24"/>
              </w:rPr>
              <w:t>-201</w:t>
            </w:r>
            <w:r>
              <w:rPr>
                <w:i w:val="0"/>
                <w:szCs w:val="24"/>
              </w:rPr>
              <w:t>3</w:t>
            </w:r>
          </w:p>
        </w:tc>
        <w:tc>
          <w:tcPr>
            <w:tcW w:w="1404" w:type="dxa"/>
            <w:shd w:val="clear" w:color="auto" w:fill="C0C0C0"/>
          </w:tcPr>
          <w:p w:rsidR="00630F6F" w:rsidRPr="00462810" w:rsidRDefault="00630F6F" w:rsidP="007471A8">
            <w:pPr>
              <w:pStyle w:val="Title"/>
              <w:ind w:left="0"/>
              <w:contextualSpacing/>
              <w:jc w:val="right"/>
              <w:rPr>
                <w:i w:val="0"/>
                <w:szCs w:val="24"/>
              </w:rPr>
            </w:pPr>
            <w:r>
              <w:rPr>
                <w:i w:val="0"/>
                <w:szCs w:val="24"/>
              </w:rPr>
              <w:t>50</w:t>
            </w:r>
          </w:p>
        </w:tc>
        <w:tc>
          <w:tcPr>
            <w:tcW w:w="1116" w:type="dxa"/>
            <w:shd w:val="clear" w:color="auto" w:fill="C0C0C0"/>
          </w:tcPr>
          <w:p w:rsidR="00630F6F" w:rsidRPr="00462810" w:rsidRDefault="00630F6F" w:rsidP="007471A8">
            <w:pPr>
              <w:pStyle w:val="Title"/>
              <w:ind w:left="0"/>
              <w:contextualSpacing/>
              <w:jc w:val="right"/>
              <w:rPr>
                <w:i w:val="0"/>
                <w:szCs w:val="24"/>
              </w:rPr>
            </w:pPr>
            <w:r>
              <w:rPr>
                <w:i w:val="0"/>
                <w:szCs w:val="24"/>
              </w:rPr>
              <w:t>60</w:t>
            </w:r>
          </w:p>
        </w:tc>
        <w:tc>
          <w:tcPr>
            <w:tcW w:w="1728" w:type="dxa"/>
            <w:shd w:val="clear" w:color="auto" w:fill="C0C0C0"/>
          </w:tcPr>
          <w:p w:rsidR="00630F6F" w:rsidRPr="00462810" w:rsidRDefault="00630F6F" w:rsidP="007471A8">
            <w:pPr>
              <w:pStyle w:val="Title"/>
              <w:ind w:left="0"/>
              <w:contextualSpacing/>
              <w:jc w:val="right"/>
              <w:rPr>
                <w:i w:val="0"/>
                <w:szCs w:val="24"/>
              </w:rPr>
            </w:pPr>
            <w:r>
              <w:rPr>
                <w:i w:val="0"/>
                <w:szCs w:val="24"/>
              </w:rPr>
              <w:t>$41,046</w:t>
            </w:r>
          </w:p>
        </w:tc>
      </w:tr>
    </w:tbl>
    <w:p w:rsidR="000906AA" w:rsidRDefault="000906AA" w:rsidP="007471A8">
      <w:pPr>
        <w:pStyle w:val="xl27"/>
        <w:spacing w:before="0" w:after="0"/>
        <w:contextualSpacing/>
        <w:rPr>
          <w:rFonts w:ascii="Times New Roman" w:hAnsi="Times New Roman"/>
        </w:rPr>
      </w:pPr>
    </w:p>
    <w:p w:rsidR="00630F6F" w:rsidRPr="00655FE7" w:rsidRDefault="00630F6F" w:rsidP="007471A8">
      <w:pPr>
        <w:pStyle w:val="xl27"/>
        <w:spacing w:before="0" w:after="0"/>
        <w:contextualSpacing/>
        <w:rPr>
          <w:rFonts w:ascii="Times New Roman" w:hAnsi="Times New Roman"/>
        </w:rPr>
      </w:pPr>
      <w:r w:rsidRPr="00655FE7">
        <w:rPr>
          <w:rFonts w:ascii="Times New Roman" w:hAnsi="Times New Roman"/>
        </w:rPr>
        <w:t>1.  Program Description</w:t>
      </w:r>
    </w:p>
    <w:p w:rsidR="00630F6F" w:rsidRDefault="00630F6F" w:rsidP="007471A8">
      <w:pPr>
        <w:contextualSpacing/>
      </w:pPr>
      <w:r w:rsidRPr="00655FE7">
        <w:t>The Criminal Enterprises and Federal Crimes (CEFC) decision unit (DU) comprises all headquarters and field programs that support the FBI's criminal investigative missions.  The DU includes:</w:t>
      </w:r>
    </w:p>
    <w:p w:rsidR="00630F6F" w:rsidRPr="00655FE7" w:rsidRDefault="00630F6F" w:rsidP="007471A8">
      <w:pPr>
        <w:pStyle w:val="ListBullet"/>
        <w:tabs>
          <w:tab w:val="clear" w:pos="360"/>
          <w:tab w:val="num" w:pos="720"/>
        </w:tabs>
        <w:ind w:left="720"/>
      </w:pPr>
      <w:r w:rsidRPr="00655FE7">
        <w:t>The FBI’s Organized Crime, the Gang/Criminal Enterprise (G/CE), and the Criminal Intelligence programs;</w:t>
      </w:r>
    </w:p>
    <w:p w:rsidR="00630F6F" w:rsidRPr="00655FE7" w:rsidRDefault="00630F6F" w:rsidP="007471A8">
      <w:pPr>
        <w:pStyle w:val="ListBullet"/>
        <w:tabs>
          <w:tab w:val="clear" w:pos="360"/>
          <w:tab w:val="num" w:pos="720"/>
        </w:tabs>
        <w:ind w:left="720"/>
      </w:pPr>
      <w:r w:rsidRPr="00655FE7">
        <w:t>The Financial Crime, Integrity in Government/Civil Rights, and Violent Crime programs;</w:t>
      </w:r>
    </w:p>
    <w:p w:rsidR="00630F6F" w:rsidRDefault="00630F6F" w:rsidP="007471A8">
      <w:pPr>
        <w:pStyle w:val="ListBullet"/>
        <w:tabs>
          <w:tab w:val="clear" w:pos="360"/>
          <w:tab w:val="num" w:pos="720"/>
        </w:tabs>
        <w:ind w:left="720"/>
      </w:pPr>
      <w:r w:rsidRPr="00655FE7">
        <w:t>The Public Corruption and Government Fraud programs</w:t>
      </w:r>
      <w:r w:rsidR="00252181">
        <w:t>, part of the Financial Crime program,</w:t>
      </w:r>
      <w:r w:rsidRPr="00655FE7">
        <w:t xml:space="preserve"> which investigate state, local and federal government acts of impropriety, including the rising level of federal and state legislative corruption;</w:t>
      </w:r>
    </w:p>
    <w:p w:rsidR="00630F6F" w:rsidRPr="00655FE7" w:rsidRDefault="00630F6F" w:rsidP="007471A8">
      <w:pPr>
        <w:pStyle w:val="ListBullet"/>
        <w:tabs>
          <w:tab w:val="clear" w:pos="360"/>
          <w:tab w:val="num" w:pos="720"/>
        </w:tabs>
        <w:ind w:left="720"/>
      </w:pPr>
      <w:r>
        <w:t>The c</w:t>
      </w:r>
      <w:r w:rsidRPr="00537201">
        <w:t>riminal investigative components of</w:t>
      </w:r>
      <w:r>
        <w:t xml:space="preserve"> the Cyber Division's programs to include,  Criminal Computer Intrusions, Intellectual Property Rights violations, the </w:t>
      </w:r>
      <w:r w:rsidRPr="00537201">
        <w:t>Innocent Images National Initiative (IINI)</w:t>
      </w:r>
      <w:r>
        <w:t>,</w:t>
      </w:r>
      <w:r w:rsidRPr="00537201">
        <w:t xml:space="preserve"> and the Internet </w:t>
      </w:r>
      <w:r>
        <w:t>Crime</w:t>
      </w:r>
      <w:r w:rsidRPr="00537201">
        <w:t xml:space="preserve"> Complaint Center (IC</w:t>
      </w:r>
      <w:r>
        <w:t>3); and</w:t>
      </w:r>
    </w:p>
    <w:p w:rsidR="00630F6F" w:rsidRPr="00655FE7" w:rsidRDefault="00630F6F" w:rsidP="007471A8">
      <w:pPr>
        <w:pStyle w:val="ListBullet"/>
        <w:tabs>
          <w:tab w:val="clear" w:pos="360"/>
          <w:tab w:val="num" w:pos="720"/>
        </w:tabs>
        <w:ind w:left="720"/>
      </w:pPr>
      <w:r w:rsidRPr="00655FE7">
        <w:t>A share of the FBI's Legal Attaché (</w:t>
      </w:r>
      <w:proofErr w:type="spellStart"/>
      <w:r w:rsidRPr="00655FE7">
        <w:t>Legat</w:t>
      </w:r>
      <w:proofErr w:type="spellEnd"/>
      <w:r w:rsidRPr="00655FE7">
        <w:t xml:space="preserve">) program.  </w:t>
      </w:r>
    </w:p>
    <w:p w:rsidR="00630F6F" w:rsidRPr="00655FE7" w:rsidRDefault="00630F6F" w:rsidP="007471A8">
      <w:pPr>
        <w:contextualSpacing/>
      </w:pPr>
    </w:p>
    <w:p w:rsidR="00630F6F" w:rsidRPr="00655FE7" w:rsidRDefault="00630F6F" w:rsidP="007471A8">
      <w:pPr>
        <w:contextualSpacing/>
      </w:pPr>
      <w:r w:rsidRPr="00655FE7">
        <w:t xml:space="preserve">Additionally, the decision unit includes a </w:t>
      </w:r>
      <w:proofErr w:type="spellStart"/>
      <w:r w:rsidRPr="00655FE7">
        <w:t>prorata</w:t>
      </w:r>
      <w:proofErr w:type="spellEnd"/>
      <w:r w:rsidRPr="00655FE7">
        <w:t xml:space="preserve"> share of resources from the FBI's support divisions (including Training, Laboratory, Security, Information Technology, and the administrative divisions and offices).</w:t>
      </w:r>
    </w:p>
    <w:p w:rsidR="00630F6F" w:rsidRPr="00655FE7" w:rsidRDefault="00630F6F" w:rsidP="007471A8">
      <w:pPr>
        <w:contextualSpacing/>
      </w:pPr>
    </w:p>
    <w:p w:rsidR="00630F6F" w:rsidRDefault="00630F6F" w:rsidP="007471A8">
      <w:pPr>
        <w:contextualSpacing/>
      </w:pPr>
      <w:r w:rsidRPr="00655FE7">
        <w:t>The structure of the FBI’s Criminal Intelligence Program maximizes the effectiveness of resources, improves investigation and intelligence gathering processes, focuses on threats from criminal enterprises, and promotes the collection, exchange and dissemination of intelligence throughout the FBI and other authorized agencies.</w:t>
      </w:r>
    </w:p>
    <w:p w:rsidR="00630F6F" w:rsidRDefault="00630F6F" w:rsidP="007471A8">
      <w:pPr>
        <w:contextualSpacing/>
      </w:pPr>
    </w:p>
    <w:p w:rsidR="00630F6F" w:rsidRPr="005E0838" w:rsidRDefault="00630F6F" w:rsidP="007471A8">
      <w:pPr>
        <w:contextualSpacing/>
        <w:rPr>
          <w:i/>
          <w:iCs/>
        </w:rPr>
      </w:pPr>
      <w:r w:rsidRPr="00D26402">
        <w:rPr>
          <w:b/>
          <w:bCs/>
        </w:rPr>
        <w:t>Financial Crime</w:t>
      </w:r>
    </w:p>
    <w:p w:rsidR="00630F6F" w:rsidRDefault="00630F6F" w:rsidP="007471A8">
      <w:pPr>
        <w:contextualSpacing/>
        <w:rPr>
          <w:b/>
          <w:bCs/>
          <w:i/>
          <w:iCs/>
        </w:rPr>
      </w:pPr>
    </w:p>
    <w:p w:rsidR="00630F6F" w:rsidRPr="009552BF" w:rsidRDefault="00630F6F" w:rsidP="007471A8">
      <w:pPr>
        <w:contextualSpacing/>
        <w:rPr>
          <w:rStyle w:val="Strong"/>
          <w:b w:val="0"/>
        </w:rPr>
      </w:pPr>
      <w:r w:rsidRPr="008664C5">
        <w:rPr>
          <w:rStyle w:val="Strong"/>
          <w:i/>
        </w:rPr>
        <w:t>White Collar Crime</w:t>
      </w:r>
      <w:r w:rsidRPr="008664C5">
        <w:rPr>
          <w:rStyle w:val="Strong"/>
        </w:rPr>
        <w:t xml:space="preserve">:  </w:t>
      </w:r>
      <w:r w:rsidRPr="009552BF">
        <w:rPr>
          <w:rStyle w:val="Strong"/>
          <w:b w:val="0"/>
        </w:rPr>
        <w:t xml:space="preserve">The White Collar Crime (WCC) program addresses the following principal threats: public corruption (including government fraud, economic stimulus fraud, and border corruption); corporate fraud; securities and commodities fraud; mortgage fraud and other financial institution fraud; health care fraud; money laundering; and other complex financial crimes.  </w:t>
      </w:r>
    </w:p>
    <w:p w:rsidR="00630F6F" w:rsidRPr="009552BF" w:rsidRDefault="00630F6F" w:rsidP="007471A8">
      <w:pPr>
        <w:contextualSpacing/>
        <w:rPr>
          <w:rStyle w:val="Strong"/>
          <w:b w:val="0"/>
        </w:rPr>
      </w:pPr>
    </w:p>
    <w:p w:rsidR="00630F6F" w:rsidRPr="009552BF" w:rsidRDefault="00630F6F" w:rsidP="007471A8">
      <w:pPr>
        <w:pStyle w:val="ListParagraph"/>
        <w:numPr>
          <w:ilvl w:val="0"/>
          <w:numId w:val="56"/>
        </w:numPr>
        <w:contextualSpacing/>
        <w:rPr>
          <w:rStyle w:val="Strong"/>
          <w:b w:val="0"/>
        </w:rPr>
      </w:pPr>
      <w:r w:rsidRPr="009552BF">
        <w:rPr>
          <w:rStyle w:val="Strong"/>
          <w:b w:val="0"/>
          <w:u w:val="single"/>
        </w:rPr>
        <w:t>Public Corruption</w:t>
      </w:r>
      <w:r w:rsidRPr="009552BF">
        <w:rPr>
          <w:rStyle w:val="Strong"/>
          <w:b w:val="0"/>
        </w:rPr>
        <w:t xml:space="preserve">: Corruption undermines our democratic institutions and threatens public safety and national security.  Public corruption involves the corruption of local, state, and federally-elected, appointed, or contracted officials.  Government fraud can affect everything ranging from how well U.S. borders are secured and neighborhoods protected; to court verdicts and the quality </w:t>
      </w:r>
      <w:r w:rsidRPr="009552BF">
        <w:rPr>
          <w:rStyle w:val="Strong"/>
          <w:b w:val="0"/>
        </w:rPr>
        <w:lastRenderedPageBreak/>
        <w:t xml:space="preserve">of public infrastructure.  Many taxpayer dollars are wasted or lost as a result of corrupt acts by public officials.  </w:t>
      </w:r>
    </w:p>
    <w:p w:rsidR="00630F6F" w:rsidRPr="009552BF" w:rsidRDefault="00630F6F" w:rsidP="007471A8">
      <w:pPr>
        <w:contextualSpacing/>
        <w:rPr>
          <w:rStyle w:val="Strong"/>
          <w:b w:val="0"/>
        </w:rPr>
      </w:pPr>
    </w:p>
    <w:p w:rsidR="00630F6F" w:rsidRPr="009552BF" w:rsidRDefault="00630F6F" w:rsidP="007471A8">
      <w:pPr>
        <w:pStyle w:val="ListParagraph"/>
        <w:numPr>
          <w:ilvl w:val="0"/>
          <w:numId w:val="56"/>
        </w:numPr>
        <w:contextualSpacing/>
        <w:rPr>
          <w:rStyle w:val="Strong"/>
          <w:b w:val="0"/>
        </w:rPr>
      </w:pPr>
      <w:r w:rsidRPr="009552BF">
        <w:rPr>
          <w:rStyle w:val="Strong"/>
          <w:b w:val="0"/>
          <w:u w:val="single"/>
        </w:rPr>
        <w:t>Border Corruption</w:t>
      </w:r>
      <w:r w:rsidRPr="009552BF">
        <w:rPr>
          <w:rStyle w:val="Strong"/>
          <w:b w:val="0"/>
        </w:rPr>
        <w:t>: The federal government is responsible for protecting approximately 7,000 miles of the U.S. border and 95,000 miles of shoreline.  Each day, approximately 1.1 million persons visit the U.S. and enter through one of the 327 official Ports of Entry (POEs) located along the southwestern and northern land borders of the U.S., as well as at seaports and international airports. The documented presence of corrupt border officials facilitates a wide range of illegal activities along the northern and southern borders.  Resource-rich cartels and criminal enterprises employ a variety of methods in order to target and recruit U.S. Border Patrol Agents, Customs and Border Protection Officers, and local police officers who can facilitate criminal activity.  Corrupt officials assist the</w:t>
      </w:r>
      <w:r w:rsidR="005842DA">
        <w:rPr>
          <w:rStyle w:val="Strong"/>
          <w:b w:val="0"/>
        </w:rPr>
        <w:t xml:space="preserve">se entities </w:t>
      </w:r>
      <w:r w:rsidRPr="009552BF">
        <w:rPr>
          <w:rStyle w:val="Strong"/>
          <w:b w:val="0"/>
        </w:rPr>
        <w:t xml:space="preserve">by providing intelligence and contraband across these borders. To help address this threat, the Border Corruption Initiative (BCI) was established in 2009.  The BCI has developed a threat-tiered methodology, targeting border corruption in all land, air and sea ports of entry in order to mitigate the threat posed to national security.  The FBI has established the National Border Corruption Task Force (NBCTF) and established </w:t>
      </w:r>
      <w:r w:rsidR="00081A77">
        <w:rPr>
          <w:rStyle w:val="Strong"/>
          <w:b w:val="0"/>
        </w:rPr>
        <w:t>2</w:t>
      </w:r>
      <w:r w:rsidRPr="009552BF">
        <w:rPr>
          <w:rStyle w:val="Strong"/>
          <w:b w:val="0"/>
        </w:rPr>
        <w:t>1</w:t>
      </w:r>
      <w:r w:rsidR="00081A77">
        <w:rPr>
          <w:rStyle w:val="Strong"/>
          <w:b w:val="0"/>
        </w:rPr>
        <w:t xml:space="preserve"> </w:t>
      </w:r>
      <w:r w:rsidRPr="009552BF">
        <w:rPr>
          <w:rStyle w:val="Strong"/>
          <w:b w:val="0"/>
        </w:rPr>
        <w:t xml:space="preserve">Border Corruption Task Forces (BCTFs) in high-risk cities along the northern and southern borders.  </w:t>
      </w:r>
    </w:p>
    <w:p w:rsidR="00630F6F" w:rsidRPr="009552BF" w:rsidRDefault="00630F6F" w:rsidP="007471A8">
      <w:pPr>
        <w:contextualSpacing/>
        <w:rPr>
          <w:rStyle w:val="Strong"/>
          <w:b w:val="0"/>
        </w:rPr>
      </w:pPr>
    </w:p>
    <w:p w:rsidR="00630F6F" w:rsidRPr="009552BF" w:rsidRDefault="00630F6F" w:rsidP="007471A8">
      <w:pPr>
        <w:pStyle w:val="ListParagraph"/>
        <w:numPr>
          <w:ilvl w:val="0"/>
          <w:numId w:val="56"/>
        </w:numPr>
        <w:contextualSpacing/>
        <w:rPr>
          <w:rStyle w:val="Strong"/>
          <w:b w:val="0"/>
        </w:rPr>
      </w:pPr>
      <w:r w:rsidRPr="009552BF">
        <w:rPr>
          <w:rStyle w:val="Strong"/>
          <w:b w:val="0"/>
          <w:u w:val="single"/>
        </w:rPr>
        <w:t>Corporate Fraud</w:t>
      </w:r>
      <w:r w:rsidRPr="009552BF">
        <w:rPr>
          <w:rStyle w:val="Strong"/>
          <w:b w:val="0"/>
        </w:rPr>
        <w:t>: As the lead agency investigating corporate fraud, the FBI focuses on cases involving complex accounting schemes, self-dealing corporate executives (e.g. insider trading), and obstruction of justice.  The majority of cases pursued by the Bureau involve accounting schemes—deceiving investors, auditors and analysts about the true condition of a corporation.  Through the manipulation of financial data, the share price of a corporation remains artificially inflated based on fictitious performance indicators provided to the investing public. In addition to significant financial losses to investors, corporate fraud has the potential to cause immeasurable damage to the U.S. economy and investor confidence.</w:t>
      </w:r>
    </w:p>
    <w:p w:rsidR="00630F6F" w:rsidRPr="009552BF" w:rsidRDefault="00630F6F" w:rsidP="007471A8">
      <w:pPr>
        <w:pStyle w:val="ListParagraph"/>
        <w:contextualSpacing/>
        <w:rPr>
          <w:rStyle w:val="Strong"/>
          <w:b w:val="0"/>
        </w:rPr>
      </w:pPr>
    </w:p>
    <w:p w:rsidR="00630F6F" w:rsidRPr="009552BF" w:rsidRDefault="005842DA" w:rsidP="007471A8">
      <w:pPr>
        <w:pStyle w:val="ListParagraph"/>
        <w:contextualSpacing/>
        <w:rPr>
          <w:rStyle w:val="Strong"/>
          <w:b w:val="0"/>
        </w:rPr>
      </w:pPr>
      <w:r>
        <w:rPr>
          <w:rStyle w:val="Strong"/>
          <w:b w:val="0"/>
        </w:rPr>
        <w:t>An</w:t>
      </w:r>
      <w:r w:rsidR="00630F6F" w:rsidRPr="009552BF">
        <w:rPr>
          <w:rStyle w:val="Strong"/>
          <w:b w:val="0"/>
        </w:rPr>
        <w:t>other high priority component of the Corporate Fraud program is insider trading.  Insider trading continues to pose a serious threat to the U.S. financial markets. The FBI in recent years has broken the veil of secrecy on the hedge fund industry.  The use of sophisticated techniques has exposed a vast network of corrupt participants trafficking in material non-public information.  As part of the insider trading-focused Fair Markets Initiative, the FBI strives to protect the fair and orderly operation of the U.S. financial markets.  FBI investigative efforts have led to more than a 36 percent increase in insider trading cases in FY 2011.</w:t>
      </w:r>
    </w:p>
    <w:p w:rsidR="00630F6F" w:rsidRPr="009552BF" w:rsidRDefault="00630F6F" w:rsidP="007471A8">
      <w:pPr>
        <w:contextualSpacing/>
        <w:rPr>
          <w:rStyle w:val="Strong"/>
          <w:b w:val="0"/>
        </w:rPr>
      </w:pPr>
    </w:p>
    <w:p w:rsidR="00630F6F" w:rsidRPr="009552BF" w:rsidRDefault="00630F6F" w:rsidP="007471A8">
      <w:pPr>
        <w:pStyle w:val="ListParagraph"/>
        <w:numPr>
          <w:ilvl w:val="0"/>
          <w:numId w:val="57"/>
        </w:numPr>
        <w:contextualSpacing/>
        <w:rPr>
          <w:rStyle w:val="Strong"/>
          <w:b w:val="0"/>
        </w:rPr>
      </w:pPr>
      <w:r w:rsidRPr="009552BF">
        <w:rPr>
          <w:rStyle w:val="Strong"/>
          <w:b w:val="0"/>
          <w:u w:val="single"/>
        </w:rPr>
        <w:t>Securities/Commodities Fraud</w:t>
      </w:r>
      <w:r w:rsidRPr="009552BF">
        <w:rPr>
          <w:rStyle w:val="Strong"/>
          <w:b w:val="0"/>
        </w:rPr>
        <w:t xml:space="preserve">: Several years removed from the recent financial crisis, the FBI continues to see a significant threat from </w:t>
      </w:r>
      <w:proofErr w:type="spellStart"/>
      <w:r w:rsidRPr="009552BF">
        <w:rPr>
          <w:rStyle w:val="Strong"/>
          <w:b w:val="0"/>
        </w:rPr>
        <w:t>Ponzi</w:t>
      </w:r>
      <w:proofErr w:type="spellEnd"/>
      <w:r w:rsidRPr="009552BF">
        <w:rPr>
          <w:rStyle w:val="Strong"/>
          <w:b w:val="0"/>
        </w:rPr>
        <w:t xml:space="preserve"> and other securities and commodities fraud schemes, many of which involve thousands of victims and staggering losses – some in the billions of dollars.  The FBI focuses its efforts in the securities and commodities fraud arena to schemes involving investment frauds (e.g. </w:t>
      </w:r>
      <w:proofErr w:type="spellStart"/>
      <w:r w:rsidRPr="009552BF">
        <w:rPr>
          <w:rStyle w:val="Strong"/>
          <w:b w:val="0"/>
        </w:rPr>
        <w:t>Ponzi</w:t>
      </w:r>
      <w:proofErr w:type="spellEnd"/>
      <w:r w:rsidRPr="009552BF">
        <w:rPr>
          <w:rStyle w:val="Strong"/>
          <w:b w:val="0"/>
        </w:rPr>
        <w:t xml:space="preserve"> schemes), and market manipulation schemes, also referred to as “Pump &amp; Dump” schemes.  The FBI continues to open new </w:t>
      </w:r>
      <w:proofErr w:type="spellStart"/>
      <w:r w:rsidRPr="009552BF">
        <w:rPr>
          <w:rStyle w:val="Strong"/>
          <w:b w:val="0"/>
        </w:rPr>
        <w:t>Ponzi</w:t>
      </w:r>
      <w:proofErr w:type="spellEnd"/>
      <w:r w:rsidRPr="009552BF">
        <w:rPr>
          <w:rStyle w:val="Strong"/>
          <w:b w:val="0"/>
        </w:rPr>
        <w:t xml:space="preserve"> scheme cases on a weekly basis. With this trend, and the development of new schemes, such as stock market manipulation via foreign companies utilizing reverse mergers, securities and commodities fraud is on the rise. The FBI is continuing to address the large volume of investment fraud cases and micro-cap stock manipulation schemes, while also assessing the new threats from foreign based stock issuers, precious metals investment frauds, and cyber related stock manipulation schemes.  The FBI’s goal is to develop new strategies to disrupt and dismantle the groups of corrupt market participants conducting these frauds.  </w:t>
      </w:r>
    </w:p>
    <w:p w:rsidR="00630F6F" w:rsidRPr="009552BF" w:rsidRDefault="00630F6F" w:rsidP="007471A8">
      <w:pPr>
        <w:pStyle w:val="ListParagraph"/>
        <w:numPr>
          <w:ilvl w:val="0"/>
          <w:numId w:val="57"/>
        </w:num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9552BF">
        <w:rPr>
          <w:rStyle w:val="Strong"/>
          <w:b w:val="0"/>
          <w:u w:val="single"/>
        </w:rPr>
        <w:lastRenderedPageBreak/>
        <w:t>Health Care Fraud</w:t>
      </w:r>
      <w:r w:rsidRPr="009552BF">
        <w:rPr>
          <w:rStyle w:val="Strong"/>
          <w:b w:val="0"/>
        </w:rPr>
        <w:t>: Total health care expenditures in the U.S. will surpass the $4 trillion mark by 2015, representing a 139 percent increase or more than double the 2003 $1.67 trillion expenditures.  As t</w:t>
      </w:r>
      <w:r w:rsidRPr="009552BF">
        <w:t xml:space="preserve">he primary investigative agency involved in the fight against health care fraud with jurisdiction over both the federal and private insurance programs, the FBI </w:t>
      </w:r>
      <w:r w:rsidR="005842DA">
        <w:t xml:space="preserve">receives reimbursable funding from the Department of Health and Human Services, as well as </w:t>
      </w:r>
      <w:r w:rsidRPr="009552BF">
        <w:t xml:space="preserve">seeks to leverage its </w:t>
      </w:r>
      <w:r w:rsidR="005842DA">
        <w:t xml:space="preserve">own </w:t>
      </w:r>
      <w:r w:rsidRPr="009552BF">
        <w:t xml:space="preserve">resources through investigative partnerships with various federal, State, and local agencies.   The FBI proactively addresses significant health care fraud threats through coordinated initiatives, task forces, working groups, and undercover operations.  Many schemes target both public and private insurance programs, and individual schemes may have considerable impact on the health care system.  In response, the FBI has enhanced its focus on threats associated with large scale conspiracies and major providers, in addition to combating traditional provider fraud.  </w:t>
      </w:r>
    </w:p>
    <w:p w:rsidR="00630F6F" w:rsidRPr="009552BF" w:rsidRDefault="00630F6F" w:rsidP="007471A8">
      <w:p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p>
    <w:p w:rsidR="00630F6F" w:rsidRPr="009552BF" w:rsidRDefault="00630F6F" w:rsidP="007471A8">
      <w:pPr>
        <w:pStyle w:val="ListParagraph"/>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9552BF">
        <w:t xml:space="preserve">Large scale conspiracies include criminal enterprises and other crime groups creating significant losses, or potential losses, to health care benefit programs.  The criminal activity of these groups can cross multiple federal districts.  It is not unusual for more complex large scale conspiracies to conduct other criminal activity in addition to health care fraud.   The related schemes are frequently complex and challenging to identify.  A principal source of referrals on these schemes has been </w:t>
      </w:r>
      <w:r w:rsidRPr="009552BF">
        <w:rPr>
          <w:i/>
        </w:rPr>
        <w:t>qui tam</w:t>
      </w:r>
      <w:r w:rsidRPr="009552BF">
        <w:t xml:space="preserve"> </w:t>
      </w:r>
      <w:r w:rsidR="006168E2">
        <w:t xml:space="preserve">(whistleblower) </w:t>
      </w:r>
      <w:r w:rsidRPr="009552BF">
        <w:t>filings.  In addition to the work completed at the field office level to combat this crime problem, the FBI has established a centralized squad to provide investigative assistance on these types of cases nationwide in coordination with the DOJ, HHS/OIG, and the FDA.</w:t>
      </w:r>
    </w:p>
    <w:p w:rsidR="00630F6F" w:rsidRPr="009552BF" w:rsidRDefault="00630F6F" w:rsidP="007471A8">
      <w:pPr>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Cs/>
        </w:rPr>
      </w:pPr>
    </w:p>
    <w:p w:rsidR="00630F6F" w:rsidRPr="009552BF" w:rsidRDefault="00630F6F" w:rsidP="007471A8">
      <w:pPr>
        <w:pStyle w:val="ListParagraph"/>
        <w:pBdr>
          <w:top w:val="single" w:sz="6" w:space="0" w:color="FFFFFF"/>
          <w:left w:val="single" w:sz="6" w:space="0" w:color="FFFFFF"/>
          <w:bottom w:val="single" w:sz="6" w:space="0" w:color="FFFFFF"/>
          <w:right w:val="single" w:sz="6" w:space="0" w:color="FFFFFF"/>
        </w:pBdr>
        <w:shd w:val="solid" w:color="FFFFFF"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9552BF">
        <w:t xml:space="preserve">The FBI also continues to support Medicare Fraud Strike Force operations worked in conjunction with DOJ Criminal Division’s Fraud Section, local USAOs, HHS/OIG, and state and local law enforcement agencies.  The Strike Forces, currently in nine cities, have effectively investigated and prosecuted individuals and entities that do not provide legitimate health care services, but exist solely for the purpose of defrauding Medicare and other government health care programs.  </w:t>
      </w:r>
    </w:p>
    <w:p w:rsidR="00630F6F" w:rsidRPr="009552BF" w:rsidRDefault="00630F6F" w:rsidP="007471A8">
      <w:pPr>
        <w:contextualSpacing/>
        <w:rPr>
          <w:rStyle w:val="Strong"/>
          <w:b w:val="0"/>
        </w:rPr>
      </w:pPr>
    </w:p>
    <w:p w:rsidR="00630F6F" w:rsidRPr="009552BF" w:rsidRDefault="00630F6F" w:rsidP="007471A8">
      <w:pPr>
        <w:pStyle w:val="ListParagraph"/>
        <w:numPr>
          <w:ilvl w:val="0"/>
          <w:numId w:val="57"/>
        </w:numPr>
        <w:contextualSpacing/>
      </w:pPr>
      <w:r w:rsidRPr="009552BF">
        <w:rPr>
          <w:rStyle w:val="Strong"/>
          <w:b w:val="0"/>
          <w:u w:val="single"/>
        </w:rPr>
        <w:t>Mortgage Fraud</w:t>
      </w:r>
      <w:r w:rsidRPr="009552BF">
        <w:rPr>
          <w:rStyle w:val="Strong"/>
          <w:b w:val="0"/>
        </w:rPr>
        <w:t xml:space="preserve">: </w:t>
      </w:r>
      <w:r w:rsidRPr="009552BF">
        <w:t>Combating mortgage fraud is a priority for the FBI due to the impact of mortgage lending on the Nation’s economy, and the impact of foreclosures on the communit</w:t>
      </w:r>
      <w:r w:rsidR="005842DA">
        <w:t>ies</w:t>
      </w:r>
      <w:r w:rsidRPr="009552BF">
        <w:t xml:space="preserve">.  The priority targets of this type of fraud are industry insiders, such as real estate agents, loan brokers, appraisers, escrow and title officers, and lenders.  Mortgage fraud perpetrators are resilient, and adapt their schemes to changes in the economy and changes in lending practices.  In a thriving economy, loan origination fraud schemes are the most prevalent, and in a sluggish economy, schemes targeting distressed homeowners prevail.  Over 70 percent of all mortgage fraud investigations involve losses in excess of $1 million.  To combat this threat, the FBI has partnered with other federal agencies and state and local law enforcement to form mortgage fraud working groups and task forces throughout the Nation.  The FBI also serves as co-chair on the Financial Fraud Enforcement Task Force, which pro-actively addresses mortgage fraud through community outreach and enforcement actions. </w:t>
      </w:r>
    </w:p>
    <w:p w:rsidR="00630F6F" w:rsidRPr="009552BF" w:rsidRDefault="00630F6F" w:rsidP="007471A8">
      <w:pPr>
        <w:contextualSpacing/>
        <w:rPr>
          <w:sz w:val="22"/>
          <w:szCs w:val="22"/>
        </w:rPr>
      </w:pPr>
    </w:p>
    <w:p w:rsidR="00630F6F" w:rsidRPr="009552BF" w:rsidRDefault="00630F6F" w:rsidP="007471A8">
      <w:pPr>
        <w:pStyle w:val="ListParagraph"/>
        <w:numPr>
          <w:ilvl w:val="0"/>
          <w:numId w:val="57"/>
        </w:numPr>
        <w:contextualSpacing/>
        <w:rPr>
          <w:rStyle w:val="Strong"/>
          <w:b w:val="0"/>
        </w:rPr>
      </w:pPr>
      <w:r w:rsidRPr="009552BF">
        <w:rPr>
          <w:rStyle w:val="Strong"/>
          <w:b w:val="0"/>
          <w:u w:val="single"/>
        </w:rPr>
        <w:t>Money Laundering</w:t>
      </w:r>
      <w:r w:rsidRPr="009552BF">
        <w:rPr>
          <w:rStyle w:val="Strong"/>
          <w:b w:val="0"/>
        </w:rPr>
        <w:t xml:space="preserve">: Money laundering allows criminals to infuse illegal money into the stream of commerce, thus corrupting financial institutions and the money supply; this provides the criminals with unwarranted economic power. The FBI investigates money laundering cases by identifying the process by which criminals conceal or disguise the proceeds of their crimes or convert those proceeds into goods and services.  The major threats in this area stem from </w:t>
      </w:r>
      <w:r w:rsidRPr="009552BF">
        <w:rPr>
          <w:rStyle w:val="Strong"/>
          <w:b w:val="0"/>
        </w:rPr>
        <w:lastRenderedPageBreak/>
        <w:t xml:space="preserve">emerging technologies, such as stored value devices, pre-paid gift cards and reloadable debit cards, in order to move criminal proceeds; as well as shell corporations, which are used to conceal the beneficial ownership of funds being moved through financial institutions and international commerce.   In FY 2010, the FBI initiated the Priority International Money Laundering Threat (PIMLAT) initiative.  Through this program, FBI Headquarters applies a variety of intelligence and investigative resources to address money laundering schemes which are international, occur across multiple FBI field offices, or support significant threats to the </w:t>
      </w:r>
      <w:proofErr w:type="gramStart"/>
      <w:r w:rsidRPr="009552BF">
        <w:rPr>
          <w:rStyle w:val="Strong"/>
          <w:b w:val="0"/>
        </w:rPr>
        <w:t>U.S..</w:t>
      </w:r>
      <w:proofErr w:type="gramEnd"/>
    </w:p>
    <w:p w:rsidR="00630F6F" w:rsidRPr="009552BF" w:rsidRDefault="00630F6F" w:rsidP="007471A8">
      <w:pPr>
        <w:contextualSpacing/>
        <w:rPr>
          <w:rStyle w:val="Strong"/>
          <w:b w:val="0"/>
        </w:rPr>
      </w:pPr>
    </w:p>
    <w:p w:rsidR="00630F6F" w:rsidRPr="009552BF" w:rsidRDefault="00630F6F" w:rsidP="007471A8">
      <w:pPr>
        <w:pStyle w:val="ListParagraph"/>
        <w:numPr>
          <w:ilvl w:val="0"/>
          <w:numId w:val="57"/>
        </w:numPr>
        <w:contextualSpacing/>
        <w:rPr>
          <w:rStyle w:val="Strong"/>
          <w:b w:val="0"/>
        </w:rPr>
      </w:pPr>
      <w:r w:rsidRPr="009552BF">
        <w:rPr>
          <w:rStyle w:val="Strong"/>
          <w:b w:val="0"/>
          <w:u w:val="single"/>
        </w:rPr>
        <w:t>Other Complex Financial Crimes (Insurance, Bankruptcy, and Mass Marketing Fraud)</w:t>
      </w:r>
      <w:r w:rsidRPr="009552BF">
        <w:rPr>
          <w:rStyle w:val="Strong"/>
          <w:b w:val="0"/>
        </w:rPr>
        <w:t>: The FBI anticipates insurance fraud to continue to increase, contributing to increases in insurance premiums as well as threatening the financial viability of insurance companies. Since 2006, the year after bankruptcy laws were changed to make it more difficult for an individual to discharge all debts, bankruptcy filings have significantly increased each year.  The potential for fraud within bankruptcy is large. According to the Federal Trade Commission, complaints concerning mass marketing fraud have also increased.</w:t>
      </w:r>
    </w:p>
    <w:p w:rsidR="00630F6F" w:rsidRDefault="00630F6F" w:rsidP="007471A8">
      <w:pPr>
        <w:contextualSpacing/>
        <w:rPr>
          <w:b/>
          <w:bCs/>
        </w:rPr>
      </w:pPr>
    </w:p>
    <w:p w:rsidR="00630F6F" w:rsidRPr="00714A5F" w:rsidRDefault="00630F6F" w:rsidP="007471A8">
      <w:pPr>
        <w:contextualSpacing/>
      </w:pPr>
      <w:r w:rsidRPr="00D26402">
        <w:rPr>
          <w:b/>
          <w:bCs/>
          <w:i/>
          <w:iCs/>
        </w:rPr>
        <w:t xml:space="preserve">Civil Rights: </w:t>
      </w:r>
      <w:r w:rsidRPr="00714A5F">
        <w:t xml:space="preserve">The FBI has primary responsibility for investigating all alleged violations of federal civil rights laws.  These laws protect the civil rights of all citizens and persons within the </w:t>
      </w:r>
      <w:r>
        <w:t>U.S.</w:t>
      </w:r>
      <w:r w:rsidRPr="00714A5F">
        <w:t>, and include the four major areas described below:</w:t>
      </w:r>
    </w:p>
    <w:p w:rsidR="00630F6F" w:rsidRPr="00714A5F" w:rsidRDefault="00630F6F" w:rsidP="007471A8">
      <w:pPr>
        <w:contextualSpacing/>
      </w:pPr>
    </w:p>
    <w:p w:rsidR="00630F6F" w:rsidRPr="00714A5F" w:rsidRDefault="00630F6F" w:rsidP="002B03A4">
      <w:pPr>
        <w:numPr>
          <w:ilvl w:val="0"/>
          <w:numId w:val="11"/>
        </w:numPr>
        <w:tabs>
          <w:tab w:val="clear" w:pos="576"/>
        </w:tabs>
        <w:ind w:left="720"/>
        <w:contextualSpacing/>
      </w:pPr>
      <w:r w:rsidRPr="00714A5F">
        <w:rPr>
          <w:u w:val="single"/>
        </w:rPr>
        <w:t>Hate Crimes</w:t>
      </w:r>
      <w:r w:rsidRPr="00714A5F">
        <w:t xml:space="preserve">: Hate crimes are the top investigative priority of the Civil Rights Program </w:t>
      </w:r>
      <w:r>
        <w:t>as t</w:t>
      </w:r>
      <w:r w:rsidRPr="00714A5F">
        <w:t xml:space="preserve">hey impact not only the victims, but also the entire community.   In October 2009, President Obama signed into law the Matthew </w:t>
      </w:r>
      <w:proofErr w:type="spellStart"/>
      <w:r w:rsidRPr="00714A5F">
        <w:t>Shepard</w:t>
      </w:r>
      <w:proofErr w:type="spellEnd"/>
      <w:r w:rsidRPr="00714A5F">
        <w:t xml:space="preserve"> and James Byrd, Jr. Hate Crimes Prevention Act of 2009.  For the first time in the history of the </w:t>
      </w:r>
      <w:r>
        <w:t>nation</w:t>
      </w:r>
      <w:r w:rsidRPr="00714A5F">
        <w:t xml:space="preserve">, the federal government </w:t>
      </w:r>
      <w:r>
        <w:t xml:space="preserve">has </w:t>
      </w:r>
      <w:r w:rsidRPr="00714A5F">
        <w:t xml:space="preserve">the authority to prosecute violent hate crimes, including violence directed at the gay, lesbian, bisexual, and transgender community, to the fullest extent of its jurisdiction.  </w:t>
      </w:r>
    </w:p>
    <w:p w:rsidR="00630F6F" w:rsidRPr="00714A5F" w:rsidRDefault="00630F6F" w:rsidP="002B03A4">
      <w:pPr>
        <w:ind w:left="720" w:hanging="360"/>
        <w:contextualSpacing/>
      </w:pPr>
    </w:p>
    <w:p w:rsidR="004554C1" w:rsidRDefault="00630F6F" w:rsidP="002B03A4">
      <w:pPr>
        <w:numPr>
          <w:ilvl w:val="0"/>
          <w:numId w:val="11"/>
        </w:numPr>
        <w:tabs>
          <w:tab w:val="clear" w:pos="576"/>
        </w:tabs>
        <w:ind w:left="720"/>
        <w:contextualSpacing/>
      </w:pPr>
      <w:r w:rsidRPr="00714A5F">
        <w:rPr>
          <w:u w:val="single"/>
        </w:rPr>
        <w:t>Color of Law (</w:t>
      </w:r>
      <w:smartTag w:uri="urn:schemas-microsoft-com:office:smarttags" w:element="State">
        <w:r w:rsidRPr="00714A5F">
          <w:rPr>
            <w:u w:val="single"/>
          </w:rPr>
          <w:t>COL</w:t>
        </w:r>
      </w:smartTag>
      <w:r w:rsidRPr="00714A5F">
        <w:rPr>
          <w:u w:val="single"/>
        </w:rPr>
        <w:t>)</w:t>
      </w:r>
      <w:r w:rsidRPr="00714A5F">
        <w:t xml:space="preserve">: </w:t>
      </w:r>
      <w:smartTag w:uri="urn:schemas-microsoft-com:office:smarttags" w:element="State">
        <w:smartTag w:uri="urn:schemas-microsoft-com:office:smarttags" w:element="place">
          <w:r w:rsidRPr="00714A5F">
            <w:t>COL</w:t>
          </w:r>
        </w:smartTag>
      </w:smartTag>
      <w:r w:rsidRPr="00714A5F">
        <w:t xml:space="preserve"> violations are the deprivation of any rights, privileges, or immunities secured or protected by the </w:t>
      </w:r>
      <w:r>
        <w:t>U.S.</w:t>
      </w:r>
      <w:r w:rsidRPr="00714A5F">
        <w:t xml:space="preserve"> Constitution by someone in his/her official, governmental capacity.  The FBI has investigative responsibility for federal </w:t>
      </w:r>
      <w:smartTag w:uri="urn:schemas-microsoft-com:office:smarttags" w:element="State">
        <w:smartTag w:uri="urn:schemas-microsoft-com:office:smarttags" w:element="place">
          <w:r w:rsidRPr="00714A5F">
            <w:t>COL</w:t>
          </w:r>
        </w:smartTag>
      </w:smartTag>
      <w:r w:rsidRPr="00714A5F">
        <w:t xml:space="preserve"> matters involving local and state law enforcement and concurrent responsibility with the Office of Inspector</w:t>
      </w:r>
      <w:r>
        <w:t>s General</w:t>
      </w:r>
      <w:r w:rsidRPr="00714A5F">
        <w:t xml:space="preserve"> for other federal agencies.</w:t>
      </w:r>
    </w:p>
    <w:p w:rsidR="00630F6F" w:rsidRPr="00714A5F" w:rsidRDefault="00630F6F" w:rsidP="004554C1">
      <w:pPr>
        <w:contextualSpacing/>
      </w:pPr>
      <w:r w:rsidRPr="00714A5F">
        <w:t xml:space="preserve">   </w:t>
      </w:r>
    </w:p>
    <w:p w:rsidR="00630F6F" w:rsidRPr="00714A5F" w:rsidRDefault="00630F6F" w:rsidP="002B03A4">
      <w:pPr>
        <w:numPr>
          <w:ilvl w:val="0"/>
          <w:numId w:val="11"/>
        </w:numPr>
        <w:tabs>
          <w:tab w:val="clear" w:pos="576"/>
        </w:tabs>
        <w:ind w:left="720"/>
        <w:contextualSpacing/>
      </w:pPr>
      <w:r w:rsidRPr="00714A5F">
        <w:rPr>
          <w:u w:val="single"/>
        </w:rPr>
        <w:t>Human Trafficking</w:t>
      </w:r>
      <w:r w:rsidRPr="00714A5F">
        <w:t>:  Human trafficking is a form of modern-day slavery and, although not commonly known, is a significant and persistent problem in America and internationally.  Victims are often lured with false promises of good jobs and better lives and then forced to work under brutal and inhumane conditions.  Many trafficking victims are forced to work in the sex industry</w:t>
      </w:r>
      <w:r>
        <w:t>; however,</w:t>
      </w:r>
      <w:r w:rsidRPr="00714A5F">
        <w:t xml:space="preserve"> trafficking can also take place in labor settings involving domestic servitude, prison-like factories, and migrant agricultural work.  Human trafficking cases require extensive outreach and cooperation with local, state, and federal agencies, as well as non-governmental organizations, to properly address the problem. </w:t>
      </w:r>
    </w:p>
    <w:p w:rsidR="00630F6F" w:rsidRPr="00714A5F" w:rsidRDefault="00630F6F" w:rsidP="002B03A4">
      <w:pPr>
        <w:ind w:left="720" w:hanging="360"/>
        <w:contextualSpacing/>
      </w:pPr>
    </w:p>
    <w:p w:rsidR="00630F6F" w:rsidRDefault="00630F6F" w:rsidP="002B03A4">
      <w:pPr>
        <w:numPr>
          <w:ilvl w:val="0"/>
          <w:numId w:val="11"/>
        </w:numPr>
        <w:tabs>
          <w:tab w:val="clear" w:pos="576"/>
        </w:tabs>
        <w:ind w:left="720"/>
        <w:contextualSpacing/>
      </w:pPr>
      <w:r w:rsidRPr="00714A5F">
        <w:rPr>
          <w:u w:val="single"/>
        </w:rPr>
        <w:t>Freedom of Access</w:t>
      </w:r>
      <w:r w:rsidRPr="00714A5F">
        <w:t xml:space="preserve">:  Under the Freedom of Access to Clinic Entrances (FACE) Act, the FBI has the sole investigative responsibility for conducting investigations of potential FACE Act violations.  Incidents include murder, death threats, invasions, burglaries, harassing telephone calls, hate mail, assaults, arsons, and other acts of intimidation.  The number of FACE Act violations remains relatively low, with occasional spikes during dates which mark significant events in the pro-choice and pro-life movements.  </w:t>
      </w:r>
    </w:p>
    <w:p w:rsidR="00630F6F" w:rsidRDefault="00630F6F" w:rsidP="007471A8">
      <w:pPr>
        <w:contextualSpacing/>
      </w:pPr>
      <w:r w:rsidRPr="00D26402">
        <w:rPr>
          <w:rStyle w:val="Strong"/>
          <w:i/>
          <w:iCs/>
        </w:rPr>
        <w:lastRenderedPageBreak/>
        <w:t>Organized Crime:</w:t>
      </w:r>
      <w:r>
        <w:rPr>
          <w:rStyle w:val="Strong"/>
        </w:rPr>
        <w:t xml:space="preserve"> </w:t>
      </w:r>
      <w:r w:rsidRPr="00AF7620">
        <w:rPr>
          <w:rStyle w:val="Strong"/>
          <w:b w:val="0"/>
        </w:rPr>
        <w:t>T</w:t>
      </w:r>
      <w:r w:rsidRPr="00AF7620">
        <w:t>r</w:t>
      </w:r>
      <w:r w:rsidRPr="00714A5F">
        <w:t xml:space="preserve">ansnational </w:t>
      </w:r>
      <w:r>
        <w:t>o</w:t>
      </w:r>
      <w:r w:rsidRPr="00714A5F">
        <w:t xml:space="preserve">rganized </w:t>
      </w:r>
      <w:r>
        <w:t>c</w:t>
      </w:r>
      <w:r w:rsidRPr="00714A5F">
        <w:t>rime is an immediate and increasing concern of the domestic and international law enforcement and intelligence communities.  Geopolitical, economic, social, and technological changes within the last two decades have allowed these criminal enterprises to becom</w:t>
      </w:r>
      <w:r>
        <w:t>e increasingly active worldwide.  The criminal enterprises include</w:t>
      </w:r>
      <w:r w:rsidRPr="00714A5F">
        <w:t xml:space="preserve"> the following distinct groups: Eurasian Organizations that have emerged since the fall of the Soviet Union; Asian Criminal Enterprises; traditional organizations such as the La Cosa Nostra (LCN) and Italian Organized Crime; Balkan Organized Crime; Middle Eastern Criminal Enterprises, and African Criminal Enterprises. </w:t>
      </w:r>
    </w:p>
    <w:p w:rsidR="00630F6F" w:rsidRDefault="00630F6F" w:rsidP="007471A8">
      <w:pPr>
        <w:contextualSpacing/>
      </w:pPr>
    </w:p>
    <w:p w:rsidR="00630F6F" w:rsidRPr="00714A5F" w:rsidRDefault="00630F6F" w:rsidP="007471A8">
      <w:pPr>
        <w:contextualSpacing/>
      </w:pPr>
      <w:r w:rsidRPr="00714A5F">
        <w:t xml:space="preserve">In FY 2010, </w:t>
      </w:r>
      <w:proofErr w:type="gramStart"/>
      <w:r w:rsidRPr="00714A5F">
        <w:t>two Threat Fusion Cells (TFC)</w:t>
      </w:r>
      <w:proofErr w:type="gramEnd"/>
      <w:r w:rsidRPr="00714A5F">
        <w:t xml:space="preserve"> were created in order to meet the</w:t>
      </w:r>
      <w:r>
        <w:t xml:space="preserve"> number one goal of the Organized Crime Program (OCP)</w:t>
      </w:r>
      <w:r w:rsidRPr="00714A5F">
        <w:t xml:space="preserve">: </w:t>
      </w:r>
      <w:r>
        <w:t>t</w:t>
      </w:r>
      <w:r w:rsidRPr="00714A5F">
        <w:t xml:space="preserve">o target, dismantle, disrupt, neutralize, and render impotent transnational criminal organizations and enterprises </w:t>
      </w:r>
      <w:r>
        <w:t>that pose a threat to national security</w:t>
      </w:r>
      <w:r w:rsidRPr="00714A5F">
        <w:t>. The TFCs are specifically focused on two criminal ente</w:t>
      </w:r>
      <w:r>
        <w:t xml:space="preserve">rprises, Brothers’ Circle and </w:t>
      </w:r>
      <w:proofErr w:type="spellStart"/>
      <w:r>
        <w:t>Semi</w:t>
      </w:r>
      <w:r w:rsidRPr="00714A5F">
        <w:t>on</w:t>
      </w:r>
      <w:proofErr w:type="spellEnd"/>
      <w:r w:rsidRPr="00714A5F">
        <w:t xml:space="preserve"> </w:t>
      </w:r>
      <w:proofErr w:type="spellStart"/>
      <w:r w:rsidRPr="00714A5F">
        <w:t>Mogilevich</w:t>
      </w:r>
      <w:proofErr w:type="spellEnd"/>
      <w:r w:rsidRPr="00714A5F">
        <w:t xml:space="preserve"> Organization, and is staffed with personnel from various intelligence and law enforcement communities, including the National Security Agency. </w:t>
      </w:r>
    </w:p>
    <w:p w:rsidR="00630F6F" w:rsidRDefault="00630F6F" w:rsidP="007471A8">
      <w:pPr>
        <w:contextualSpacing/>
      </w:pPr>
    </w:p>
    <w:p w:rsidR="00630F6F" w:rsidRDefault="00630F6F" w:rsidP="007471A8">
      <w:pPr>
        <w:contextualSpacing/>
      </w:pPr>
      <w:r w:rsidRPr="00714A5F">
        <w:t xml:space="preserve">The potential for terrorism-related events associated with criminal enterprises is ever-increasing due to </w:t>
      </w:r>
      <w:r>
        <w:t>a</w:t>
      </w:r>
      <w:r w:rsidRPr="00714A5F">
        <w:t>lien smuggling across the southwest border by drug and gang criminal enterprises; Col</w:t>
      </w:r>
      <w:r>
        <w:t>o</w:t>
      </w:r>
      <w:r w:rsidRPr="00714A5F">
        <w:t>mbian</w:t>
      </w:r>
      <w:r>
        <w:t>-</w:t>
      </w:r>
      <w:r w:rsidRPr="00714A5F">
        <w:t xml:space="preserve">based </w:t>
      </w:r>
      <w:proofErr w:type="spellStart"/>
      <w:r w:rsidRPr="00714A5F">
        <w:t>narco</w:t>
      </w:r>
      <w:proofErr w:type="spellEnd"/>
      <w:r w:rsidRPr="00714A5F">
        <w:t xml:space="preserve">-terrorism groups influencing or associating with traditional drug trafficking organizations; prison gangs being recruited by religious, political, or social extremist groups; and major theft criminal enterprises conducting criminal activities in association with terrorist related groups or to facilitate funding of terrorist-related groups. There also remains the ever present concern that criminal enterprises are, or can, facilitate the smuggling of chemical, biological, radioactive, or nuclear weapons and materials. </w:t>
      </w:r>
    </w:p>
    <w:p w:rsidR="00630F6F" w:rsidRDefault="00630F6F" w:rsidP="007471A8">
      <w:pPr>
        <w:contextualSpacing/>
      </w:pPr>
    </w:p>
    <w:p w:rsidR="00630F6F" w:rsidRDefault="00630F6F" w:rsidP="007471A8">
      <w:pPr>
        <w:contextualSpacing/>
      </w:pPr>
      <w:proofErr w:type="gramStart"/>
      <w:r w:rsidRPr="00714A5F">
        <w:t>Major Theft</w:t>
      </w:r>
      <w:r>
        <w:t xml:space="preserve"> as Organized Crime </w:t>
      </w:r>
      <w:r w:rsidRPr="00714A5F">
        <w:t>including Organized Retail, Cargo, and Art Theft.</w:t>
      </w:r>
      <w:proofErr w:type="gramEnd"/>
      <w:r w:rsidRPr="00714A5F">
        <w:t xml:space="preserve">   </w:t>
      </w:r>
    </w:p>
    <w:p w:rsidR="00630F6F" w:rsidRPr="00714A5F" w:rsidRDefault="00630F6F" w:rsidP="007471A8">
      <w:pPr>
        <w:contextualSpacing/>
      </w:pPr>
    </w:p>
    <w:p w:rsidR="00630F6F" w:rsidRPr="009552BF" w:rsidRDefault="00630F6F" w:rsidP="007471A8">
      <w:pPr>
        <w:pStyle w:val="ListParagraph"/>
        <w:numPr>
          <w:ilvl w:val="0"/>
          <w:numId w:val="57"/>
        </w:numPr>
        <w:contextualSpacing/>
        <w:rPr>
          <w:rStyle w:val="Strong"/>
          <w:b w:val="0"/>
        </w:rPr>
      </w:pPr>
      <w:r w:rsidRPr="00F07AF0">
        <w:rPr>
          <w:rStyle w:val="Strong"/>
          <w:u w:val="single"/>
        </w:rPr>
        <w:t>Major Theft</w:t>
      </w:r>
      <w:r w:rsidRPr="00F07AF0">
        <w:rPr>
          <w:rStyle w:val="Strong"/>
        </w:rPr>
        <w:t xml:space="preserve"> </w:t>
      </w:r>
      <w:r w:rsidRPr="009552BF">
        <w:rPr>
          <w:rStyle w:val="Strong"/>
          <w:b w:val="0"/>
        </w:rPr>
        <w:t>crimes caused by transnational, national and regionally based criminal enterprises have a devastating effect on the U.S. economy, not only contributing to the rise of consumer prices, but also to the loss of tax revenues to states and communities.  More than 60 percent of the crimes reported to the police are theft/fraud related crimes according to the Uniform Crime Reporting (UCR) system.  Major Theft crimes are directly related to organized crime groups, drug trafficking organizations, gang criminal enterprises and illegal alien groups.  Major Theft groups actively engage in other criminal activities such as violent crimes, fraud, money laundering, wire and mail fraud, and public corruption matters.  Estimates from certain Major Theft crimes, such as cargo theft and organized retail crime, are nearly impossible to calculate, but industry experts estimate losses in the tens of billions of dollars.  Monetary and product losses from vehicle thefts are estimated at more than $8 billion per year.  The Jewelry and Gem Industry estimates losses in excess of $135 million annually and the Art/Cultural Property Community estimate thefts to be about $500 million annually.</w:t>
      </w:r>
    </w:p>
    <w:p w:rsidR="00630F6F" w:rsidRDefault="00630F6F" w:rsidP="007471A8">
      <w:pPr>
        <w:contextualSpacing/>
        <w:rPr>
          <w:b/>
          <w:bCs/>
          <w:i/>
          <w:iCs/>
        </w:rPr>
      </w:pPr>
    </w:p>
    <w:p w:rsidR="00630F6F" w:rsidRDefault="00630F6F" w:rsidP="007471A8">
      <w:pPr>
        <w:contextualSpacing/>
        <w:rPr>
          <w:b/>
          <w:bCs/>
          <w:iCs/>
        </w:rPr>
      </w:pPr>
      <w:r>
        <w:rPr>
          <w:b/>
          <w:bCs/>
          <w:iCs/>
        </w:rPr>
        <w:t>Violent Criminal Threats</w:t>
      </w:r>
    </w:p>
    <w:p w:rsidR="00245AC3" w:rsidRDefault="00245AC3" w:rsidP="007471A8">
      <w:pPr>
        <w:contextualSpacing/>
        <w:rPr>
          <w:b/>
          <w:bCs/>
          <w:iCs/>
        </w:rPr>
      </w:pPr>
    </w:p>
    <w:p w:rsidR="00630F6F" w:rsidRPr="00714A5F" w:rsidRDefault="00630F6F" w:rsidP="007471A8">
      <w:pPr>
        <w:autoSpaceDE w:val="0"/>
        <w:autoSpaceDN w:val="0"/>
        <w:adjustRightInd w:val="0"/>
        <w:contextualSpacing/>
      </w:pPr>
      <w:r w:rsidRPr="00714A5F">
        <w:t xml:space="preserve">The mission of the </w:t>
      </w:r>
      <w:r>
        <w:t>Violent</w:t>
      </w:r>
      <w:r w:rsidRPr="00714A5F">
        <w:t xml:space="preserve"> Criminal </w:t>
      </w:r>
      <w:r>
        <w:t xml:space="preserve">Threat </w:t>
      </w:r>
      <w:r w:rsidRPr="00714A5F">
        <w:t>Section (</w:t>
      </w:r>
      <w:r>
        <w:t>VCTS</w:t>
      </w:r>
      <w:r w:rsidRPr="00714A5F">
        <w:t xml:space="preserve">) is to </w:t>
      </w:r>
      <w:r w:rsidRPr="003027AF">
        <w:t xml:space="preserve">combat violent criminal threats throughout the </w:t>
      </w:r>
      <w:r>
        <w:t>U.S.</w:t>
      </w:r>
      <w:r w:rsidRPr="003027AF">
        <w:t xml:space="preserve"> and to disrupt and dismantle local, regional, national, and transnational cells of criminal enterprises that pose the greatest threat to the economic and national security of the </w:t>
      </w:r>
      <w:proofErr w:type="gramStart"/>
      <w:r>
        <w:t>U.S.</w:t>
      </w:r>
      <w:r w:rsidRPr="003027AF">
        <w:t>.</w:t>
      </w:r>
      <w:proofErr w:type="gramEnd"/>
      <w:r>
        <w:t xml:space="preserve">  </w:t>
      </w:r>
      <w:r w:rsidRPr="00714A5F">
        <w:t xml:space="preserve">This is accomplished through initiatives established in the </w:t>
      </w:r>
      <w:r>
        <w:t>VCTS</w:t>
      </w:r>
      <w:r w:rsidRPr="00714A5F">
        <w:t xml:space="preserve"> subprograms of </w:t>
      </w:r>
      <w:r>
        <w:t>V</w:t>
      </w:r>
      <w:r w:rsidRPr="00714A5F">
        <w:t xml:space="preserve">iolent </w:t>
      </w:r>
      <w:r>
        <w:t>G</w:t>
      </w:r>
      <w:r w:rsidRPr="00714A5F">
        <w:t xml:space="preserve">angs, </w:t>
      </w:r>
      <w:r>
        <w:t xml:space="preserve">Violent Crimes, Crimes </w:t>
      </w:r>
      <w:proofErr w:type="gramStart"/>
      <w:r>
        <w:t>Against</w:t>
      </w:r>
      <w:proofErr w:type="gramEnd"/>
      <w:r>
        <w:t xml:space="preserve"> Children</w:t>
      </w:r>
      <w:r w:rsidRPr="00714A5F">
        <w:t>,</w:t>
      </w:r>
      <w:r>
        <w:t xml:space="preserve"> </w:t>
      </w:r>
      <w:r w:rsidRPr="00714A5F">
        <w:t>and</w:t>
      </w:r>
      <w:r>
        <w:t xml:space="preserve"> Indian Country Crimes</w:t>
      </w:r>
      <w:r w:rsidRPr="00714A5F">
        <w:t>.</w:t>
      </w:r>
    </w:p>
    <w:p w:rsidR="00630F6F" w:rsidRPr="00714A5F" w:rsidRDefault="00630F6F" w:rsidP="007471A8">
      <w:pPr>
        <w:autoSpaceDE w:val="0"/>
        <w:autoSpaceDN w:val="0"/>
        <w:adjustRightInd w:val="0"/>
        <w:contextualSpacing/>
        <w:rPr>
          <w:rFonts w:ascii="Courier" w:hAnsi="Courier" w:cs="Courier"/>
        </w:rPr>
      </w:pPr>
    </w:p>
    <w:p w:rsidR="00630F6F" w:rsidRDefault="00630F6F" w:rsidP="007471A8">
      <w:pPr>
        <w:contextualSpacing/>
      </w:pPr>
      <w:r w:rsidRPr="00714A5F">
        <w:rPr>
          <w:b/>
          <w:bCs/>
          <w:i/>
          <w:iCs/>
        </w:rPr>
        <w:lastRenderedPageBreak/>
        <w:t>Gang Violence:</w:t>
      </w:r>
      <w:r w:rsidRPr="00714A5F">
        <w:t xml:space="preserve">  </w:t>
      </w:r>
      <w:r w:rsidRPr="00CE3188">
        <w:t xml:space="preserve">The FBI's Violent Gang Sub-Program is designed to reduce gang related violence by identifying, prioritizing, and targeting the most violent gangs whose activities constitute criminal enterprises.  This is accomplished through the administration of 168 Violent Gang Safe Streets Task Forces (VGSSTFs).  The FBI has prioritized Neighborhood-Based Gangs, Prison Gangs, and Transnational and/or National Based Gangs as the most significant gang threats.  </w:t>
      </w:r>
      <w:r>
        <w:t xml:space="preserve"> </w:t>
      </w:r>
    </w:p>
    <w:p w:rsidR="00630F6F" w:rsidRPr="00714A5F" w:rsidRDefault="00630F6F" w:rsidP="007471A8">
      <w:pPr>
        <w:contextualSpacing/>
      </w:pPr>
    </w:p>
    <w:p w:rsidR="00630F6F" w:rsidRDefault="00630F6F" w:rsidP="007471A8">
      <w:pPr>
        <w:contextualSpacing/>
      </w:pPr>
      <w:r>
        <w:t>G</w:t>
      </w:r>
      <w:r w:rsidRPr="00204096">
        <w:t>angs are becoming more violent and are establishing strong alliances with drug trafficking organizations.  In addition, they are also partaking in less typical gang-related crime, such as human trafficking, white-collar, and cyber crime.</w:t>
      </w:r>
      <w:r>
        <w:t xml:space="preserve">  </w:t>
      </w:r>
      <w:r w:rsidRPr="00C0068E">
        <w:t xml:space="preserve">Gang members are </w:t>
      </w:r>
      <w:r>
        <w:t xml:space="preserve">also </w:t>
      </w:r>
      <w:r w:rsidRPr="00C0068E">
        <w:t>migrating from urban areas to suburban and rural communities in order to expand the gang’s influence.  In most instances, this allows the gang to expand drug distribution territories, increase illicit revenue, recruit new members, hid</w:t>
      </w:r>
      <w:r>
        <w:t>e</w:t>
      </w:r>
      <w:r w:rsidRPr="00C0068E">
        <w:t xml:space="preserve"> from law enforcement, and escap</w:t>
      </w:r>
      <w:r>
        <w:t xml:space="preserve">e </w:t>
      </w:r>
      <w:r w:rsidRPr="00C0068E">
        <w:t xml:space="preserve">other gangs. Many suburban and rural communities are experiencing </w:t>
      </w:r>
      <w:r>
        <w:t xml:space="preserve">an </w:t>
      </w:r>
      <w:r w:rsidRPr="00C0068E">
        <w:t>increas</w:t>
      </w:r>
      <w:r>
        <w:t xml:space="preserve">e in </w:t>
      </w:r>
      <w:r w:rsidRPr="00C0068E">
        <w:t xml:space="preserve">gang-related crime and violence </w:t>
      </w:r>
      <w:r>
        <w:t xml:space="preserve">due to gang expansion.  </w:t>
      </w:r>
      <w:r w:rsidRPr="00C0068E">
        <w:t xml:space="preserve"> </w:t>
      </w:r>
    </w:p>
    <w:p w:rsidR="00630F6F" w:rsidRDefault="00630F6F" w:rsidP="007471A8">
      <w:pPr>
        <w:contextualSpacing/>
      </w:pPr>
    </w:p>
    <w:p w:rsidR="00630F6F" w:rsidRDefault="00630F6F" w:rsidP="007471A8">
      <w:pPr>
        <w:contextualSpacing/>
      </w:pPr>
      <w:r>
        <w:rPr>
          <w:rStyle w:val="Strong"/>
          <w:i/>
          <w:iCs/>
        </w:rPr>
        <w:t>Violent Crime</w:t>
      </w:r>
      <w:r w:rsidRPr="00714A5F">
        <w:rPr>
          <w:rStyle w:val="Strong"/>
          <w:i/>
          <w:iCs/>
        </w:rPr>
        <w:t>:</w:t>
      </w:r>
      <w:r>
        <w:t xml:space="preserve">  </w:t>
      </w:r>
      <w:r w:rsidRPr="00C611E3">
        <w:t>The Violent Crime (VC) Sub-Program combats the most significant violent crime threats falling within the FBI's investigative jurisdiction.  Violent crime continues to threaten communities within the U</w:t>
      </w:r>
      <w:r>
        <w:t>.</w:t>
      </w:r>
      <w:r w:rsidRPr="00C611E3">
        <w:t>S</w:t>
      </w:r>
      <w:r>
        <w:t>.</w:t>
      </w:r>
      <w:r w:rsidRPr="00C611E3">
        <w:t xml:space="preserve"> and its citizens.  Major violent crime incidents such as mass killings, sniper murders, serial killings, and violent fugitives can paralyze whole communities and stretch state and local law enforcement resources to their limits.  </w:t>
      </w:r>
      <w:r w:rsidRPr="00CE3188">
        <w:t xml:space="preserve">Particular emphasis is directed toward matters involving significant violence to include </w:t>
      </w:r>
      <w:r>
        <w:t>b</w:t>
      </w:r>
      <w:r w:rsidRPr="00CE3188">
        <w:t xml:space="preserve">ank </w:t>
      </w:r>
      <w:r>
        <w:t>r</w:t>
      </w:r>
      <w:r w:rsidRPr="00CE3188">
        <w:t xml:space="preserve">obberies, </w:t>
      </w:r>
      <w:r>
        <w:t>a</w:t>
      </w:r>
      <w:r w:rsidRPr="00CE3188">
        <w:t xml:space="preserve">rmored </w:t>
      </w:r>
      <w:r>
        <w:t>c</w:t>
      </w:r>
      <w:r w:rsidRPr="00CE3188">
        <w:t xml:space="preserve">ar </w:t>
      </w:r>
      <w:r>
        <w:t>r</w:t>
      </w:r>
      <w:r w:rsidRPr="00CE3188">
        <w:t xml:space="preserve">obberies, </w:t>
      </w:r>
      <w:r>
        <w:t>f</w:t>
      </w:r>
      <w:r w:rsidRPr="00CE3188">
        <w:t xml:space="preserve">ugitives, </w:t>
      </w:r>
      <w:proofErr w:type="gramStart"/>
      <w:r>
        <w:t>k</w:t>
      </w:r>
      <w:r w:rsidRPr="00CE3188">
        <w:t>idnappings</w:t>
      </w:r>
      <w:proofErr w:type="gramEnd"/>
      <w:r w:rsidRPr="00CE3188">
        <w:t xml:space="preserve"> for </w:t>
      </w:r>
      <w:r>
        <w:t>r</w:t>
      </w:r>
      <w:r w:rsidRPr="00CE3188">
        <w:t xml:space="preserve">ansom, </w:t>
      </w:r>
      <w:r>
        <w:t>e</w:t>
      </w:r>
      <w:r w:rsidRPr="00CE3188">
        <w:t xml:space="preserve">xtortions, </w:t>
      </w:r>
      <w:r>
        <w:t>p</w:t>
      </w:r>
      <w:r w:rsidRPr="00CE3188">
        <w:t xml:space="preserve">olice </w:t>
      </w:r>
      <w:r>
        <w:t>k</w:t>
      </w:r>
      <w:r w:rsidRPr="00CE3188">
        <w:t xml:space="preserve">illings, </w:t>
      </w:r>
      <w:r>
        <w:t>and a</w:t>
      </w:r>
      <w:r w:rsidRPr="00CE3188">
        <w:t xml:space="preserve">ssault on </w:t>
      </w:r>
      <w:r>
        <w:t>f</w:t>
      </w:r>
      <w:r w:rsidRPr="00CE3188">
        <w:t xml:space="preserve">ederal </w:t>
      </w:r>
      <w:r>
        <w:t>o</w:t>
      </w:r>
      <w:r w:rsidRPr="00CE3188">
        <w:t>fficers</w:t>
      </w:r>
      <w:r>
        <w:t xml:space="preserve">.  </w:t>
      </w:r>
    </w:p>
    <w:p w:rsidR="00630F6F" w:rsidRPr="00714A5F" w:rsidRDefault="00630F6F" w:rsidP="007471A8">
      <w:pPr>
        <w:contextualSpacing/>
      </w:pPr>
    </w:p>
    <w:p w:rsidR="00630F6F" w:rsidRDefault="00630F6F" w:rsidP="007471A8">
      <w:pPr>
        <w:numPr>
          <w:ilvl w:val="1"/>
          <w:numId w:val="13"/>
        </w:numPr>
        <w:ind w:left="720"/>
        <w:contextualSpacing/>
      </w:pPr>
      <w:r w:rsidRPr="00C20991">
        <w:rPr>
          <w:u w:val="single"/>
        </w:rPr>
        <w:t>Fugitives</w:t>
      </w:r>
      <w:r w:rsidRPr="00C20991">
        <w:t xml:space="preserve"> remain a concern to law enforcement with approximately 1.5 million active warrants within the National Crime Information Center (NCIC) system.  The FBI is conducting investigations on violent fugitives under the Unlawful Flight to Avoid Prosecution violation.  </w:t>
      </w:r>
      <w:r>
        <w:t>The FBI cooperates with the U.S. Marshals Service to investigate and apprehend domestic fugitives.</w:t>
      </w:r>
    </w:p>
    <w:p w:rsidR="00630F6F" w:rsidRDefault="00630F6F" w:rsidP="007471A8">
      <w:pPr>
        <w:ind w:left="720"/>
        <w:contextualSpacing/>
      </w:pPr>
    </w:p>
    <w:p w:rsidR="00630F6F" w:rsidRPr="00C20991" w:rsidRDefault="00630F6F" w:rsidP="007471A8">
      <w:pPr>
        <w:numPr>
          <w:ilvl w:val="1"/>
          <w:numId w:val="13"/>
        </w:numPr>
        <w:ind w:left="720"/>
        <w:contextualSpacing/>
      </w:pPr>
      <w:r w:rsidRPr="00C20991">
        <w:rPr>
          <w:u w:val="single"/>
        </w:rPr>
        <w:t>Transportation Crimes</w:t>
      </w:r>
      <w:r w:rsidRPr="00C20991">
        <w:t xml:space="preserve"> </w:t>
      </w:r>
      <w:r>
        <w:t>include</w:t>
      </w:r>
      <w:r w:rsidRPr="00C20991">
        <w:t xml:space="preserve"> crimes reported that occurred aboard an aircraft and incidents regarding the destruction of aircraft.  Personal and property crimes continue to be a concern within Special Jurisdiction Crimes areas such as within federal penal institutions, on other federal government properties and in special jurisdictional areas, such as on the high seas.  </w:t>
      </w:r>
    </w:p>
    <w:p w:rsidR="00630F6F" w:rsidRDefault="00630F6F" w:rsidP="007471A8">
      <w:pPr>
        <w:contextualSpacing/>
      </w:pPr>
      <w:r>
        <w:t xml:space="preserve"> </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714A5F">
        <w:rPr>
          <w:rStyle w:val="Strong"/>
          <w:i/>
          <w:iCs/>
        </w:rPr>
        <w:t>Crimes</w:t>
      </w:r>
      <w:r>
        <w:rPr>
          <w:rStyle w:val="Strong"/>
          <w:i/>
          <w:iCs/>
        </w:rPr>
        <w:t xml:space="preserve"> Against Children</w:t>
      </w:r>
      <w:r w:rsidRPr="00714A5F">
        <w:rPr>
          <w:rStyle w:val="Strong"/>
          <w:i/>
          <w:iCs/>
        </w:rPr>
        <w:t>:</w:t>
      </w:r>
      <w:r w:rsidRPr="00714A5F">
        <w:t xml:space="preserve">  </w:t>
      </w:r>
      <w:r w:rsidRPr="00C611E3">
        <w:t>The Crimes Against Children (CACU) Sub-Program has developed a nationwide capacity to provide a rapid and effective investigative response to reported federal crimes involving the victimization of children; reduce the vulnerability of children to acts of sexual exploitation and abuse; reduce the negative impacts of international parental rights disputes; and strengthen the capabilities of federal, state and local law enforcement agencies through training programs and investigative assistance</w:t>
      </w:r>
      <w:r w:rsidRPr="00210C47">
        <w:t xml:space="preserve">.  The FBI is the only federal agency with sole jurisdiction to investigate child abductions, as legislated in Title 18, </w:t>
      </w:r>
      <w:r>
        <w:t>U.S.</w:t>
      </w:r>
      <w:r w:rsidRPr="00210C47">
        <w:t xml:space="preserve"> Code, </w:t>
      </w:r>
      <w:proofErr w:type="gramStart"/>
      <w:r w:rsidRPr="00210C47">
        <w:t>Section</w:t>
      </w:r>
      <w:proofErr w:type="gramEnd"/>
      <w:r w:rsidRPr="00210C47">
        <w:t xml:space="preserve"> 1201.</w:t>
      </w:r>
      <w:r w:rsidRPr="00C611E3">
        <w:t xml:space="preserve">  </w:t>
      </w:r>
      <w:r w:rsidRPr="00714A5F">
        <w:t xml:space="preserve">The FBI Crimes </w:t>
      </w:r>
      <w:proofErr w:type="gramStart"/>
      <w:r w:rsidRPr="00714A5F">
        <w:t>Against</w:t>
      </w:r>
      <w:proofErr w:type="gramEnd"/>
      <w:r w:rsidRPr="00714A5F">
        <w:t xml:space="preserve"> Children Unit supports the </w:t>
      </w:r>
      <w:r>
        <w:t xml:space="preserve">Child Abduction Rapid Deployment Team (CARD Team), </w:t>
      </w:r>
      <w:r w:rsidRPr="00714A5F">
        <w:t>Innocence Lost</w:t>
      </w:r>
      <w:r>
        <w:t xml:space="preserve"> National Initiative and the </w:t>
      </w:r>
      <w:r w:rsidRPr="00714A5F">
        <w:t xml:space="preserve">Child Sex Tourism </w:t>
      </w:r>
      <w:r>
        <w:t>(CST) I</w:t>
      </w:r>
      <w:r w:rsidRPr="00714A5F">
        <w:t xml:space="preserve">nitiative. </w:t>
      </w:r>
      <w:r>
        <w:t xml:space="preserve"> </w:t>
      </w:r>
    </w:p>
    <w:p w:rsidR="00630F6F" w:rsidRDefault="00630F6F" w:rsidP="007471A8">
      <w:pPr>
        <w:ind w:left="576"/>
        <w:contextualSpacing/>
      </w:pPr>
    </w:p>
    <w:p w:rsidR="00630F6F" w:rsidRPr="00210C47" w:rsidRDefault="00630F6F" w:rsidP="007471A8">
      <w:pPr>
        <w:numPr>
          <w:ilvl w:val="1"/>
          <w:numId w:val="12"/>
        </w:numPr>
        <w:tabs>
          <w:tab w:val="clear" w:pos="1656"/>
          <w:tab w:val="num" w:pos="720"/>
        </w:tabs>
        <w:ind w:left="720"/>
        <w:contextualSpacing/>
      </w:pPr>
      <w:r w:rsidRPr="00EC2BA6">
        <w:rPr>
          <w:u w:val="single"/>
        </w:rPr>
        <w:t>Child Abductions</w:t>
      </w:r>
      <w:r>
        <w:t>:  In FY 201</w:t>
      </w:r>
      <w:r w:rsidR="00B6463A">
        <w:t>1</w:t>
      </w:r>
      <w:r>
        <w:t>, the FBI investigated 1</w:t>
      </w:r>
      <w:r w:rsidR="00B6463A">
        <w:t>88</w:t>
      </w:r>
      <w:r>
        <w:t xml:space="preserve"> pending child abduction cases.  </w:t>
      </w:r>
      <w:r w:rsidRPr="005B6B90">
        <w:t>In an effort to enhance the FBI's response to abductions</w:t>
      </w:r>
      <w:r>
        <w:t xml:space="preserve"> and the mysterious disappearance of children</w:t>
      </w:r>
      <w:r w:rsidRPr="005B6B90">
        <w:t xml:space="preserve">, the FBI’s Violent Crimes Section in coordination with the Critical Incident Response Group (CIRG)/Behavior Analysis Unit III (BAU III) created regional CARD Teams.  </w:t>
      </w:r>
      <w:r>
        <w:t>T</w:t>
      </w:r>
      <w:r w:rsidRPr="005B6B90">
        <w:t xml:space="preserve">he </w:t>
      </w:r>
      <w:r>
        <w:t>nation</w:t>
      </w:r>
      <w:r w:rsidRPr="005B6B90">
        <w:t xml:space="preserve">wide CARD Team cadre consists of </w:t>
      </w:r>
      <w:r>
        <w:t>60 field agents</w:t>
      </w:r>
      <w:r w:rsidRPr="005B6B90">
        <w:t xml:space="preserve">.  Teams are geographically distributed throughout the five regions of the </w:t>
      </w:r>
      <w:r>
        <w:t>U.S.</w:t>
      </w:r>
      <w:r w:rsidRPr="005B6B90">
        <w:t xml:space="preserve">, consistent with the FBI </w:t>
      </w:r>
      <w:r>
        <w:t>corporate management s</w:t>
      </w:r>
      <w:r w:rsidRPr="005B6B90">
        <w:t xml:space="preserve">tructure.  Each </w:t>
      </w:r>
      <w:r w:rsidRPr="005B6B90">
        <w:lastRenderedPageBreak/>
        <w:t xml:space="preserve">region has two teams comprised </w:t>
      </w:r>
      <w:r w:rsidRPr="00210C47">
        <w:t xml:space="preserve">of Supervisory Special Agents and Special Agents representing 35 field divisions.  </w:t>
      </w:r>
      <w:r>
        <w:t>As of January 2012</w:t>
      </w:r>
      <w:r w:rsidRPr="00210C47">
        <w:t xml:space="preserve">, the CARD Teams have deployed on 76 occasions resulting in the successful recovery of </w:t>
      </w:r>
      <w:r>
        <w:t>31</w:t>
      </w:r>
      <w:r w:rsidRPr="00210C47">
        <w:t xml:space="preserve"> children.  </w:t>
      </w:r>
    </w:p>
    <w:p w:rsidR="00630F6F" w:rsidRPr="00210C47" w:rsidRDefault="00630F6F" w:rsidP="007471A8">
      <w:pPr>
        <w:tabs>
          <w:tab w:val="num" w:pos="720"/>
        </w:tabs>
        <w:ind w:left="720"/>
        <w:contextualSpacing/>
      </w:pPr>
    </w:p>
    <w:p w:rsidR="00630F6F" w:rsidRPr="00210C47" w:rsidRDefault="00630F6F" w:rsidP="007471A8">
      <w:pPr>
        <w:numPr>
          <w:ilvl w:val="1"/>
          <w:numId w:val="12"/>
        </w:numPr>
        <w:tabs>
          <w:tab w:val="clear" w:pos="1656"/>
          <w:tab w:val="num" w:pos="720"/>
        </w:tabs>
        <w:ind w:left="720"/>
        <w:contextualSpacing/>
      </w:pPr>
      <w:r w:rsidRPr="00210C47">
        <w:rPr>
          <w:u w:val="single"/>
        </w:rPr>
        <w:t>Innocence Lost National Initiative</w:t>
      </w:r>
      <w:r w:rsidRPr="00210C47">
        <w:t>:  Everyday, children are being recruited and forced into the world of prostitution.  Unlike the portrayal of prostitution in popular media, the reality is that child victims are not voluntary participants.  Rather, they are modern-day slaves – forced into participating in prostitution and often brutally beaten.  Teen runaways – who are often trying to escape abusive homes – frequently fall prey to domestic sex traffickers or "pimps" who lure them in with an offer of food and a seemingly safe place to sleep.  In an effort to address this significant crime problem, the FBI has assisted in the establishment of 27 task forces and 19 working groups with our state and local law enforcement partners.  In addition, the FBI has developed a national targeted enforcement action entitled Operation Cross Country</w:t>
      </w:r>
      <w:r>
        <w:t>,</w:t>
      </w:r>
      <w:r w:rsidRPr="00210C47">
        <w:t xml:space="preserve"> which is conducted on a regular basis and has resulted in the recovery of 1,916 juveniles and the arrest of 4,893 pimps and adult prostitutes.   </w:t>
      </w:r>
    </w:p>
    <w:p w:rsidR="00630F6F" w:rsidRPr="00210C47" w:rsidRDefault="00630F6F" w:rsidP="007471A8">
      <w:pPr>
        <w:tabs>
          <w:tab w:val="num" w:pos="720"/>
        </w:tabs>
        <w:ind w:left="720"/>
        <w:contextualSpacing/>
      </w:pPr>
    </w:p>
    <w:p w:rsidR="00630F6F" w:rsidRPr="00210C47" w:rsidRDefault="00630F6F" w:rsidP="007471A8">
      <w:pPr>
        <w:numPr>
          <w:ilvl w:val="1"/>
          <w:numId w:val="12"/>
        </w:numPr>
        <w:tabs>
          <w:tab w:val="clear" w:pos="1656"/>
          <w:tab w:val="num" w:pos="720"/>
        </w:tabs>
        <w:ind w:left="720"/>
        <w:contextualSpacing/>
      </w:pPr>
      <w:r w:rsidRPr="00210C47">
        <w:rPr>
          <w:u w:val="single"/>
        </w:rPr>
        <w:t>Child Sex Tourism (CST)</w:t>
      </w:r>
      <w:r w:rsidRPr="00210C47">
        <w:t xml:space="preserve"> initiative targets U</w:t>
      </w:r>
      <w:r>
        <w:t>.</w:t>
      </w:r>
      <w:r w:rsidRPr="00210C47">
        <w:t>S</w:t>
      </w:r>
      <w:r>
        <w:t>.</w:t>
      </w:r>
      <w:r w:rsidRPr="00210C47">
        <w:t xml:space="preserve"> citizens who travel to foreign countries and engage in sexual activity with children under the age of 18. The initiative currently focuses on countries in Southeast Asia and Latin America where ten threat assessments have been conducted</w:t>
      </w:r>
      <w:r>
        <w:t xml:space="preserve"> as of January 2012</w:t>
      </w:r>
      <w:r w:rsidRPr="00210C47">
        <w:t xml:space="preserve">, in order to identify predicated venues where CST is occurring. The initiative has also organized and participated in capacity building for foreign law enforcement, prosecutors, and non-government organizations in these countries. </w:t>
      </w:r>
      <w:r>
        <w:t>As of January 2012</w:t>
      </w:r>
      <w:r w:rsidRPr="00210C47">
        <w:t xml:space="preserve">, the CST initiative has initiated 38 investigations which have led to the conviction of 7 offenders and the arrest and indictment of 3 additional individuals. </w:t>
      </w:r>
      <w:r w:rsidRPr="00210C47">
        <w:rPr>
          <w:u w:val="single"/>
        </w:rPr>
        <w:t xml:space="preserve"> </w:t>
      </w:r>
    </w:p>
    <w:p w:rsidR="00630F6F" w:rsidRDefault="00630F6F" w:rsidP="007471A8">
      <w:pPr>
        <w:ind w:left="1656"/>
        <w:contextualSpacing/>
      </w:pPr>
      <w:r>
        <w:t xml:space="preserve"> </w:t>
      </w:r>
    </w:p>
    <w:p w:rsidR="00630F6F" w:rsidRDefault="00630F6F" w:rsidP="007471A8">
      <w:pPr>
        <w:ind w:left="576"/>
        <w:contextualSpacing/>
      </w:pPr>
      <w:r>
        <w:rPr>
          <w:rStyle w:val="Strong"/>
          <w:i/>
          <w:iCs/>
        </w:rPr>
        <w:t>Indian Country</w:t>
      </w:r>
      <w:r w:rsidRPr="00714A5F">
        <w:rPr>
          <w:rStyle w:val="Strong"/>
          <w:i/>
          <w:iCs/>
        </w:rPr>
        <w:t>:</w:t>
      </w:r>
      <w:r>
        <w:rPr>
          <w:rStyle w:val="Strong"/>
          <w:i/>
          <w:iCs/>
        </w:rPr>
        <w:t xml:space="preserve"> </w:t>
      </w:r>
      <w:r w:rsidRPr="00714A5F">
        <w:t xml:space="preserve">  </w:t>
      </w:r>
      <w:r w:rsidRPr="00CE3188">
        <w:t>The Indian Country Crimes (ICC) Sub-Program has developed and implemented strategies to address the most egregious crime problems in I</w:t>
      </w:r>
      <w:r>
        <w:t xml:space="preserve">ndian </w:t>
      </w:r>
      <w:r w:rsidRPr="00CE3188">
        <w:t>C</w:t>
      </w:r>
      <w:r>
        <w:t>ountry (IC)</w:t>
      </w:r>
      <w:r w:rsidRPr="00CE3188">
        <w:t xml:space="preserve"> where the FBI has responsibility.  ICC supports joint investigative efforts with the Bureau of Indian Affairs-Office of Justice Services, tribal law enforcement, and manages 17 Safe Trails Task Forces.  ICC</w:t>
      </w:r>
      <w:r>
        <w:t xml:space="preserve"> cases</w:t>
      </w:r>
      <w:r w:rsidRPr="00CE3188">
        <w:t xml:space="preserve"> are mostly reactive; however, </w:t>
      </w:r>
      <w:r>
        <w:t xml:space="preserve">many are </w:t>
      </w:r>
      <w:r w:rsidRPr="00CE3188">
        <w:t xml:space="preserve">cross-programmatic in nature </w:t>
      </w:r>
      <w:r>
        <w:t xml:space="preserve">and </w:t>
      </w:r>
      <w:r w:rsidRPr="00CE3188">
        <w:t xml:space="preserve">include public corruption and complex financial fraud.  </w:t>
      </w:r>
    </w:p>
    <w:p w:rsidR="00630F6F" w:rsidRPr="00C611E3" w:rsidRDefault="00630F6F" w:rsidP="007471A8">
      <w:pPr>
        <w:ind w:left="576"/>
        <w:contextualSpacing/>
      </w:pPr>
    </w:p>
    <w:p w:rsidR="00630F6F" w:rsidRPr="00A156B6"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contextualSpacing/>
      </w:pPr>
      <w:r w:rsidRPr="00A156B6">
        <w:t xml:space="preserve">As of FY 2012, the FBI has over 2,900 pending Indian Country (IC) investigations on approximately 200 reservations and 400 Indian gaming facilities throughout 28 states.  Approximately 75 percent of these investigations are in the Minneapolis, Salt Lake City, Phoenix, and Albuquerque Field Offices and the majority of the investigations involve death, sexual/physical assault of children, and felony assaults.  Statistics indicate more than one-third of all Native American women will be raped at least once during their lifetime and nearly two-thirds will be victims of violent assaults.  In addition to the violence, a significant emerging threat for the FBI is white collar crimes associated with Recovery Act funds and the Indian </w:t>
      </w:r>
      <w:r>
        <w:t>G</w:t>
      </w:r>
      <w:r w:rsidRPr="00A156B6">
        <w:t xml:space="preserve">aming industry.  </w:t>
      </w:r>
    </w:p>
    <w:p w:rsidR="00630F6F" w:rsidRPr="00A156B6"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contextualSpacing/>
      </w:pPr>
    </w:p>
    <w:p w:rsidR="00630F6F" w:rsidRPr="00A156B6" w:rsidRDefault="00B61AA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contextualSpacing/>
      </w:pPr>
      <w:r>
        <w:t>Due to jurisdictional issues, the FBI is the primary law enforcement entity in the IC</w:t>
      </w:r>
      <w:r w:rsidR="00630F6F" w:rsidRPr="00A156B6">
        <w:t xml:space="preserve">.  Furthermore, the Bureau of Indian Affairs has a limited number of investigators, who are not present on every reservation.  </w:t>
      </w:r>
      <w:r>
        <w:t>Additionally,</w:t>
      </w:r>
      <w:r w:rsidR="00630F6F" w:rsidRPr="00A156B6">
        <w:t xml:space="preserve"> Tribal</w:t>
      </w:r>
      <w:r w:rsidR="00630F6F">
        <w:t xml:space="preserve"> </w:t>
      </w:r>
      <w:r w:rsidR="00630F6F" w:rsidRPr="00A156B6">
        <w:t>authorities can only prosecute misdemeanors of Indians, and state/local law enforcement does not have jurisdiction within the boundaries of the reservation, with the exception of Public Law 280 states and tribes.  DOJ reported 25</w:t>
      </w:r>
      <w:r w:rsidR="00630F6F">
        <w:t xml:space="preserve"> percent</w:t>
      </w:r>
      <w:r w:rsidR="00630F6F" w:rsidRPr="00A156B6">
        <w:t xml:space="preserve"> of all violent crimes prosecuted by the U.S. Attorney Offices are related to IC.  There are 15 Safe Trails Task Forces </w:t>
      </w:r>
      <w:r w:rsidR="00630F6F">
        <w:t>that</w:t>
      </w:r>
      <w:r w:rsidR="00630F6F" w:rsidRPr="00A156B6">
        <w:t xml:space="preserve"> are addressing drug/gang and violent crimes in IC.  The gang threat on Indian Reservations has become evident to the tribal community leaders, and gang</w:t>
      </w:r>
      <w:r w:rsidR="00630F6F">
        <w:t>-</w:t>
      </w:r>
      <w:r w:rsidR="00630F6F" w:rsidRPr="00A156B6">
        <w:t xml:space="preserve">related violent crime is </w:t>
      </w:r>
      <w:r w:rsidR="00630F6F" w:rsidRPr="00A156B6">
        <w:lastRenderedPageBreak/>
        <w:t>reported to be increasing.  Tribal communities have reported tribal members are bringing back gang ideology from major cities and Drug Trafficking Organizations are recruiting tribal members.</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contextualSpacing/>
      </w:pP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Style w:val="Strong"/>
        </w:rPr>
      </w:pPr>
      <w:r>
        <w:rPr>
          <w:b/>
          <w:bCs/>
          <w:iCs/>
        </w:rPr>
        <w:t>Latin America/Southwest Border</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Style w:val="Strong"/>
        </w:rPr>
      </w:pP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Pr>
          <w:rStyle w:val="Strong"/>
        </w:rPr>
        <w:t>Latin America/</w:t>
      </w:r>
      <w:r w:rsidRPr="000F249A">
        <w:rPr>
          <w:rStyle w:val="Strong"/>
          <w:iCs/>
        </w:rPr>
        <w:t>Southwest</w:t>
      </w:r>
      <w:r>
        <w:rPr>
          <w:rStyle w:val="Strong"/>
          <w:i/>
          <w:iCs/>
        </w:rPr>
        <w:t xml:space="preserve"> </w:t>
      </w:r>
      <w:r w:rsidRPr="000F249A">
        <w:rPr>
          <w:rStyle w:val="Strong"/>
          <w:iCs/>
        </w:rPr>
        <w:t>Border:</w:t>
      </w:r>
      <w:r w:rsidRPr="000F249A">
        <w:t xml:space="preserve"> </w:t>
      </w:r>
      <w:r>
        <w:t xml:space="preserve"> The volatility among internationally-networked criminal organizations and violent gangs along the Southwest border has resulted in a dramatic increase in violence. As rival cartels and gangs battle for control over the lucrative drug markets, significant spikes in kidnappings, homicides and a myriad of other violent acts envelop the U.S.-Mexico border. In addition, these transnational groups are utilizing several “tools” to aid in their objectives, such as public corruption, money laundering, human trafficking, and threats to law enforcement.  </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Cs/>
        </w:rPr>
      </w:pPr>
      <w:r>
        <w:t>The FBI recently realigned its resources to address the Southwest Border threats and vulnerabilities, and has developed an intelligence-led, cross-programmatic strategy to penetrate, disrupt and dismantle the most dangerous organizations and individuals.</w:t>
      </w:r>
      <w:r>
        <w:rPr>
          <w:b/>
          <w:bCs/>
        </w:rPr>
        <w:t xml:space="preserve"> </w:t>
      </w:r>
      <w:r>
        <w:rPr>
          <w:bCs/>
        </w:rPr>
        <w:t xml:space="preserve">This strategy utilizes hybrid squads, increase partnerships with the U.S. Intelligence Community (USIC) and OGA, and examining the enterprises as a business to identify center of gravity in which to exploit/attack.   The primary goal of the hybrid squad model is to bring a cross-programmatic domain view of these dynamic, multi-faceted threats – then target, disrupt, and dismantle these organizations.  Hybrid squads consist of multi-disciplinary teams of special agents, intelligence analysts, Staff Operations Specialists (SOS), and other professionals. The agent composition on the squads will reflect different backgrounds and functional expertise, ranging from violent gangs, public corruption, and violent crimes.  </w:t>
      </w:r>
    </w:p>
    <w:p w:rsidR="00630F6F" w:rsidRDefault="00630F6F" w:rsidP="007471A8">
      <w:pPr>
        <w:contextualSpacing/>
        <w:rPr>
          <w:b/>
          <w:bCs/>
          <w:i/>
          <w:iCs/>
        </w:rPr>
      </w:pPr>
    </w:p>
    <w:p w:rsidR="00630F6F" w:rsidRPr="0047532C" w:rsidRDefault="00630F6F" w:rsidP="007471A8">
      <w:pPr>
        <w:contextualSpacing/>
        <w:rPr>
          <w:b/>
          <w:bCs/>
          <w:i/>
          <w:iCs/>
        </w:rPr>
      </w:pPr>
      <w:r w:rsidRPr="0047532C">
        <w:rPr>
          <w:b/>
          <w:bCs/>
          <w:i/>
          <w:iCs/>
        </w:rPr>
        <w:t>Cyber Program</w:t>
      </w:r>
    </w:p>
    <w:p w:rsidR="00630F6F" w:rsidRPr="004B4465" w:rsidRDefault="00630F6F" w:rsidP="007471A8">
      <w:pPr>
        <w:contextualSpacing/>
      </w:pPr>
      <w:r>
        <w:t>The FBI’s Cyber Program consolidates Headquarters and field resources dedicated to combating cyber crime under a single entity.  This allows the Cyber Program to coordinate, supervise and facilitate the FBI’s investigation of those federal violations in which the Internet, computer systems, or networks are exploited as the principal instruments or targets of criminal activity.  Included under the purview of the Cyber Program within the CEFC DU are criminal computer intrusion investigations; intellectual property rights-related investigations involving theft of trade secrets and signals; copyright infringement investigations involving computer software; credit/debit card fraud where there is substantial Internet and online involvement; online fraud and related identity theft investigations; and the Innocent Images National Initiative.</w:t>
      </w:r>
    </w:p>
    <w:p w:rsidR="00081A77" w:rsidRDefault="00081A77" w:rsidP="007471A8">
      <w:pPr>
        <w:contextualSpacing/>
        <w:rPr>
          <w:b/>
          <w:bCs/>
          <w:i/>
          <w:iCs/>
        </w:rPr>
      </w:pPr>
    </w:p>
    <w:p w:rsidR="00630F6F" w:rsidRPr="0047532C" w:rsidRDefault="00630F6F" w:rsidP="007471A8">
      <w:pPr>
        <w:contextualSpacing/>
        <w:rPr>
          <w:b/>
          <w:bCs/>
          <w:i/>
          <w:iCs/>
        </w:rPr>
      </w:pPr>
      <w:r w:rsidRPr="0047532C">
        <w:rPr>
          <w:b/>
          <w:bCs/>
          <w:i/>
          <w:iCs/>
        </w:rPr>
        <w:t>Lega</w:t>
      </w:r>
      <w:r>
        <w:rPr>
          <w:b/>
          <w:bCs/>
          <w:i/>
          <w:iCs/>
        </w:rPr>
        <w:t>l A</w:t>
      </w:r>
      <w:r w:rsidRPr="0047532C">
        <w:rPr>
          <w:b/>
          <w:bCs/>
          <w:i/>
          <w:iCs/>
        </w:rPr>
        <w:t>t</w:t>
      </w:r>
      <w:r>
        <w:rPr>
          <w:b/>
          <w:bCs/>
          <w:i/>
          <w:iCs/>
        </w:rPr>
        <w:t>taché</w:t>
      </w:r>
      <w:r w:rsidRPr="0047532C">
        <w:rPr>
          <w:b/>
          <w:bCs/>
          <w:i/>
          <w:iCs/>
        </w:rPr>
        <w:t xml:space="preserve"> Program</w:t>
      </w:r>
    </w:p>
    <w:p w:rsidR="00630F6F" w:rsidRDefault="00630F6F" w:rsidP="007471A8">
      <w:pPr>
        <w:contextualSpacing/>
      </w:pPr>
      <w:r>
        <w:t>Crime-fighting in an era of increasing globalization and interconnectivity has become a truly international effort, and the people who make up the FBI’s International Operations Division (IOD) and Legal Attaché (</w:t>
      </w:r>
      <w:proofErr w:type="spellStart"/>
      <w:r>
        <w:t>Legat</w:t>
      </w:r>
      <w:proofErr w:type="spellEnd"/>
      <w:r>
        <w:t>) Program work together to lead and direct the FBI’s growing number of operations around the globe.</w:t>
      </w:r>
    </w:p>
    <w:p w:rsidR="00630F6F" w:rsidRDefault="00630F6F" w:rsidP="007471A8">
      <w:pPr>
        <w:contextualSpacing/>
      </w:pPr>
    </w:p>
    <w:p w:rsidR="00630F6F" w:rsidRDefault="00630F6F" w:rsidP="007471A8">
      <w:pPr>
        <w:contextualSpacing/>
      </w:pPr>
      <w:r>
        <w:t xml:space="preserve">IOD’s Legal Attaché officers - or </w:t>
      </w:r>
      <w:proofErr w:type="spellStart"/>
      <w:r>
        <w:t>Legats</w:t>
      </w:r>
      <w:proofErr w:type="spellEnd"/>
      <w:r>
        <w:t xml:space="preserve"> – and their staffs work hard to combat crime, even as they partner with, and strengthen the bonds between law enforcement personnel throughout the world. Special Agents and professional staff working in IOD use their unique skill sets and knowledge to coordinate investigations large and small, by partnering with the FBI’s criminal and intelligence divisions, foreign law enforcement, and U.S. and foreign intelligence and security services.</w:t>
      </w:r>
    </w:p>
    <w:p w:rsidR="00630F6F" w:rsidRDefault="00630F6F" w:rsidP="007471A8">
      <w:pPr>
        <w:contextualSpacing/>
      </w:pPr>
    </w:p>
    <w:p w:rsidR="00630F6F" w:rsidRDefault="00630F6F" w:rsidP="007471A8">
      <w:pPr>
        <w:contextualSpacing/>
      </w:pPr>
      <w:r>
        <w:t xml:space="preserve">The IOD and </w:t>
      </w:r>
      <w:proofErr w:type="spellStart"/>
      <w:r>
        <w:t>Legat</w:t>
      </w:r>
      <w:proofErr w:type="spellEnd"/>
      <w:r>
        <w:t xml:space="preserve"> program work also includes a major training component, whether it is the support of the International Law Enforcement Academies in Budapest or Botswana, or teaching their law enforcement partners about conducting proper investigations at crime scenes or crisis management.</w:t>
      </w:r>
    </w:p>
    <w:p w:rsidR="00630F6F" w:rsidRPr="0047532C" w:rsidRDefault="00630F6F" w:rsidP="007471A8">
      <w:pPr>
        <w:contextualSpacing/>
        <w:rPr>
          <w:b/>
          <w:bCs/>
          <w:i/>
          <w:iCs/>
        </w:rPr>
      </w:pPr>
      <w:r w:rsidRPr="0047532C">
        <w:rPr>
          <w:b/>
          <w:bCs/>
          <w:i/>
          <w:iCs/>
        </w:rPr>
        <w:lastRenderedPageBreak/>
        <w:t>Management and Support Services</w:t>
      </w:r>
    </w:p>
    <w:p w:rsidR="00630F6F" w:rsidRPr="0047532C" w:rsidRDefault="00630F6F" w:rsidP="007471A8">
      <w:pPr>
        <w:contextualSpacing/>
      </w:pPr>
      <w:r w:rsidRPr="0047532C">
        <w:t xml:space="preserve">In addition to the Criminal Investigative, Cyber, and </w:t>
      </w:r>
      <w:proofErr w:type="spellStart"/>
      <w:r w:rsidRPr="0047532C">
        <w:t>Legat</w:t>
      </w:r>
      <w:proofErr w:type="spellEnd"/>
      <w:r w:rsidRPr="0047532C">
        <w:t xml:space="preserve"> programs that make up the core elements of the CEFC DU, the FBI's various administrative and other security programs provide essential support services.  </w:t>
      </w:r>
    </w:p>
    <w:p w:rsidR="00630F6F" w:rsidRDefault="00630F6F" w:rsidP="007471A8">
      <w:pPr>
        <w:contextualSpacing/>
      </w:pPr>
    </w:p>
    <w:p w:rsidR="00630F6F" w:rsidRPr="00537201" w:rsidRDefault="00630F6F" w:rsidP="007471A8">
      <w:pPr>
        <w:contextualSpacing/>
        <w:rPr>
          <w:b/>
          <w:bCs/>
          <w:u w:val="single"/>
        </w:rPr>
      </w:pPr>
      <w:r w:rsidRPr="00537201">
        <w:rPr>
          <w:b/>
          <w:bCs/>
          <w:u w:val="single"/>
        </w:rPr>
        <w:t>Program Objectives</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630F6F" w:rsidRPr="00120996"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120996">
        <w:rPr>
          <w:b/>
          <w:bCs/>
          <w:i/>
          <w:iCs/>
        </w:rPr>
        <w:t>White Collar Crime:</w:t>
      </w:r>
    </w:p>
    <w:p w:rsidR="00630F6F" w:rsidRPr="00816956" w:rsidRDefault="00630F6F" w:rsidP="007471A8">
      <w:pPr>
        <w:numPr>
          <w:ilvl w:val="0"/>
          <w:numId w:val="13"/>
        </w:numPr>
        <w:contextualSpacing/>
      </w:pPr>
      <w:r w:rsidRPr="00816956">
        <w:t>Initiate undercover operations and employ sophisticated investigative techniques to address fraud related to Federal stimulus funding.</w:t>
      </w:r>
    </w:p>
    <w:p w:rsidR="00630F6F" w:rsidRDefault="00630F6F" w:rsidP="007471A8">
      <w:pPr>
        <w:numPr>
          <w:ilvl w:val="0"/>
          <w:numId w:val="13"/>
        </w:numPr>
        <w:contextualSpacing/>
      </w:pPr>
      <w:r>
        <w:t>Facilitate the intelligence and administrative requirements related to complex public corruption investigations to r</w:t>
      </w:r>
      <w:r w:rsidRPr="00537201">
        <w:t xml:space="preserve">educe the incidence of </w:t>
      </w:r>
      <w:r>
        <w:t>government fraud</w:t>
      </w:r>
      <w:r w:rsidRPr="00537201">
        <w:t xml:space="preserve"> within targeted sectors of local, state, and federal government.</w:t>
      </w:r>
    </w:p>
    <w:p w:rsidR="00630F6F" w:rsidRDefault="00630F6F" w:rsidP="007471A8">
      <w:pPr>
        <w:numPr>
          <w:ilvl w:val="0"/>
          <w:numId w:val="13"/>
        </w:numPr>
        <w:contextualSpacing/>
      </w:pPr>
      <w:r w:rsidRPr="00537201">
        <w:t xml:space="preserve">Reduce the amount of reported economic loss due to fraud and abuse in federally </w:t>
      </w:r>
      <w:r>
        <w:t>f</w:t>
      </w:r>
      <w:r w:rsidRPr="00537201">
        <w:t>unded procurement, contracts, Electronic Benefits Transfer, and entitlement programs.</w:t>
      </w:r>
    </w:p>
    <w:p w:rsidR="00630F6F" w:rsidRDefault="00630F6F" w:rsidP="007471A8">
      <w:pPr>
        <w:numPr>
          <w:ilvl w:val="0"/>
          <w:numId w:val="13"/>
        </w:numPr>
        <w:contextualSpacing/>
      </w:pPr>
      <w:r>
        <w:t>Expand the Border Corruption Initiative (BCI) and threat methodology to better target border corruption in all land, air, and sea ports of entry to mitigate the threat posted to national security.</w:t>
      </w:r>
    </w:p>
    <w:p w:rsidR="00630F6F" w:rsidRDefault="00630F6F" w:rsidP="007471A8">
      <w:pPr>
        <w:numPr>
          <w:ilvl w:val="0"/>
          <w:numId w:val="13"/>
        </w:numPr>
        <w:contextualSpacing/>
      </w:pPr>
      <w:r>
        <w:t>Continue Border Corruption Task Force (BCTFs) coordination with other field divisions and agencies on cross-program strategies regarding the threats associated with counter terrorism, weapons of mass destruction, and counter intelligence matters.</w:t>
      </w:r>
    </w:p>
    <w:p w:rsidR="00630F6F" w:rsidRDefault="00630F6F" w:rsidP="007471A8">
      <w:pPr>
        <w:numPr>
          <w:ilvl w:val="0"/>
          <w:numId w:val="13"/>
        </w:numPr>
        <w:contextualSpacing/>
      </w:pPr>
      <w:r>
        <w:t>Deploy FBI resources to combat significant complex financial crimes in order to:</w:t>
      </w:r>
    </w:p>
    <w:p w:rsidR="00630F6F" w:rsidRPr="00537201" w:rsidRDefault="00630F6F" w:rsidP="007471A8">
      <w:pPr>
        <w:numPr>
          <w:ilvl w:val="1"/>
          <w:numId w:val="54"/>
        </w:numPr>
        <w:tabs>
          <w:tab w:val="left" w:pos="0"/>
          <w:tab w:val="left" w:pos="9360"/>
        </w:tabs>
        <w:contextualSpacing/>
      </w:pPr>
      <w:r w:rsidRPr="00C21A5F">
        <w:t>Minimize the economic loss due to mortgage fraud by identifying, investigating, and disrupting fraudulent activity.</w:t>
      </w:r>
    </w:p>
    <w:p w:rsidR="00630F6F" w:rsidRDefault="00630F6F" w:rsidP="007471A8">
      <w:pPr>
        <w:numPr>
          <w:ilvl w:val="1"/>
          <w:numId w:val="54"/>
        </w:numPr>
        <w:tabs>
          <w:tab w:val="left" w:pos="0"/>
          <w:tab w:val="left" w:pos="9360"/>
        </w:tabs>
        <w:contextualSpacing/>
      </w:pPr>
      <w:r w:rsidRPr="00537201">
        <w:t xml:space="preserve">Reduce the economic loss associated with the theft of </w:t>
      </w:r>
      <w:r>
        <w:t>U.S.</w:t>
      </w:r>
      <w:r w:rsidRPr="00537201">
        <w:t xml:space="preserve"> intellectual property by criminal</w:t>
      </w:r>
      <w:r>
        <w:t>s</w:t>
      </w:r>
      <w:r w:rsidRPr="00537201">
        <w:t>.</w:t>
      </w:r>
    </w:p>
    <w:p w:rsidR="00630F6F" w:rsidRPr="00C21A5F" w:rsidRDefault="00630F6F" w:rsidP="007471A8">
      <w:pPr>
        <w:numPr>
          <w:ilvl w:val="1"/>
          <w:numId w:val="54"/>
        </w:numPr>
        <w:tabs>
          <w:tab w:val="left" w:pos="0"/>
          <w:tab w:val="left" w:pos="9360"/>
        </w:tabs>
        <w:contextualSpacing/>
      </w:pPr>
      <w:r w:rsidRPr="00C21A5F">
        <w:t xml:space="preserve">Reduce the amount of economic loss and market instability </w:t>
      </w:r>
      <w:r>
        <w:t>resulting from</w:t>
      </w:r>
      <w:r w:rsidRPr="00C21A5F">
        <w:t xml:space="preserve"> corporate fraud committed by both individuals and enterprises.</w:t>
      </w:r>
    </w:p>
    <w:p w:rsidR="00630F6F" w:rsidRPr="00537201" w:rsidRDefault="00630F6F" w:rsidP="007471A8">
      <w:pPr>
        <w:numPr>
          <w:ilvl w:val="1"/>
          <w:numId w:val="54"/>
        </w:numPr>
        <w:tabs>
          <w:tab w:val="left" w:pos="0"/>
          <w:tab w:val="left" w:pos="9360"/>
        </w:tabs>
        <w:contextualSpacing/>
      </w:pPr>
      <w:r w:rsidRPr="00537201">
        <w:t>Identify, disrupt, and dismantle money laundering industries</w:t>
      </w:r>
      <w:r>
        <w:t xml:space="preserve"> and confiscate criminal assets associated with said industries.</w:t>
      </w:r>
    </w:p>
    <w:p w:rsidR="00630F6F" w:rsidRPr="00537201" w:rsidRDefault="00630F6F" w:rsidP="007471A8">
      <w:pPr>
        <w:numPr>
          <w:ilvl w:val="1"/>
          <w:numId w:val="54"/>
        </w:numPr>
        <w:tabs>
          <w:tab w:val="left" w:pos="0"/>
          <w:tab w:val="left" w:pos="9360"/>
        </w:tabs>
        <w:contextualSpacing/>
      </w:pPr>
      <w:r w:rsidRPr="00537201">
        <w:t>Reduce the economic loss attributable to fraudulent billing practices affecting private and public health care insurers.</w:t>
      </w:r>
    </w:p>
    <w:p w:rsidR="00630F6F" w:rsidRPr="00537201" w:rsidRDefault="00630F6F" w:rsidP="007471A8">
      <w:pPr>
        <w:numPr>
          <w:ilvl w:val="1"/>
          <w:numId w:val="54"/>
        </w:numPr>
        <w:tabs>
          <w:tab w:val="left" w:pos="0"/>
          <w:tab w:val="left" w:pos="9360"/>
        </w:tabs>
        <w:contextualSpacing/>
      </w:pPr>
      <w:r w:rsidRPr="00537201">
        <w:t>Minimize economic loss due to crimes such as check fraud, loan fraud, and c</w:t>
      </w:r>
      <w:r>
        <w:t>yber-banking fraud in federally-</w:t>
      </w:r>
      <w:r w:rsidRPr="00537201">
        <w:t>insured financial institutions.</w:t>
      </w:r>
    </w:p>
    <w:p w:rsidR="00630F6F" w:rsidRPr="00537201" w:rsidRDefault="00630F6F" w:rsidP="007471A8">
      <w:pPr>
        <w:numPr>
          <w:ilvl w:val="1"/>
          <w:numId w:val="54"/>
        </w:numPr>
        <w:tabs>
          <w:tab w:val="left" w:pos="0"/>
          <w:tab w:val="left" w:pos="9360"/>
        </w:tabs>
        <w:contextualSpacing/>
      </w:pPr>
      <w:r w:rsidRPr="00537201">
        <w:t>Reduce the amount of economic loss to the insurance industry due to fraud, both internal and external.</w:t>
      </w:r>
    </w:p>
    <w:p w:rsidR="00630F6F" w:rsidRDefault="00630F6F" w:rsidP="007471A8">
      <w:pPr>
        <w:numPr>
          <w:ilvl w:val="1"/>
          <w:numId w:val="54"/>
        </w:numPr>
        <w:tabs>
          <w:tab w:val="left" w:pos="0"/>
          <w:tab w:val="left" w:pos="9360"/>
        </w:tabs>
        <w:contextualSpacing/>
      </w:pPr>
      <w:r w:rsidRPr="00537201">
        <w:t xml:space="preserve">Reduce economic loss to investors due to fraud in the investment marketplace, bogus securities, and </w:t>
      </w:r>
      <w:r>
        <w:t>I</w:t>
      </w:r>
      <w:r w:rsidRPr="00537201">
        <w:t>nternet fraud.</w:t>
      </w:r>
    </w:p>
    <w:p w:rsidR="00630F6F" w:rsidRDefault="00630F6F" w:rsidP="007471A8">
      <w:pPr>
        <w:numPr>
          <w:ilvl w:val="1"/>
          <w:numId w:val="54"/>
        </w:numPr>
        <w:tabs>
          <w:tab w:val="left" w:pos="0"/>
          <w:tab w:val="left" w:pos="9360"/>
        </w:tabs>
        <w:contextualSpacing/>
      </w:pPr>
      <w:r w:rsidRPr="00537201">
        <w:t xml:space="preserve">Reduce the amount of economic loss caused by fraudulent bankruptcy filings throughout the </w:t>
      </w:r>
      <w:r>
        <w:t>U.S</w:t>
      </w:r>
      <w:r w:rsidRPr="00537201">
        <w:t>.</w:t>
      </w:r>
    </w:p>
    <w:p w:rsidR="00630F6F" w:rsidRDefault="00630F6F" w:rsidP="007471A8">
      <w:pPr>
        <w:tabs>
          <w:tab w:val="left" w:pos="0"/>
          <w:tab w:val="left" w:pos="9360"/>
        </w:tabs>
        <w:contextualSpacing/>
      </w:pPr>
    </w:p>
    <w:p w:rsidR="00630F6F" w:rsidRDefault="00630F6F" w:rsidP="007471A8">
      <w:pPr>
        <w:tabs>
          <w:tab w:val="left" w:pos="0"/>
          <w:tab w:val="left" w:pos="9360"/>
        </w:tabs>
        <w:contextualSpacing/>
        <w:rPr>
          <w:b/>
          <w:bCs/>
          <w:i/>
          <w:iCs/>
        </w:rPr>
      </w:pPr>
      <w:r>
        <w:rPr>
          <w:b/>
          <w:bCs/>
          <w:i/>
          <w:iCs/>
        </w:rPr>
        <w:t>Cyber:</w:t>
      </w:r>
    </w:p>
    <w:p w:rsidR="00630F6F" w:rsidRDefault="00630F6F" w:rsidP="007471A8">
      <w:pPr>
        <w:numPr>
          <w:ilvl w:val="0"/>
          <w:numId w:val="13"/>
        </w:numPr>
        <w:contextualSpacing/>
      </w:pPr>
      <w:r>
        <w:t xml:space="preserve">Investigate and prevent criminal computer intrusions, intellectual property rights violations and theft of trade secrets, internet fraud, etc. </w:t>
      </w:r>
    </w:p>
    <w:p w:rsidR="00630F6F" w:rsidRDefault="00630F6F" w:rsidP="007471A8">
      <w:pPr>
        <w:numPr>
          <w:ilvl w:val="0"/>
          <w:numId w:val="13"/>
        </w:numPr>
        <w:contextualSpacing/>
      </w:pPr>
      <w:r w:rsidRPr="00537201">
        <w:t xml:space="preserve">Reduce the amount of economic loss </w:t>
      </w:r>
      <w:r>
        <w:t>associated with the theft of U.S. intellectual property by criminals.</w:t>
      </w:r>
    </w:p>
    <w:p w:rsidR="00630F6F" w:rsidRDefault="00630F6F" w:rsidP="007471A8">
      <w:pPr>
        <w:numPr>
          <w:ilvl w:val="0"/>
          <w:numId w:val="13"/>
        </w:numPr>
        <w:contextualSpacing/>
      </w:pPr>
      <w:r>
        <w:t>Investigate and prevent acts of sexual exploitation and abuse of children which are facilitated through the use of computers.</w:t>
      </w:r>
    </w:p>
    <w:p w:rsidR="00630F6F" w:rsidRDefault="00630F6F" w:rsidP="007471A8">
      <w:pPr>
        <w:numPr>
          <w:ilvl w:val="0"/>
          <w:numId w:val="13"/>
        </w:numPr>
        <w:contextualSpacing/>
      </w:pPr>
      <w:r>
        <w:t>Develop partnerships between the FBI and private sector, academia, and other public entities to support the FBI’s mission.</w:t>
      </w:r>
    </w:p>
    <w:p w:rsidR="00630F6F" w:rsidRDefault="00630F6F" w:rsidP="007471A8">
      <w:pPr>
        <w:numPr>
          <w:ilvl w:val="0"/>
          <w:numId w:val="13"/>
        </w:numPr>
        <w:contextualSpacing/>
      </w:pPr>
      <w:r>
        <w:lastRenderedPageBreak/>
        <w:t>Serve as a vehicle to receive, develop, and refer criminal complaints regarding the cyber crime arena.</w:t>
      </w:r>
    </w:p>
    <w:p w:rsidR="00630F6F" w:rsidRPr="005D59F5" w:rsidRDefault="00630F6F" w:rsidP="007471A8">
      <w:pPr>
        <w:numPr>
          <w:ilvl w:val="0"/>
          <w:numId w:val="13"/>
        </w:numPr>
        <w:contextualSpacing/>
      </w:pPr>
      <w:r>
        <w:t>Identify, develop and deliver core and continuing education for Cyber investigators across all levels of the law enforcement, both domestic and international.</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120996">
        <w:rPr>
          <w:b/>
          <w:bCs/>
          <w:i/>
          <w:iCs/>
        </w:rPr>
        <w:t>Civil Rights:</w:t>
      </w:r>
    </w:p>
    <w:p w:rsidR="00630F6F" w:rsidRPr="00537201" w:rsidRDefault="00630F6F" w:rsidP="007471A8">
      <w:pPr>
        <w:numPr>
          <w:ilvl w:val="0"/>
          <w:numId w:val="13"/>
        </w:numPr>
        <w:contextualSpacing/>
      </w:pPr>
      <w:r w:rsidRPr="00537201">
        <w:t xml:space="preserve">Deter civil rights violations through aggressive investigation of those crimes wherein the motivation appears to have been based on race, </w:t>
      </w:r>
      <w:r>
        <w:t xml:space="preserve">sexuality, </w:t>
      </w:r>
      <w:r w:rsidRPr="00537201">
        <w:t>color, religion, or ethnic/national origin; reports of abuse of authority under color of law; reports of slavery and involuntary servitude; and reports of the use of force or</w:t>
      </w:r>
      <w:r>
        <w:t xml:space="preserve"> the</w:t>
      </w:r>
      <w:r w:rsidRPr="00537201">
        <w:t xml:space="preserve"> threat of force for the purpose of injuring, intimidating, or interfering with a person seeking to obtain or provide reproductive health services and through proactive measures such as the training of local law enforcement in civil rights matters.</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630F6F" w:rsidRPr="00120996"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120996">
        <w:rPr>
          <w:b/>
          <w:bCs/>
          <w:i/>
          <w:iCs/>
        </w:rPr>
        <w:t>Gang Violence:</w:t>
      </w:r>
    </w:p>
    <w:p w:rsidR="00630F6F" w:rsidRDefault="00630F6F" w:rsidP="007471A8">
      <w:pPr>
        <w:numPr>
          <w:ilvl w:val="0"/>
          <w:numId w:val="13"/>
        </w:numPr>
        <w:contextualSpacing/>
      </w:pPr>
      <w:r>
        <w:t xml:space="preserve">Infiltrate, disrupt and dismantle violent gang activities by targeting groups of gangs using sensitive investigative and intelligence </w:t>
      </w:r>
      <w:r w:rsidRPr="00461843">
        <w:t xml:space="preserve">techniques </w:t>
      </w:r>
      <w:r>
        <w:t xml:space="preserve">to initiate long term proactive investigations.  </w:t>
      </w:r>
    </w:p>
    <w:p w:rsidR="00630F6F" w:rsidRPr="00F07AF0" w:rsidRDefault="00630F6F" w:rsidP="007471A8">
      <w:pPr>
        <w:ind w:left="720"/>
        <w:contextualSpacing/>
      </w:pPr>
    </w:p>
    <w:p w:rsidR="00630F6F" w:rsidRPr="00245AC3" w:rsidRDefault="00630F6F" w:rsidP="007471A8">
      <w:pPr>
        <w:contextualSpacing/>
        <w:rPr>
          <w:b/>
          <w:bCs/>
          <w:i/>
          <w:iCs/>
        </w:rPr>
      </w:pPr>
      <w:r w:rsidRPr="00120996">
        <w:rPr>
          <w:b/>
          <w:bCs/>
          <w:i/>
          <w:iCs/>
        </w:rPr>
        <w:t>Organized Crime</w:t>
      </w:r>
      <w:r w:rsidRPr="00120996">
        <w:rPr>
          <w:b/>
          <w:bCs/>
        </w:rPr>
        <w:t>:</w:t>
      </w:r>
    </w:p>
    <w:p w:rsidR="00630F6F" w:rsidRDefault="00630F6F" w:rsidP="007471A8">
      <w:pPr>
        <w:numPr>
          <w:ilvl w:val="0"/>
          <w:numId w:val="13"/>
        </w:numPr>
        <w:contextualSpacing/>
      </w:pPr>
      <w:r>
        <w:t>Combat transnational organizations and enterprises and collect resources supporting intelligence and investigation actions to disrupt and dismantle organized criminal activities worldwide.</w:t>
      </w:r>
    </w:p>
    <w:p w:rsidR="00630F6F" w:rsidRDefault="00630F6F" w:rsidP="007471A8">
      <w:pPr>
        <w:numPr>
          <w:ilvl w:val="0"/>
          <w:numId w:val="13"/>
        </w:numPr>
        <w:contextualSpacing/>
      </w:pPr>
      <w:r>
        <w:t>Continually assess the international organized crime threat in the country by outlining current state of FBI resources and better position the FBI to strategically direct investigatory resources to the highest threat areas.</w:t>
      </w:r>
    </w:p>
    <w:p w:rsidR="00630F6F" w:rsidRDefault="00630F6F" w:rsidP="007471A8">
      <w:pPr>
        <w:numPr>
          <w:ilvl w:val="0"/>
          <w:numId w:val="13"/>
        </w:numPr>
        <w:contextualSpacing/>
      </w:pPr>
      <w:r>
        <w:t>Execute</w:t>
      </w:r>
      <w:r w:rsidRPr="00EF5E10">
        <w:t xml:space="preserve"> a comprehensive strategy to disrupt and dismantle </w:t>
      </w:r>
      <w:proofErr w:type="spellStart"/>
      <w:r>
        <w:t>Semion</w:t>
      </w:r>
      <w:proofErr w:type="spellEnd"/>
      <w:r w:rsidRPr="00EF5E10">
        <w:t xml:space="preserve"> </w:t>
      </w:r>
      <w:proofErr w:type="spellStart"/>
      <w:r w:rsidRPr="00EF5E10">
        <w:t>Mogilevich</w:t>
      </w:r>
      <w:proofErr w:type="spellEnd"/>
      <w:r w:rsidRPr="00EF5E10">
        <w:t xml:space="preserve"> Organization and </w:t>
      </w:r>
      <w:r>
        <w:t>Brothers’ Circle</w:t>
      </w:r>
      <w:r w:rsidRPr="00D2088D">
        <w:t xml:space="preserve"> </w:t>
      </w:r>
      <w:r>
        <w:t>through two planned Threat Fusion Cells (TFCs).</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p>
    <w:p w:rsidR="00630F6F" w:rsidRPr="00120996"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120996">
        <w:rPr>
          <w:b/>
          <w:bCs/>
          <w:i/>
          <w:iCs/>
        </w:rPr>
        <w:t>Violent Crime:</w:t>
      </w:r>
    </w:p>
    <w:p w:rsidR="00630F6F" w:rsidRDefault="00630F6F" w:rsidP="007471A8">
      <w:pPr>
        <w:numPr>
          <w:ilvl w:val="0"/>
          <w:numId w:val="13"/>
        </w:numPr>
        <w:contextualSpacing/>
      </w:pPr>
      <w:r>
        <w:t>Investigate the most egregious and violent criminal acts across Indian Country to include homicide, child sexual/physical assault, violent assault, drugs/gangs, gaming violations, and property crimes.</w:t>
      </w:r>
    </w:p>
    <w:p w:rsidR="00630F6F" w:rsidRDefault="00630F6F" w:rsidP="007471A8">
      <w:pPr>
        <w:numPr>
          <w:ilvl w:val="0"/>
          <w:numId w:val="13"/>
        </w:numPr>
        <w:contextualSpacing/>
      </w:pPr>
      <w:r>
        <w:t xml:space="preserve">Promote and encourage a level of self-sufficiency for tribal law enforcement on Indian Reservations and allotment </w:t>
      </w:r>
      <w:r w:rsidRPr="00841ECA">
        <w:t>territory, thereby allowing the FBI to improve the response and efficiency of Special Agent and support resources in IC; improve the overall quality of law enforcement service in IC through increased coordination with BIA and tribal police, joint training efforts, and joint investigative efforts; establish Safe Trail</w:t>
      </w:r>
      <w:r>
        <w:t>s</w:t>
      </w:r>
      <w:r w:rsidRPr="00841ECA">
        <w:t xml:space="preserve"> Task Forces, with objectives focused on specific priority crime problem(s) not effectively addressed by the FBI or other law enforcement agencies in IC; provide training to IC Special Agents, support personnel, and BIA/tribal police; and assist and support DOJ efforts to professionalize law enforcement operations in IC, to include crime statistics reporting, records management, automation, and case management.</w:t>
      </w:r>
    </w:p>
    <w:p w:rsidR="00630F6F" w:rsidRDefault="00630F6F" w:rsidP="007471A8">
      <w:pPr>
        <w:numPr>
          <w:ilvl w:val="0"/>
          <w:numId w:val="13"/>
        </w:numPr>
        <w:contextualSpacing/>
      </w:pPr>
      <w:r w:rsidRPr="00537201">
        <w:t>Provide a rapid and effective investigative response to reported federal crimes involving the victimization of children; reduce the vulnerability of children to acts of sexual exploitation and abuse; reduce the negative impact of domestic/international parental rights disputes; and strengthen the capabilities of federal, state and local law enforcement through training programs and investigative assistance.</w:t>
      </w:r>
    </w:p>
    <w:p w:rsidR="00630F6F" w:rsidRDefault="00630F6F" w:rsidP="007471A8">
      <w:pPr>
        <w:tabs>
          <w:tab w:val="left" w:pos="0"/>
          <w:tab w:val="left" w:pos="9360"/>
        </w:tabs>
        <w:contextualSpacing/>
      </w:pPr>
    </w:p>
    <w:p w:rsidR="00245AC3" w:rsidRDefault="00245AC3">
      <w:pPr>
        <w:rPr>
          <w:b/>
          <w:bCs/>
          <w:i/>
          <w:iCs/>
        </w:rPr>
      </w:pPr>
      <w:r>
        <w:rPr>
          <w:b/>
          <w:bCs/>
          <w:i/>
          <w:iCs/>
        </w:rPr>
        <w:br w:type="page"/>
      </w:r>
    </w:p>
    <w:p w:rsidR="00630F6F" w:rsidRDefault="00630F6F" w:rsidP="007471A8">
      <w:pPr>
        <w:contextualSpacing/>
        <w:rPr>
          <w:b/>
          <w:bCs/>
          <w:i/>
          <w:iCs/>
        </w:rPr>
      </w:pPr>
      <w:r>
        <w:rPr>
          <w:b/>
          <w:bCs/>
          <w:i/>
          <w:iCs/>
        </w:rPr>
        <w:lastRenderedPageBreak/>
        <w:t>Latin America/Southwest Border:</w:t>
      </w:r>
    </w:p>
    <w:p w:rsidR="00630F6F" w:rsidRDefault="00630F6F" w:rsidP="007471A8">
      <w:pPr>
        <w:numPr>
          <w:ilvl w:val="0"/>
          <w:numId w:val="55"/>
        </w:numPr>
        <w:contextualSpacing/>
      </w:pPr>
      <w:r>
        <w:t xml:space="preserve">Infiltrate, disrupt and dismantle Mexican, South and Central Criminal Enterprises by targeting their center of gravity utilizing sensitive investigative and intelligence techniques to initiate long term proactive investigations.  </w:t>
      </w:r>
    </w:p>
    <w:p w:rsidR="00630F6F" w:rsidRDefault="00630F6F" w:rsidP="007471A8">
      <w:pPr>
        <w:numPr>
          <w:ilvl w:val="0"/>
          <w:numId w:val="55"/>
        </w:numPr>
        <w:contextualSpacing/>
      </w:pPr>
      <w:r>
        <w:t>Expand and create new partnerships with the USIC and OGA in order to better coordinate and facilitate the flow and utilization of intelligence against the threat posed by Mexican, South, and Central Criminal Enterprises.</w:t>
      </w:r>
    </w:p>
    <w:p w:rsidR="00630F6F" w:rsidRDefault="00630F6F" w:rsidP="007471A8">
      <w:pPr>
        <w:numPr>
          <w:ilvl w:val="0"/>
          <w:numId w:val="55"/>
        </w:numPr>
        <w:contextualSpacing/>
      </w:pPr>
      <w:r>
        <w:t>Continually assess the Mexican, South and Central Criminal Enterprises threat in the country by outlining current state of FBI resources and better position the FBI to strategically direct investigatory and intelligence resources to the highest threat areas.</w:t>
      </w:r>
    </w:p>
    <w:p w:rsidR="00630F6F" w:rsidRDefault="00630F6F" w:rsidP="007471A8">
      <w:pPr>
        <w:contextualSpacing/>
        <w:rPr>
          <w:i/>
          <w:iCs/>
        </w:rPr>
      </w:pPr>
    </w:p>
    <w:p w:rsidR="00630F6F" w:rsidRDefault="00630F6F" w:rsidP="007471A8">
      <w:pPr>
        <w:contextualSpacing/>
        <w:rPr>
          <w:b/>
        </w:rPr>
        <w:sectPr w:rsidR="00630F6F" w:rsidSect="000906AA">
          <w:headerReference w:type="default" r:id="rId32"/>
          <w:footerReference w:type="default" r:id="rId33"/>
          <w:pgSz w:w="12240" w:h="15840"/>
          <w:pgMar w:top="1080" w:right="1080" w:bottom="1080" w:left="1080" w:header="432" w:footer="432" w:gutter="0"/>
          <w:cols w:space="720"/>
          <w:docGrid w:linePitch="360"/>
        </w:sectPr>
      </w:pPr>
    </w:p>
    <w:p w:rsidR="00B578D6" w:rsidRPr="005375B8" w:rsidRDefault="00B578D6" w:rsidP="007471A8">
      <w:pPr>
        <w:contextualSpacing/>
        <w:rPr>
          <w:b/>
        </w:rPr>
      </w:pPr>
    </w:p>
    <w:tbl>
      <w:tblPr>
        <w:tblpPr w:leftFromText="187" w:rightFromText="187" w:vertAnchor="text" w:tblpXSpec="center" w:tblpY="1"/>
        <w:tblOverlap w:val="never"/>
        <w:tblW w:w="13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1" w:type="dxa"/>
          <w:right w:w="81" w:type="dxa"/>
        </w:tblCellMar>
        <w:tblLook w:val="0000"/>
      </w:tblPr>
      <w:tblGrid>
        <w:gridCol w:w="1815"/>
        <w:gridCol w:w="6"/>
        <w:gridCol w:w="3141"/>
        <w:gridCol w:w="616"/>
        <w:gridCol w:w="14"/>
        <w:gridCol w:w="1189"/>
        <w:gridCol w:w="564"/>
        <w:gridCol w:w="246"/>
        <w:gridCol w:w="865"/>
        <w:gridCol w:w="599"/>
        <w:gridCol w:w="122"/>
        <w:gridCol w:w="939"/>
        <w:gridCol w:w="641"/>
        <w:gridCol w:w="169"/>
        <w:gridCol w:w="810"/>
        <w:gridCol w:w="621"/>
        <w:gridCol w:w="32"/>
        <w:gridCol w:w="973"/>
      </w:tblGrid>
      <w:tr w:rsidR="00B578D6" w:rsidRPr="005375B8" w:rsidTr="00BA0919">
        <w:trPr>
          <w:cantSplit/>
          <w:trHeight w:val="468"/>
          <w:tblHeader/>
        </w:trPr>
        <w:tc>
          <w:tcPr>
            <w:tcW w:w="13362" w:type="dxa"/>
            <w:gridSpan w:val="18"/>
            <w:shd w:val="clear" w:color="auto" w:fill="FFFFCC"/>
            <w:vAlign w:val="center"/>
          </w:tcPr>
          <w:p w:rsidR="00B578D6" w:rsidRPr="005375B8" w:rsidRDefault="00B578D6" w:rsidP="00B75B18">
            <w:pPr>
              <w:contextualSpacing/>
              <w:jc w:val="center"/>
              <w:rPr>
                <w:b/>
                <w:bCs/>
                <w:sz w:val="20"/>
                <w:szCs w:val="20"/>
              </w:rPr>
            </w:pPr>
            <w:r w:rsidRPr="005375B8">
              <w:rPr>
                <w:b/>
                <w:bCs/>
                <w:sz w:val="20"/>
                <w:szCs w:val="20"/>
              </w:rPr>
              <w:t>PERFORMANCE/RESOURCES TABLE</w:t>
            </w:r>
          </w:p>
        </w:tc>
      </w:tr>
      <w:tr w:rsidR="00B578D6" w:rsidRPr="005375B8" w:rsidTr="00B75B18">
        <w:trPr>
          <w:trHeight w:val="395"/>
        </w:trPr>
        <w:tc>
          <w:tcPr>
            <w:tcW w:w="13362" w:type="dxa"/>
            <w:gridSpan w:val="18"/>
            <w:vAlign w:val="center"/>
          </w:tcPr>
          <w:p w:rsidR="00B578D6" w:rsidRPr="005375B8" w:rsidRDefault="00B578D6" w:rsidP="00B75B18">
            <w:pPr>
              <w:contextualSpacing/>
              <w:rPr>
                <w:b/>
                <w:bCs/>
                <w:sz w:val="18"/>
                <w:szCs w:val="18"/>
              </w:rPr>
            </w:pPr>
            <w:r w:rsidRPr="005375B8">
              <w:rPr>
                <w:b/>
                <w:bCs/>
                <w:sz w:val="18"/>
                <w:szCs w:val="18"/>
              </w:rPr>
              <w:t>Decision Unit:</w:t>
            </w:r>
            <w:r w:rsidRPr="005375B8">
              <w:rPr>
                <w:sz w:val="18"/>
                <w:szCs w:val="18"/>
              </w:rPr>
              <w:t xml:space="preserve">  Criminal Enterprises and Federal Crimes</w:t>
            </w:r>
          </w:p>
        </w:tc>
      </w:tr>
      <w:tr w:rsidR="00B578D6" w:rsidRPr="005375B8" w:rsidTr="00B75B18">
        <w:trPr>
          <w:trHeight w:val="428"/>
        </w:trPr>
        <w:tc>
          <w:tcPr>
            <w:tcW w:w="13362" w:type="dxa"/>
            <w:gridSpan w:val="18"/>
            <w:vAlign w:val="center"/>
          </w:tcPr>
          <w:p w:rsidR="00B578D6" w:rsidRPr="005375B8" w:rsidRDefault="00B578D6" w:rsidP="00B75B18">
            <w:pPr>
              <w:contextualSpacing/>
              <w:rPr>
                <w:b/>
                <w:bCs/>
                <w:sz w:val="16"/>
                <w:szCs w:val="16"/>
              </w:rPr>
            </w:pPr>
            <w:r w:rsidRPr="005375B8">
              <w:rPr>
                <w:b/>
                <w:bCs/>
                <w:sz w:val="18"/>
                <w:szCs w:val="18"/>
              </w:rPr>
              <w:t xml:space="preserve">DOJ Strategic Goal/Objective </w:t>
            </w:r>
            <w:r w:rsidRPr="00F442CF">
              <w:rPr>
                <w:b/>
                <w:sz w:val="18"/>
                <w:szCs w:val="18"/>
              </w:rPr>
              <w:t>Goal 2:</w:t>
            </w:r>
            <w:r w:rsidRPr="005375B8">
              <w:rPr>
                <w:sz w:val="18"/>
                <w:szCs w:val="18"/>
              </w:rPr>
              <w:t xml:space="preserve">  Prevent Crime, </w:t>
            </w:r>
            <w:r>
              <w:rPr>
                <w:sz w:val="18"/>
                <w:szCs w:val="18"/>
              </w:rPr>
              <w:t>Protect</w:t>
            </w:r>
            <w:r w:rsidRPr="005375B8">
              <w:rPr>
                <w:sz w:val="18"/>
                <w:szCs w:val="18"/>
              </w:rPr>
              <w:t xml:space="preserve"> the Rights of the American People, </w:t>
            </w:r>
            <w:r>
              <w:rPr>
                <w:sz w:val="18"/>
                <w:szCs w:val="18"/>
              </w:rPr>
              <w:t xml:space="preserve">and Enforce Federal Law. </w:t>
            </w:r>
            <w:r w:rsidRPr="005375B8">
              <w:rPr>
                <w:sz w:val="18"/>
                <w:szCs w:val="18"/>
              </w:rPr>
              <w:t>Objectives 2.</w:t>
            </w:r>
            <w:r>
              <w:rPr>
                <w:sz w:val="18"/>
                <w:szCs w:val="18"/>
              </w:rPr>
              <w:t>1-2.5</w:t>
            </w:r>
            <w:r w:rsidRPr="005375B8">
              <w:rPr>
                <w:sz w:val="18"/>
                <w:szCs w:val="18"/>
              </w:rPr>
              <w:t>.</w:t>
            </w:r>
          </w:p>
        </w:tc>
      </w:tr>
      <w:tr w:rsidR="00B578D6" w:rsidRPr="005375B8" w:rsidTr="00B75B18">
        <w:trPr>
          <w:trHeight w:val="626"/>
        </w:trPr>
        <w:tc>
          <w:tcPr>
            <w:tcW w:w="4962" w:type="dxa"/>
            <w:gridSpan w:val="3"/>
            <w:vMerge w:val="restart"/>
            <w:vAlign w:val="center"/>
          </w:tcPr>
          <w:p w:rsidR="00B578D6" w:rsidRPr="005375B8" w:rsidRDefault="00B578D6" w:rsidP="00B75B18">
            <w:pPr>
              <w:contextualSpacing/>
              <w:jc w:val="center"/>
              <w:rPr>
                <w:b/>
                <w:bCs/>
                <w:sz w:val="18"/>
                <w:szCs w:val="18"/>
              </w:rPr>
            </w:pPr>
            <w:r w:rsidRPr="005375B8">
              <w:rPr>
                <w:b/>
                <w:bCs/>
                <w:sz w:val="18"/>
                <w:szCs w:val="18"/>
              </w:rPr>
              <w:t>WORKLOAD/ RESOURCES</w:t>
            </w:r>
          </w:p>
        </w:tc>
        <w:tc>
          <w:tcPr>
            <w:tcW w:w="1819" w:type="dxa"/>
            <w:gridSpan w:val="3"/>
            <w:tcBorders>
              <w:bottom w:val="single" w:sz="4" w:space="0" w:color="000000"/>
            </w:tcBorders>
            <w:vAlign w:val="center"/>
          </w:tcPr>
          <w:p w:rsidR="00B578D6" w:rsidRPr="005375B8" w:rsidRDefault="00B578D6" w:rsidP="00B75B18">
            <w:pPr>
              <w:contextualSpacing/>
              <w:jc w:val="center"/>
              <w:rPr>
                <w:b/>
                <w:bCs/>
                <w:sz w:val="16"/>
                <w:szCs w:val="16"/>
              </w:rPr>
            </w:pPr>
            <w:r w:rsidRPr="005375B8">
              <w:rPr>
                <w:b/>
                <w:bCs/>
                <w:sz w:val="16"/>
                <w:szCs w:val="16"/>
              </w:rPr>
              <w:t>Final Target</w:t>
            </w:r>
          </w:p>
        </w:tc>
        <w:tc>
          <w:tcPr>
            <w:tcW w:w="1675" w:type="dxa"/>
            <w:gridSpan w:val="3"/>
            <w:tcBorders>
              <w:bottom w:val="single" w:sz="4" w:space="0" w:color="000000"/>
            </w:tcBorders>
            <w:vAlign w:val="center"/>
          </w:tcPr>
          <w:p w:rsidR="00B578D6" w:rsidRPr="005375B8" w:rsidRDefault="00B578D6" w:rsidP="00B75B18">
            <w:pPr>
              <w:contextualSpacing/>
              <w:jc w:val="center"/>
              <w:rPr>
                <w:b/>
                <w:bCs/>
                <w:sz w:val="16"/>
                <w:szCs w:val="16"/>
              </w:rPr>
            </w:pPr>
            <w:r w:rsidRPr="005375B8">
              <w:rPr>
                <w:b/>
                <w:bCs/>
                <w:sz w:val="16"/>
                <w:szCs w:val="16"/>
              </w:rPr>
              <w:t>Actual</w:t>
            </w:r>
          </w:p>
        </w:tc>
        <w:tc>
          <w:tcPr>
            <w:tcW w:w="1660" w:type="dxa"/>
            <w:gridSpan w:val="3"/>
            <w:tcBorders>
              <w:bottom w:val="single" w:sz="4" w:space="0" w:color="000000"/>
            </w:tcBorders>
            <w:vAlign w:val="center"/>
          </w:tcPr>
          <w:p w:rsidR="00B578D6" w:rsidRPr="005375B8" w:rsidRDefault="00B578D6" w:rsidP="00B75B18">
            <w:pPr>
              <w:contextualSpacing/>
              <w:jc w:val="center"/>
              <w:rPr>
                <w:b/>
                <w:bCs/>
                <w:sz w:val="16"/>
                <w:szCs w:val="16"/>
              </w:rPr>
            </w:pPr>
            <w:r w:rsidRPr="005375B8">
              <w:rPr>
                <w:b/>
                <w:bCs/>
                <w:sz w:val="16"/>
                <w:szCs w:val="16"/>
              </w:rPr>
              <w:t>Projected</w:t>
            </w:r>
          </w:p>
        </w:tc>
        <w:tc>
          <w:tcPr>
            <w:tcW w:w="1620" w:type="dxa"/>
            <w:gridSpan w:val="3"/>
            <w:tcBorders>
              <w:bottom w:val="single" w:sz="4" w:space="0" w:color="000000"/>
            </w:tcBorders>
            <w:vAlign w:val="center"/>
          </w:tcPr>
          <w:p w:rsidR="00B578D6" w:rsidRPr="005375B8" w:rsidRDefault="00B578D6" w:rsidP="00B75B18">
            <w:pPr>
              <w:contextualSpacing/>
              <w:jc w:val="center"/>
              <w:rPr>
                <w:b/>
                <w:bCs/>
                <w:sz w:val="16"/>
                <w:szCs w:val="16"/>
              </w:rPr>
            </w:pPr>
            <w:r w:rsidRPr="005375B8">
              <w:rPr>
                <w:b/>
                <w:bCs/>
                <w:sz w:val="16"/>
                <w:szCs w:val="16"/>
              </w:rPr>
              <w:t>Changes</w:t>
            </w:r>
          </w:p>
        </w:tc>
        <w:tc>
          <w:tcPr>
            <w:tcW w:w="1626" w:type="dxa"/>
            <w:gridSpan w:val="3"/>
            <w:tcBorders>
              <w:bottom w:val="single" w:sz="4" w:space="0" w:color="000000"/>
            </w:tcBorders>
            <w:vAlign w:val="center"/>
          </w:tcPr>
          <w:p w:rsidR="00B578D6" w:rsidRPr="005375B8" w:rsidRDefault="00B578D6" w:rsidP="00B75B18">
            <w:pPr>
              <w:contextualSpacing/>
              <w:jc w:val="center"/>
              <w:rPr>
                <w:sz w:val="16"/>
                <w:szCs w:val="16"/>
              </w:rPr>
            </w:pPr>
            <w:r w:rsidRPr="005375B8">
              <w:rPr>
                <w:b/>
                <w:bCs/>
                <w:sz w:val="16"/>
                <w:szCs w:val="16"/>
              </w:rPr>
              <w:t>Requested (Total)</w:t>
            </w:r>
          </w:p>
        </w:tc>
      </w:tr>
      <w:tr w:rsidR="00B578D6" w:rsidRPr="005375B8" w:rsidTr="00B75B18">
        <w:trPr>
          <w:trHeight w:val="552"/>
        </w:trPr>
        <w:tc>
          <w:tcPr>
            <w:tcW w:w="4962" w:type="dxa"/>
            <w:gridSpan w:val="3"/>
            <w:vMerge/>
          </w:tcPr>
          <w:p w:rsidR="00B578D6" w:rsidRPr="005375B8" w:rsidRDefault="00B578D6" w:rsidP="00B75B18">
            <w:pPr>
              <w:contextualSpacing/>
              <w:jc w:val="center"/>
              <w:rPr>
                <w:b/>
                <w:bCs/>
                <w:sz w:val="16"/>
                <w:szCs w:val="16"/>
              </w:rPr>
            </w:pPr>
          </w:p>
        </w:tc>
        <w:tc>
          <w:tcPr>
            <w:tcW w:w="1819" w:type="dxa"/>
            <w:gridSpan w:val="3"/>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2011</w:t>
            </w:r>
          </w:p>
        </w:tc>
        <w:tc>
          <w:tcPr>
            <w:tcW w:w="1675" w:type="dxa"/>
            <w:gridSpan w:val="3"/>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2011</w:t>
            </w:r>
          </w:p>
        </w:tc>
        <w:tc>
          <w:tcPr>
            <w:tcW w:w="1660" w:type="dxa"/>
            <w:gridSpan w:val="3"/>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 xml:space="preserve">FY 2012 </w:t>
            </w:r>
            <w:r>
              <w:rPr>
                <w:b/>
                <w:bCs/>
                <w:sz w:val="16"/>
                <w:szCs w:val="16"/>
              </w:rPr>
              <w:t>Projected</w:t>
            </w:r>
          </w:p>
        </w:tc>
        <w:tc>
          <w:tcPr>
            <w:tcW w:w="1620" w:type="dxa"/>
            <w:gridSpan w:val="3"/>
            <w:shd w:val="clear" w:color="auto" w:fill="FFAC99"/>
            <w:vAlign w:val="center"/>
          </w:tcPr>
          <w:p w:rsidR="00D107D4" w:rsidRDefault="00B578D6" w:rsidP="00B75B18">
            <w:pPr>
              <w:contextualSpacing/>
              <w:jc w:val="center"/>
              <w:rPr>
                <w:b/>
                <w:bCs/>
                <w:sz w:val="16"/>
                <w:szCs w:val="16"/>
              </w:rPr>
            </w:pPr>
            <w:r w:rsidRPr="005375B8">
              <w:rPr>
                <w:b/>
                <w:bCs/>
                <w:sz w:val="16"/>
                <w:szCs w:val="16"/>
              </w:rPr>
              <w:t xml:space="preserve">Current Services Adjustments &amp; </w:t>
            </w:r>
          </w:p>
          <w:p w:rsidR="00B578D6" w:rsidRPr="005375B8" w:rsidRDefault="00B578D6" w:rsidP="00B75B18">
            <w:pPr>
              <w:contextualSpacing/>
              <w:jc w:val="center"/>
              <w:rPr>
                <w:b/>
                <w:bCs/>
                <w:sz w:val="16"/>
                <w:szCs w:val="16"/>
              </w:rPr>
            </w:pPr>
            <w:r w:rsidRPr="005375B8">
              <w:rPr>
                <w:b/>
                <w:bCs/>
                <w:sz w:val="16"/>
                <w:szCs w:val="16"/>
              </w:rPr>
              <w:t>FY</w:t>
            </w:r>
            <w:r w:rsidR="00D107D4">
              <w:rPr>
                <w:b/>
                <w:bCs/>
                <w:sz w:val="16"/>
                <w:szCs w:val="16"/>
              </w:rPr>
              <w:t xml:space="preserve"> </w:t>
            </w:r>
            <w:r w:rsidRPr="005375B8">
              <w:rPr>
                <w:b/>
                <w:bCs/>
                <w:sz w:val="16"/>
                <w:szCs w:val="16"/>
              </w:rPr>
              <w:t>2013 Program Changes</w:t>
            </w:r>
          </w:p>
        </w:tc>
        <w:tc>
          <w:tcPr>
            <w:tcW w:w="1626" w:type="dxa"/>
            <w:gridSpan w:val="3"/>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2013 Request</w:t>
            </w:r>
          </w:p>
        </w:tc>
      </w:tr>
      <w:tr w:rsidR="00B578D6" w:rsidRPr="005375B8" w:rsidTr="00B75B18">
        <w:trPr>
          <w:trHeight w:val="458"/>
        </w:trPr>
        <w:tc>
          <w:tcPr>
            <w:tcW w:w="4962" w:type="dxa"/>
            <w:gridSpan w:val="3"/>
            <w:vAlign w:val="center"/>
          </w:tcPr>
          <w:p w:rsidR="00B578D6" w:rsidRPr="005375B8" w:rsidRDefault="00B578D6" w:rsidP="00B75B18">
            <w:pPr>
              <w:contextualSpacing/>
              <w:rPr>
                <w:b/>
                <w:bCs/>
                <w:sz w:val="16"/>
                <w:szCs w:val="16"/>
              </w:rPr>
            </w:pPr>
            <w:r w:rsidRPr="005375B8">
              <w:rPr>
                <w:b/>
                <w:bCs/>
                <w:sz w:val="16"/>
                <w:szCs w:val="16"/>
              </w:rPr>
              <w:t xml:space="preserve">Workload  -- </w:t>
            </w:r>
            <w:r w:rsidRPr="005375B8">
              <w:rPr>
                <w:sz w:val="16"/>
                <w:szCs w:val="16"/>
              </w:rPr>
              <w:t># of cases investigated (pending and received)</w:t>
            </w:r>
            <w:r w:rsidRPr="005375B8">
              <w:rPr>
                <w:b/>
                <w:bCs/>
                <w:sz w:val="16"/>
                <w:szCs w:val="16"/>
              </w:rPr>
              <w:t xml:space="preserve"> </w:t>
            </w:r>
          </w:p>
        </w:tc>
        <w:tc>
          <w:tcPr>
            <w:tcW w:w="1819" w:type="dxa"/>
            <w:gridSpan w:val="3"/>
            <w:tcBorders>
              <w:bottom w:val="single" w:sz="4" w:space="0" w:color="000000"/>
            </w:tcBorders>
            <w:vAlign w:val="center"/>
          </w:tcPr>
          <w:p w:rsidR="00B578D6" w:rsidRPr="005375B8" w:rsidRDefault="00B578D6" w:rsidP="00B75B18">
            <w:pPr>
              <w:contextualSpacing/>
              <w:jc w:val="right"/>
              <w:rPr>
                <w:sz w:val="16"/>
                <w:szCs w:val="16"/>
              </w:rPr>
            </w:pPr>
            <w:r w:rsidRPr="005375B8">
              <w:rPr>
                <w:sz w:val="16"/>
                <w:szCs w:val="16"/>
              </w:rPr>
              <w:t>†</w:t>
            </w:r>
          </w:p>
        </w:tc>
        <w:tc>
          <w:tcPr>
            <w:tcW w:w="1675" w:type="dxa"/>
            <w:gridSpan w:val="3"/>
            <w:tcBorders>
              <w:bottom w:val="single" w:sz="4" w:space="0" w:color="000000"/>
            </w:tcBorders>
            <w:vAlign w:val="center"/>
          </w:tcPr>
          <w:p w:rsidR="00B578D6" w:rsidRPr="005375B8" w:rsidRDefault="00B578D6" w:rsidP="00B75B18">
            <w:pPr>
              <w:contextualSpacing/>
              <w:jc w:val="right"/>
              <w:rPr>
                <w:sz w:val="16"/>
                <w:szCs w:val="16"/>
              </w:rPr>
            </w:pPr>
            <w:r>
              <w:rPr>
                <w:sz w:val="16"/>
                <w:szCs w:val="16"/>
              </w:rPr>
              <w:t>80,041</w:t>
            </w:r>
          </w:p>
        </w:tc>
        <w:tc>
          <w:tcPr>
            <w:tcW w:w="1660" w:type="dxa"/>
            <w:gridSpan w:val="3"/>
            <w:tcBorders>
              <w:bottom w:val="single" w:sz="4" w:space="0" w:color="000000"/>
            </w:tcBorders>
            <w:vAlign w:val="center"/>
          </w:tcPr>
          <w:p w:rsidR="00B578D6" w:rsidRPr="005375B8" w:rsidRDefault="00B578D6" w:rsidP="00B75B18">
            <w:pPr>
              <w:contextualSpacing/>
              <w:jc w:val="right"/>
              <w:rPr>
                <w:sz w:val="16"/>
                <w:szCs w:val="16"/>
              </w:rPr>
            </w:pPr>
            <w:r w:rsidRPr="005375B8">
              <w:rPr>
                <w:sz w:val="16"/>
                <w:szCs w:val="16"/>
              </w:rPr>
              <w:t>†</w:t>
            </w:r>
          </w:p>
        </w:tc>
        <w:tc>
          <w:tcPr>
            <w:tcW w:w="1620" w:type="dxa"/>
            <w:gridSpan w:val="3"/>
            <w:tcBorders>
              <w:bottom w:val="single" w:sz="4" w:space="0" w:color="000000"/>
            </w:tcBorders>
            <w:vAlign w:val="center"/>
          </w:tcPr>
          <w:p w:rsidR="00B578D6" w:rsidRPr="005375B8" w:rsidRDefault="00B578D6" w:rsidP="00B75B18">
            <w:pPr>
              <w:contextualSpacing/>
              <w:jc w:val="right"/>
              <w:rPr>
                <w:sz w:val="16"/>
                <w:szCs w:val="16"/>
              </w:rPr>
            </w:pPr>
            <w:r w:rsidRPr="005375B8">
              <w:rPr>
                <w:sz w:val="16"/>
                <w:szCs w:val="16"/>
              </w:rPr>
              <w:t>†</w:t>
            </w:r>
          </w:p>
        </w:tc>
        <w:tc>
          <w:tcPr>
            <w:tcW w:w="1626" w:type="dxa"/>
            <w:gridSpan w:val="3"/>
            <w:tcBorders>
              <w:bottom w:val="single" w:sz="4" w:space="0" w:color="000000"/>
            </w:tcBorders>
            <w:vAlign w:val="center"/>
          </w:tcPr>
          <w:p w:rsidR="00B578D6" w:rsidRPr="005375B8" w:rsidRDefault="00B578D6" w:rsidP="00B75B18">
            <w:pPr>
              <w:contextualSpacing/>
              <w:jc w:val="right"/>
              <w:rPr>
                <w:sz w:val="16"/>
                <w:szCs w:val="16"/>
              </w:rPr>
            </w:pPr>
            <w:r w:rsidRPr="005375B8">
              <w:rPr>
                <w:sz w:val="16"/>
                <w:szCs w:val="16"/>
              </w:rPr>
              <w:t>†</w:t>
            </w:r>
          </w:p>
        </w:tc>
      </w:tr>
      <w:tr w:rsidR="00B578D6" w:rsidRPr="005375B8" w:rsidTr="00B75B18">
        <w:trPr>
          <w:trHeight w:val="323"/>
        </w:trPr>
        <w:tc>
          <w:tcPr>
            <w:tcW w:w="4962" w:type="dxa"/>
            <w:gridSpan w:val="3"/>
            <w:vMerge w:val="restart"/>
            <w:vAlign w:val="center"/>
          </w:tcPr>
          <w:p w:rsidR="00B578D6" w:rsidRPr="005375B8" w:rsidRDefault="00B578D6" w:rsidP="00B75B18">
            <w:pPr>
              <w:contextualSpacing/>
              <w:rPr>
                <w:b/>
                <w:bCs/>
                <w:sz w:val="16"/>
                <w:szCs w:val="16"/>
              </w:rPr>
            </w:pPr>
            <w:r>
              <w:rPr>
                <w:b/>
                <w:bCs/>
                <w:sz w:val="18"/>
                <w:szCs w:val="18"/>
              </w:rPr>
              <w:t xml:space="preserve"> </w:t>
            </w:r>
            <w:r w:rsidRPr="005375B8">
              <w:rPr>
                <w:b/>
                <w:bCs/>
                <w:sz w:val="16"/>
                <w:szCs w:val="16"/>
              </w:rPr>
              <w:t xml:space="preserve">Total Costs and FTE </w:t>
            </w:r>
          </w:p>
        </w:tc>
        <w:tc>
          <w:tcPr>
            <w:tcW w:w="630"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1189"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810"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865"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721"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939"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810"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810"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621"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1005"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r>
      <w:tr w:rsidR="00B578D6" w:rsidRPr="005375B8" w:rsidTr="00B75B18">
        <w:trPr>
          <w:trHeight w:val="363"/>
        </w:trPr>
        <w:tc>
          <w:tcPr>
            <w:tcW w:w="4962" w:type="dxa"/>
            <w:gridSpan w:val="3"/>
            <w:vMerge/>
          </w:tcPr>
          <w:p w:rsidR="00B578D6" w:rsidRPr="005375B8" w:rsidRDefault="00B578D6" w:rsidP="00B75B18">
            <w:pPr>
              <w:contextualSpacing/>
              <w:jc w:val="center"/>
              <w:rPr>
                <w:b/>
                <w:bCs/>
                <w:sz w:val="16"/>
                <w:szCs w:val="16"/>
              </w:rPr>
            </w:pPr>
          </w:p>
        </w:tc>
        <w:tc>
          <w:tcPr>
            <w:tcW w:w="630" w:type="dxa"/>
            <w:gridSpan w:val="2"/>
            <w:tcBorders>
              <w:bottom w:val="single" w:sz="4" w:space="0" w:color="000000"/>
            </w:tcBorders>
            <w:vAlign w:val="center"/>
          </w:tcPr>
          <w:p w:rsidR="00B578D6" w:rsidRPr="005375B8" w:rsidRDefault="00B578D6" w:rsidP="00B75B18">
            <w:pPr>
              <w:contextualSpacing/>
              <w:jc w:val="center"/>
              <w:rPr>
                <w:sz w:val="16"/>
                <w:szCs w:val="16"/>
              </w:rPr>
            </w:pPr>
            <w:r w:rsidRPr="005375B8">
              <w:rPr>
                <w:sz w:val="16"/>
                <w:szCs w:val="16"/>
              </w:rPr>
              <w:t>11,403</w:t>
            </w:r>
          </w:p>
        </w:tc>
        <w:tc>
          <w:tcPr>
            <w:tcW w:w="1189" w:type="dxa"/>
            <w:tcBorders>
              <w:bottom w:val="single" w:sz="4" w:space="0" w:color="000000"/>
            </w:tcBorders>
            <w:vAlign w:val="center"/>
          </w:tcPr>
          <w:p w:rsidR="00B578D6" w:rsidRPr="005375B8" w:rsidRDefault="00B578D6" w:rsidP="00B75B18">
            <w:pPr>
              <w:contextualSpacing/>
              <w:jc w:val="center"/>
              <w:rPr>
                <w:sz w:val="16"/>
                <w:szCs w:val="16"/>
              </w:rPr>
            </w:pPr>
            <w:r w:rsidRPr="005375B8">
              <w:rPr>
                <w:sz w:val="16"/>
                <w:szCs w:val="16"/>
              </w:rPr>
              <w:t>2,546,852</w:t>
            </w:r>
          </w:p>
        </w:tc>
        <w:tc>
          <w:tcPr>
            <w:tcW w:w="810" w:type="dxa"/>
            <w:gridSpan w:val="2"/>
            <w:tcBorders>
              <w:bottom w:val="single" w:sz="4" w:space="0" w:color="000000"/>
            </w:tcBorders>
            <w:vAlign w:val="center"/>
          </w:tcPr>
          <w:p w:rsidR="00B578D6" w:rsidRPr="005375B8" w:rsidRDefault="00B578D6" w:rsidP="00B75B18">
            <w:pPr>
              <w:contextualSpacing/>
              <w:jc w:val="center"/>
              <w:rPr>
                <w:sz w:val="16"/>
                <w:szCs w:val="16"/>
                <w:highlight w:val="lightGray"/>
              </w:rPr>
            </w:pPr>
            <w:r w:rsidRPr="00C5623C">
              <w:rPr>
                <w:sz w:val="16"/>
                <w:szCs w:val="16"/>
              </w:rPr>
              <w:t>11,213</w:t>
            </w:r>
          </w:p>
        </w:tc>
        <w:tc>
          <w:tcPr>
            <w:tcW w:w="865" w:type="dxa"/>
            <w:tcBorders>
              <w:bottom w:val="single" w:sz="4" w:space="0" w:color="000000"/>
            </w:tcBorders>
            <w:vAlign w:val="center"/>
          </w:tcPr>
          <w:p w:rsidR="00B578D6" w:rsidRPr="005375B8" w:rsidRDefault="00B578D6" w:rsidP="00B75B18">
            <w:pPr>
              <w:contextualSpacing/>
              <w:jc w:val="center"/>
              <w:rPr>
                <w:sz w:val="16"/>
                <w:szCs w:val="16"/>
                <w:highlight w:val="lightGray"/>
              </w:rPr>
            </w:pPr>
            <w:r w:rsidRPr="00E91957">
              <w:rPr>
                <w:sz w:val="16"/>
                <w:szCs w:val="16"/>
              </w:rPr>
              <w:t>2,607,000</w:t>
            </w:r>
          </w:p>
        </w:tc>
        <w:tc>
          <w:tcPr>
            <w:tcW w:w="721" w:type="dxa"/>
            <w:gridSpan w:val="2"/>
            <w:tcBorders>
              <w:bottom w:val="single" w:sz="4" w:space="0" w:color="000000"/>
            </w:tcBorders>
            <w:vAlign w:val="center"/>
          </w:tcPr>
          <w:p w:rsidR="00B578D6" w:rsidRPr="005375B8" w:rsidRDefault="00B578D6" w:rsidP="00B75B18">
            <w:pPr>
              <w:contextualSpacing/>
              <w:jc w:val="center"/>
              <w:rPr>
                <w:sz w:val="16"/>
                <w:szCs w:val="16"/>
              </w:rPr>
            </w:pPr>
            <w:r>
              <w:rPr>
                <w:sz w:val="16"/>
                <w:szCs w:val="16"/>
              </w:rPr>
              <w:t>11,741</w:t>
            </w:r>
          </w:p>
        </w:tc>
        <w:tc>
          <w:tcPr>
            <w:tcW w:w="939" w:type="dxa"/>
            <w:tcBorders>
              <w:bottom w:val="single" w:sz="4" w:space="0" w:color="000000"/>
            </w:tcBorders>
            <w:vAlign w:val="center"/>
          </w:tcPr>
          <w:p w:rsidR="00B578D6" w:rsidRPr="005375B8" w:rsidRDefault="00B578D6" w:rsidP="00B75B18">
            <w:pPr>
              <w:contextualSpacing/>
              <w:jc w:val="center"/>
              <w:rPr>
                <w:sz w:val="16"/>
                <w:szCs w:val="16"/>
              </w:rPr>
            </w:pPr>
            <w:r>
              <w:rPr>
                <w:sz w:val="16"/>
                <w:szCs w:val="16"/>
              </w:rPr>
              <w:t>2,624,371</w:t>
            </w:r>
          </w:p>
        </w:tc>
        <w:tc>
          <w:tcPr>
            <w:tcW w:w="810" w:type="dxa"/>
            <w:gridSpan w:val="2"/>
            <w:tcBorders>
              <w:bottom w:val="single" w:sz="4" w:space="0" w:color="000000"/>
            </w:tcBorders>
            <w:vAlign w:val="center"/>
          </w:tcPr>
          <w:p w:rsidR="00B578D6" w:rsidRPr="005375B8" w:rsidRDefault="00B578D6" w:rsidP="00B75B18">
            <w:pPr>
              <w:contextualSpacing/>
              <w:jc w:val="center"/>
              <w:rPr>
                <w:sz w:val="16"/>
                <w:szCs w:val="16"/>
              </w:rPr>
            </w:pPr>
            <w:r>
              <w:rPr>
                <w:sz w:val="16"/>
                <w:szCs w:val="16"/>
              </w:rPr>
              <w:t>60</w:t>
            </w:r>
          </w:p>
        </w:tc>
        <w:tc>
          <w:tcPr>
            <w:tcW w:w="810" w:type="dxa"/>
            <w:tcBorders>
              <w:bottom w:val="single" w:sz="4" w:space="0" w:color="000000"/>
            </w:tcBorders>
            <w:vAlign w:val="center"/>
          </w:tcPr>
          <w:p w:rsidR="00B578D6" w:rsidRPr="005375B8" w:rsidRDefault="00B578D6" w:rsidP="00B75B18">
            <w:pPr>
              <w:contextualSpacing/>
              <w:jc w:val="center"/>
              <w:rPr>
                <w:sz w:val="16"/>
                <w:szCs w:val="16"/>
              </w:rPr>
            </w:pPr>
            <w:r>
              <w:rPr>
                <w:sz w:val="16"/>
                <w:szCs w:val="16"/>
              </w:rPr>
              <w:t>41,046</w:t>
            </w:r>
          </w:p>
        </w:tc>
        <w:tc>
          <w:tcPr>
            <w:tcW w:w="621" w:type="dxa"/>
            <w:tcBorders>
              <w:bottom w:val="single" w:sz="4" w:space="0" w:color="000000"/>
            </w:tcBorders>
            <w:vAlign w:val="center"/>
          </w:tcPr>
          <w:p w:rsidR="00B578D6" w:rsidRPr="005375B8" w:rsidRDefault="00B578D6" w:rsidP="00B75B18">
            <w:pPr>
              <w:contextualSpacing/>
              <w:rPr>
                <w:sz w:val="16"/>
                <w:szCs w:val="16"/>
              </w:rPr>
            </w:pPr>
            <w:r>
              <w:rPr>
                <w:sz w:val="16"/>
                <w:szCs w:val="16"/>
              </w:rPr>
              <w:t>11,801</w:t>
            </w:r>
          </w:p>
        </w:tc>
        <w:tc>
          <w:tcPr>
            <w:tcW w:w="1005" w:type="dxa"/>
            <w:gridSpan w:val="2"/>
            <w:tcBorders>
              <w:bottom w:val="single" w:sz="4" w:space="0" w:color="000000"/>
            </w:tcBorders>
            <w:vAlign w:val="center"/>
          </w:tcPr>
          <w:p w:rsidR="00B578D6" w:rsidRPr="005375B8" w:rsidRDefault="00B578D6" w:rsidP="00B75B18">
            <w:pPr>
              <w:contextualSpacing/>
              <w:jc w:val="center"/>
              <w:rPr>
                <w:sz w:val="16"/>
                <w:szCs w:val="16"/>
              </w:rPr>
            </w:pPr>
            <w:r>
              <w:rPr>
                <w:sz w:val="16"/>
                <w:szCs w:val="16"/>
              </w:rPr>
              <w:t>2,665,417</w:t>
            </w:r>
          </w:p>
        </w:tc>
      </w:tr>
      <w:tr w:rsidR="00B578D6" w:rsidRPr="005375B8" w:rsidTr="00B75B18">
        <w:trPr>
          <w:trHeight w:val="525"/>
        </w:trPr>
        <w:tc>
          <w:tcPr>
            <w:tcW w:w="1815" w:type="dxa"/>
            <w:vAlign w:val="center"/>
          </w:tcPr>
          <w:p w:rsidR="00B578D6" w:rsidRPr="005375B8" w:rsidRDefault="00B578D6" w:rsidP="00B75B18">
            <w:pPr>
              <w:contextualSpacing/>
              <w:rPr>
                <w:b/>
                <w:bCs/>
                <w:sz w:val="16"/>
                <w:szCs w:val="16"/>
              </w:rPr>
            </w:pPr>
            <w:r w:rsidRPr="005375B8">
              <w:rPr>
                <w:b/>
                <w:bCs/>
                <w:sz w:val="16"/>
                <w:szCs w:val="16"/>
              </w:rPr>
              <w:t>TYPE/ STRATEGIC OBJECTIVE</w:t>
            </w:r>
          </w:p>
        </w:tc>
        <w:tc>
          <w:tcPr>
            <w:tcW w:w="3147" w:type="dxa"/>
            <w:gridSpan w:val="2"/>
            <w:vAlign w:val="center"/>
          </w:tcPr>
          <w:p w:rsidR="00B578D6" w:rsidRPr="005375B8" w:rsidRDefault="00B578D6" w:rsidP="00B75B18">
            <w:pPr>
              <w:contextualSpacing/>
              <w:jc w:val="center"/>
              <w:rPr>
                <w:b/>
                <w:bCs/>
                <w:sz w:val="16"/>
                <w:szCs w:val="16"/>
              </w:rPr>
            </w:pPr>
            <w:r w:rsidRPr="005375B8">
              <w:rPr>
                <w:b/>
                <w:bCs/>
                <w:sz w:val="16"/>
                <w:szCs w:val="16"/>
              </w:rPr>
              <w:t>PERFORMANCE</w:t>
            </w:r>
          </w:p>
        </w:tc>
        <w:tc>
          <w:tcPr>
            <w:tcW w:w="1819"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2011</w:t>
            </w:r>
          </w:p>
        </w:tc>
        <w:tc>
          <w:tcPr>
            <w:tcW w:w="1675"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2011</w:t>
            </w:r>
          </w:p>
        </w:tc>
        <w:tc>
          <w:tcPr>
            <w:tcW w:w="1660"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 xml:space="preserve">FY 2012 </w:t>
            </w:r>
            <w:r>
              <w:rPr>
                <w:b/>
                <w:bCs/>
                <w:sz w:val="16"/>
                <w:szCs w:val="16"/>
              </w:rPr>
              <w:t>Projected</w:t>
            </w:r>
          </w:p>
        </w:tc>
        <w:tc>
          <w:tcPr>
            <w:tcW w:w="1620" w:type="dxa"/>
            <w:gridSpan w:val="3"/>
            <w:tcBorders>
              <w:bottom w:val="single" w:sz="4" w:space="0" w:color="000000"/>
            </w:tcBorders>
            <w:shd w:val="clear" w:color="auto" w:fill="FFAC99"/>
            <w:vAlign w:val="center"/>
          </w:tcPr>
          <w:p w:rsidR="00D107D4" w:rsidRDefault="00B578D6" w:rsidP="00B75B18">
            <w:pPr>
              <w:contextualSpacing/>
              <w:jc w:val="center"/>
              <w:rPr>
                <w:b/>
                <w:bCs/>
                <w:sz w:val="16"/>
                <w:szCs w:val="16"/>
              </w:rPr>
            </w:pPr>
            <w:r w:rsidRPr="005375B8">
              <w:rPr>
                <w:b/>
                <w:bCs/>
                <w:sz w:val="16"/>
                <w:szCs w:val="16"/>
              </w:rPr>
              <w:t xml:space="preserve">Current Services Adjustments &amp; </w:t>
            </w:r>
          </w:p>
          <w:p w:rsidR="00B578D6" w:rsidRPr="005375B8" w:rsidRDefault="00B578D6" w:rsidP="00B75B18">
            <w:pPr>
              <w:contextualSpacing/>
              <w:jc w:val="center"/>
              <w:rPr>
                <w:b/>
                <w:bCs/>
                <w:sz w:val="16"/>
                <w:szCs w:val="16"/>
              </w:rPr>
            </w:pPr>
            <w:r w:rsidRPr="005375B8">
              <w:rPr>
                <w:b/>
                <w:bCs/>
                <w:sz w:val="16"/>
                <w:szCs w:val="16"/>
              </w:rPr>
              <w:t>FY</w:t>
            </w:r>
            <w:r w:rsidR="00D107D4">
              <w:rPr>
                <w:b/>
                <w:bCs/>
                <w:sz w:val="16"/>
                <w:szCs w:val="16"/>
              </w:rPr>
              <w:t xml:space="preserve"> </w:t>
            </w:r>
            <w:r w:rsidRPr="005375B8">
              <w:rPr>
                <w:b/>
                <w:bCs/>
                <w:sz w:val="16"/>
                <w:szCs w:val="16"/>
              </w:rPr>
              <w:t>2013 Program Changes</w:t>
            </w:r>
          </w:p>
        </w:tc>
        <w:tc>
          <w:tcPr>
            <w:tcW w:w="1626"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2013 Request</w:t>
            </w:r>
          </w:p>
        </w:tc>
      </w:tr>
      <w:tr w:rsidR="00B578D6" w:rsidRPr="005375B8" w:rsidTr="00B75B18">
        <w:trPr>
          <w:trHeight w:val="287"/>
        </w:trPr>
        <w:tc>
          <w:tcPr>
            <w:tcW w:w="1815" w:type="dxa"/>
            <w:vMerge w:val="restart"/>
            <w:vAlign w:val="center"/>
          </w:tcPr>
          <w:p w:rsidR="00B578D6" w:rsidRPr="005375B8" w:rsidRDefault="00B578D6" w:rsidP="00B75B18">
            <w:pPr>
              <w:contextualSpacing/>
              <w:rPr>
                <w:b/>
                <w:bCs/>
                <w:sz w:val="16"/>
                <w:szCs w:val="16"/>
              </w:rPr>
            </w:pPr>
            <w:r w:rsidRPr="005375B8">
              <w:rPr>
                <w:b/>
                <w:bCs/>
                <w:sz w:val="16"/>
                <w:szCs w:val="16"/>
              </w:rPr>
              <w:t>Program Activity/ 2.3, 2.5</w:t>
            </w:r>
          </w:p>
        </w:tc>
        <w:tc>
          <w:tcPr>
            <w:tcW w:w="3147" w:type="dxa"/>
            <w:gridSpan w:val="2"/>
            <w:vMerge w:val="restart"/>
            <w:vAlign w:val="center"/>
          </w:tcPr>
          <w:p w:rsidR="00B578D6" w:rsidRPr="005375B8" w:rsidRDefault="00B578D6" w:rsidP="00B75B18">
            <w:pPr>
              <w:contextualSpacing/>
              <w:rPr>
                <w:b/>
                <w:bCs/>
                <w:sz w:val="16"/>
                <w:szCs w:val="16"/>
              </w:rPr>
            </w:pPr>
            <w:r w:rsidRPr="005375B8">
              <w:rPr>
                <w:b/>
                <w:bCs/>
                <w:sz w:val="16"/>
                <w:szCs w:val="16"/>
              </w:rPr>
              <w:t xml:space="preserve"> 1.  White-Collar Crime/Cybercrime</w:t>
            </w:r>
          </w:p>
        </w:tc>
        <w:tc>
          <w:tcPr>
            <w:tcW w:w="630"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1189"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810"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865"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721"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939"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810"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810"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621"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1005"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r>
      <w:tr w:rsidR="00B578D6" w:rsidRPr="005375B8" w:rsidTr="00B75B18">
        <w:trPr>
          <w:trHeight w:val="350"/>
        </w:trPr>
        <w:tc>
          <w:tcPr>
            <w:tcW w:w="1815" w:type="dxa"/>
            <w:vMerge/>
            <w:vAlign w:val="center"/>
          </w:tcPr>
          <w:p w:rsidR="00B578D6" w:rsidRPr="005375B8" w:rsidRDefault="00B578D6" w:rsidP="00B75B18">
            <w:pPr>
              <w:contextualSpacing/>
              <w:rPr>
                <w:b/>
                <w:bCs/>
                <w:sz w:val="16"/>
                <w:szCs w:val="16"/>
              </w:rPr>
            </w:pPr>
          </w:p>
        </w:tc>
        <w:tc>
          <w:tcPr>
            <w:tcW w:w="3147" w:type="dxa"/>
            <w:gridSpan w:val="2"/>
            <w:vMerge/>
            <w:vAlign w:val="center"/>
          </w:tcPr>
          <w:p w:rsidR="00B578D6" w:rsidRPr="005375B8" w:rsidRDefault="00B578D6" w:rsidP="00B75B18">
            <w:pPr>
              <w:contextualSpacing/>
              <w:rPr>
                <w:sz w:val="16"/>
                <w:szCs w:val="16"/>
              </w:rPr>
            </w:pPr>
          </w:p>
        </w:tc>
        <w:tc>
          <w:tcPr>
            <w:tcW w:w="630" w:type="dxa"/>
            <w:gridSpan w:val="2"/>
            <w:vAlign w:val="center"/>
          </w:tcPr>
          <w:p w:rsidR="00B578D6" w:rsidRPr="005375B8" w:rsidRDefault="00B578D6" w:rsidP="00B75B18">
            <w:pPr>
              <w:contextualSpacing/>
              <w:jc w:val="center"/>
              <w:rPr>
                <w:sz w:val="16"/>
                <w:szCs w:val="16"/>
              </w:rPr>
            </w:pPr>
            <w:r w:rsidRPr="005375B8">
              <w:rPr>
                <w:sz w:val="16"/>
                <w:szCs w:val="16"/>
              </w:rPr>
              <w:t>5,722</w:t>
            </w:r>
          </w:p>
        </w:tc>
        <w:tc>
          <w:tcPr>
            <w:tcW w:w="1189" w:type="dxa"/>
            <w:vAlign w:val="center"/>
          </w:tcPr>
          <w:p w:rsidR="00B578D6" w:rsidRPr="005375B8" w:rsidRDefault="00B578D6" w:rsidP="00B75B18">
            <w:pPr>
              <w:contextualSpacing/>
              <w:jc w:val="center"/>
              <w:rPr>
                <w:sz w:val="16"/>
                <w:szCs w:val="16"/>
              </w:rPr>
            </w:pPr>
            <w:r w:rsidRPr="005375B8">
              <w:rPr>
                <w:sz w:val="16"/>
                <w:szCs w:val="16"/>
              </w:rPr>
              <w:t>1,280,082</w:t>
            </w:r>
          </w:p>
        </w:tc>
        <w:tc>
          <w:tcPr>
            <w:tcW w:w="810" w:type="dxa"/>
            <w:gridSpan w:val="2"/>
            <w:vAlign w:val="center"/>
          </w:tcPr>
          <w:p w:rsidR="00B578D6" w:rsidRPr="005375B8" w:rsidRDefault="00B578D6" w:rsidP="00B75B18">
            <w:pPr>
              <w:contextualSpacing/>
              <w:jc w:val="center"/>
              <w:rPr>
                <w:sz w:val="16"/>
                <w:szCs w:val="16"/>
                <w:highlight w:val="lightGray"/>
              </w:rPr>
            </w:pPr>
            <w:r w:rsidRPr="008D1617">
              <w:rPr>
                <w:sz w:val="16"/>
                <w:szCs w:val="16"/>
              </w:rPr>
              <w:t>5,636</w:t>
            </w:r>
          </w:p>
        </w:tc>
        <w:tc>
          <w:tcPr>
            <w:tcW w:w="865" w:type="dxa"/>
            <w:vAlign w:val="center"/>
          </w:tcPr>
          <w:p w:rsidR="00B578D6" w:rsidRPr="005375B8" w:rsidRDefault="00B578D6" w:rsidP="00B75B18">
            <w:pPr>
              <w:contextualSpacing/>
              <w:jc w:val="center"/>
              <w:rPr>
                <w:sz w:val="16"/>
                <w:szCs w:val="16"/>
                <w:highlight w:val="lightGray"/>
              </w:rPr>
            </w:pPr>
            <w:r w:rsidRPr="0060463B">
              <w:rPr>
                <w:sz w:val="16"/>
                <w:szCs w:val="16"/>
              </w:rPr>
              <w:t>1,310,313</w:t>
            </w:r>
          </w:p>
        </w:tc>
        <w:tc>
          <w:tcPr>
            <w:tcW w:w="721" w:type="dxa"/>
            <w:gridSpan w:val="2"/>
            <w:vAlign w:val="center"/>
          </w:tcPr>
          <w:p w:rsidR="00B578D6" w:rsidRPr="005375B8" w:rsidRDefault="00B578D6" w:rsidP="00B75B18">
            <w:pPr>
              <w:contextualSpacing/>
              <w:jc w:val="center"/>
              <w:rPr>
                <w:sz w:val="16"/>
                <w:szCs w:val="16"/>
              </w:rPr>
            </w:pPr>
            <w:r>
              <w:rPr>
                <w:sz w:val="16"/>
                <w:szCs w:val="16"/>
              </w:rPr>
              <w:t>5,947</w:t>
            </w:r>
          </w:p>
        </w:tc>
        <w:tc>
          <w:tcPr>
            <w:tcW w:w="939" w:type="dxa"/>
            <w:vAlign w:val="center"/>
          </w:tcPr>
          <w:p w:rsidR="00B578D6" w:rsidRPr="005375B8" w:rsidRDefault="00B578D6" w:rsidP="00B75B18">
            <w:pPr>
              <w:contextualSpacing/>
              <w:rPr>
                <w:sz w:val="16"/>
                <w:szCs w:val="16"/>
              </w:rPr>
            </w:pPr>
            <w:r>
              <w:rPr>
                <w:sz w:val="16"/>
                <w:szCs w:val="16"/>
              </w:rPr>
              <w:t>1,323,202</w:t>
            </w:r>
          </w:p>
        </w:tc>
        <w:tc>
          <w:tcPr>
            <w:tcW w:w="810" w:type="dxa"/>
            <w:gridSpan w:val="2"/>
            <w:vAlign w:val="center"/>
          </w:tcPr>
          <w:p w:rsidR="00B578D6" w:rsidRPr="005375B8" w:rsidRDefault="00B578D6" w:rsidP="00B75B18">
            <w:pPr>
              <w:contextualSpacing/>
              <w:jc w:val="center"/>
              <w:rPr>
                <w:sz w:val="16"/>
                <w:szCs w:val="16"/>
              </w:rPr>
            </w:pPr>
            <w:r>
              <w:rPr>
                <w:sz w:val="16"/>
                <w:szCs w:val="16"/>
              </w:rPr>
              <w:t>33</w:t>
            </w:r>
          </w:p>
        </w:tc>
        <w:tc>
          <w:tcPr>
            <w:tcW w:w="810" w:type="dxa"/>
            <w:vAlign w:val="center"/>
          </w:tcPr>
          <w:p w:rsidR="00B578D6" w:rsidRPr="005375B8" w:rsidRDefault="00B578D6" w:rsidP="00B75B18">
            <w:pPr>
              <w:contextualSpacing/>
              <w:jc w:val="center"/>
              <w:rPr>
                <w:sz w:val="16"/>
                <w:szCs w:val="16"/>
              </w:rPr>
            </w:pPr>
            <w:r>
              <w:rPr>
                <w:sz w:val="16"/>
                <w:szCs w:val="16"/>
              </w:rPr>
              <w:t>23,481</w:t>
            </w:r>
          </w:p>
        </w:tc>
        <w:tc>
          <w:tcPr>
            <w:tcW w:w="621" w:type="dxa"/>
            <w:vAlign w:val="center"/>
          </w:tcPr>
          <w:p w:rsidR="00B578D6" w:rsidRPr="005375B8" w:rsidRDefault="00B578D6" w:rsidP="00B75B18">
            <w:pPr>
              <w:contextualSpacing/>
              <w:jc w:val="center"/>
              <w:rPr>
                <w:sz w:val="16"/>
                <w:szCs w:val="16"/>
              </w:rPr>
            </w:pPr>
            <w:r>
              <w:rPr>
                <w:sz w:val="16"/>
                <w:szCs w:val="16"/>
              </w:rPr>
              <w:t>5,980</w:t>
            </w:r>
          </w:p>
        </w:tc>
        <w:tc>
          <w:tcPr>
            <w:tcW w:w="1005" w:type="dxa"/>
            <w:gridSpan w:val="2"/>
            <w:vAlign w:val="center"/>
          </w:tcPr>
          <w:p w:rsidR="00B578D6" w:rsidRPr="005375B8" w:rsidRDefault="00B578D6" w:rsidP="00B75B18">
            <w:pPr>
              <w:contextualSpacing/>
              <w:jc w:val="center"/>
              <w:rPr>
                <w:sz w:val="16"/>
                <w:szCs w:val="16"/>
              </w:rPr>
            </w:pPr>
            <w:r>
              <w:rPr>
                <w:sz w:val="16"/>
                <w:szCs w:val="16"/>
              </w:rPr>
              <w:t>1,346,683</w:t>
            </w:r>
          </w:p>
        </w:tc>
      </w:tr>
      <w:tr w:rsidR="00B578D6" w:rsidRPr="005375B8" w:rsidTr="00B75B18">
        <w:trPr>
          <w:trHeight w:val="233"/>
        </w:trPr>
        <w:tc>
          <w:tcPr>
            <w:tcW w:w="4962" w:type="dxa"/>
            <w:gridSpan w:val="3"/>
            <w:vAlign w:val="center"/>
          </w:tcPr>
          <w:p w:rsidR="00B578D6" w:rsidRPr="005375B8" w:rsidRDefault="00B578D6" w:rsidP="00B75B18">
            <w:pPr>
              <w:contextualSpacing/>
              <w:rPr>
                <w:b/>
                <w:bCs/>
                <w:sz w:val="16"/>
                <w:szCs w:val="16"/>
              </w:rPr>
            </w:pPr>
            <w:r w:rsidRPr="005375B8">
              <w:rPr>
                <w:b/>
                <w:bCs/>
                <w:sz w:val="16"/>
                <w:szCs w:val="16"/>
              </w:rPr>
              <w:t xml:space="preserve">Workload  -- </w:t>
            </w:r>
            <w:r w:rsidRPr="005375B8">
              <w:rPr>
                <w:sz w:val="16"/>
                <w:szCs w:val="16"/>
              </w:rPr>
              <w:t># of cases investigated (pending and received)</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75" w:type="dxa"/>
            <w:gridSpan w:val="3"/>
            <w:vAlign w:val="center"/>
          </w:tcPr>
          <w:p w:rsidR="00B578D6" w:rsidRPr="005375B8" w:rsidRDefault="00B578D6" w:rsidP="00B75B18">
            <w:pPr>
              <w:contextualSpacing/>
              <w:jc w:val="right"/>
              <w:rPr>
                <w:sz w:val="16"/>
                <w:szCs w:val="16"/>
              </w:rPr>
            </w:pPr>
            <w:r w:rsidRPr="00982BF7">
              <w:rPr>
                <w:sz w:val="16"/>
                <w:szCs w:val="16"/>
              </w:rPr>
              <w:t>32,060</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w:t>
            </w:r>
          </w:p>
        </w:tc>
      </w:tr>
      <w:tr w:rsidR="00B578D6" w:rsidRPr="005375B8" w:rsidTr="00B75B18">
        <w:trPr>
          <w:trHeight w:val="525"/>
        </w:trPr>
        <w:tc>
          <w:tcPr>
            <w:tcW w:w="1815" w:type="dxa"/>
            <w:vAlign w:val="center"/>
          </w:tcPr>
          <w:p w:rsidR="00B578D6" w:rsidRPr="005375B8" w:rsidRDefault="00B578D6" w:rsidP="00B75B18">
            <w:pPr>
              <w:contextualSpacing/>
              <w:rPr>
                <w:b/>
                <w:bCs/>
                <w:sz w:val="14"/>
                <w:szCs w:val="14"/>
              </w:rPr>
            </w:pPr>
            <w:r w:rsidRPr="005375B8">
              <w:rPr>
                <w:b/>
                <w:bCs/>
                <w:sz w:val="16"/>
                <w:szCs w:val="16"/>
              </w:rPr>
              <w:t>Performance Measure</w:t>
            </w:r>
          </w:p>
        </w:tc>
        <w:tc>
          <w:tcPr>
            <w:tcW w:w="3147" w:type="dxa"/>
            <w:gridSpan w:val="2"/>
          </w:tcPr>
          <w:p w:rsidR="00B578D6" w:rsidRPr="005375B8" w:rsidRDefault="00B578D6" w:rsidP="00B75B18">
            <w:pPr>
              <w:contextualSpacing/>
              <w:rPr>
                <w:sz w:val="16"/>
                <w:szCs w:val="16"/>
              </w:rPr>
            </w:pPr>
            <w:r w:rsidRPr="005375B8">
              <w:rPr>
                <w:sz w:val="16"/>
                <w:szCs w:val="16"/>
              </w:rPr>
              <w:t xml:space="preserve"> Restitut</w:t>
            </w:r>
            <w:r>
              <w:rPr>
                <w:sz w:val="16"/>
                <w:szCs w:val="16"/>
              </w:rPr>
              <w:t>ions &amp; Recoveries / Fines ($000)</w:t>
            </w:r>
          </w:p>
          <w:p w:rsidR="00B578D6" w:rsidRPr="005375B8" w:rsidRDefault="00B578D6" w:rsidP="00B75B18">
            <w:pPr>
              <w:numPr>
                <w:ilvl w:val="0"/>
                <w:numId w:val="51"/>
              </w:numPr>
              <w:tabs>
                <w:tab w:val="clear" w:pos="360"/>
                <w:tab w:val="num" w:pos="99"/>
              </w:tabs>
              <w:contextualSpacing/>
              <w:rPr>
                <w:sz w:val="16"/>
                <w:szCs w:val="16"/>
              </w:rPr>
            </w:pPr>
            <w:r w:rsidRPr="005375B8">
              <w:rPr>
                <w:sz w:val="16"/>
                <w:szCs w:val="16"/>
              </w:rPr>
              <w:t>Intellectual Property Rights Violations</w:t>
            </w:r>
          </w:p>
          <w:p w:rsidR="00B578D6" w:rsidRPr="005375B8" w:rsidRDefault="00B578D6" w:rsidP="00B75B18">
            <w:pPr>
              <w:numPr>
                <w:ilvl w:val="0"/>
                <w:numId w:val="51"/>
              </w:numPr>
              <w:tabs>
                <w:tab w:val="clear" w:pos="360"/>
                <w:tab w:val="num" w:pos="99"/>
              </w:tabs>
              <w:contextualSpacing/>
              <w:rPr>
                <w:sz w:val="16"/>
                <w:szCs w:val="16"/>
              </w:rPr>
            </w:pPr>
            <w:r w:rsidRPr="005375B8">
              <w:rPr>
                <w:sz w:val="16"/>
                <w:szCs w:val="16"/>
              </w:rPr>
              <w:t>Public Corruption</w:t>
            </w:r>
          </w:p>
          <w:p w:rsidR="00B578D6" w:rsidRPr="005375B8" w:rsidRDefault="00B578D6" w:rsidP="00B75B18">
            <w:pPr>
              <w:numPr>
                <w:ilvl w:val="0"/>
                <w:numId w:val="51"/>
              </w:numPr>
              <w:tabs>
                <w:tab w:val="clear" w:pos="360"/>
                <w:tab w:val="num" w:pos="99"/>
              </w:tabs>
              <w:contextualSpacing/>
              <w:rPr>
                <w:sz w:val="16"/>
                <w:szCs w:val="16"/>
              </w:rPr>
            </w:pPr>
            <w:r w:rsidRPr="005375B8">
              <w:rPr>
                <w:sz w:val="16"/>
                <w:szCs w:val="16"/>
              </w:rPr>
              <w:t>White-Collar Crimes (all other)</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75" w:type="dxa"/>
            <w:gridSpan w:val="3"/>
            <w:vAlign w:val="center"/>
          </w:tcPr>
          <w:p w:rsidR="00B578D6" w:rsidRPr="005375B8" w:rsidRDefault="00B578D6" w:rsidP="00B75B18">
            <w:pPr>
              <w:contextualSpacing/>
              <w:jc w:val="right"/>
              <w:rPr>
                <w:sz w:val="15"/>
                <w:szCs w:val="15"/>
              </w:rPr>
            </w:pPr>
            <w:r>
              <w:rPr>
                <w:sz w:val="15"/>
                <w:szCs w:val="15"/>
              </w:rPr>
              <w:br/>
            </w:r>
            <w:r w:rsidRPr="00E91957">
              <w:rPr>
                <w:sz w:val="15"/>
                <w:szCs w:val="15"/>
              </w:rPr>
              <w:t>4,628</w:t>
            </w:r>
            <w:r>
              <w:rPr>
                <w:sz w:val="15"/>
                <w:szCs w:val="15"/>
              </w:rPr>
              <w:br/>
              <w:t>1,178,976</w:t>
            </w:r>
            <w:r>
              <w:rPr>
                <w:sz w:val="15"/>
                <w:szCs w:val="15"/>
              </w:rPr>
              <w:br/>
            </w:r>
            <w:r w:rsidRPr="008F7C1E">
              <w:rPr>
                <w:sz w:val="15"/>
                <w:szCs w:val="15"/>
              </w:rPr>
              <w:t>14,028,958</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w:t>
            </w:r>
          </w:p>
        </w:tc>
      </w:tr>
      <w:tr w:rsidR="00B578D6" w:rsidRPr="005375B8" w:rsidTr="00B75B18">
        <w:trPr>
          <w:trHeight w:val="525"/>
        </w:trPr>
        <w:tc>
          <w:tcPr>
            <w:tcW w:w="1815" w:type="dxa"/>
            <w:vAlign w:val="center"/>
          </w:tcPr>
          <w:p w:rsidR="00B578D6" w:rsidRPr="005375B8" w:rsidRDefault="00B578D6" w:rsidP="00B75B18">
            <w:pPr>
              <w:contextualSpacing/>
              <w:rPr>
                <w:b/>
                <w:bCs/>
                <w:sz w:val="14"/>
                <w:szCs w:val="14"/>
              </w:rPr>
            </w:pPr>
            <w:r w:rsidRPr="005375B8">
              <w:rPr>
                <w:b/>
                <w:bCs/>
                <w:sz w:val="16"/>
                <w:szCs w:val="16"/>
              </w:rPr>
              <w:t>Performance Measure</w:t>
            </w:r>
          </w:p>
        </w:tc>
        <w:tc>
          <w:tcPr>
            <w:tcW w:w="3147" w:type="dxa"/>
            <w:gridSpan w:val="2"/>
          </w:tcPr>
          <w:p w:rsidR="00B578D6" w:rsidRPr="005375B8" w:rsidRDefault="00B578D6" w:rsidP="00B75B18">
            <w:pPr>
              <w:contextualSpacing/>
              <w:rPr>
                <w:sz w:val="16"/>
                <w:szCs w:val="16"/>
              </w:rPr>
            </w:pPr>
            <w:r w:rsidRPr="005375B8">
              <w:rPr>
                <w:sz w:val="16"/>
                <w:szCs w:val="16"/>
              </w:rPr>
              <w:t xml:space="preserve">  Convictions/Pre-Trial Diversions (total)</w:t>
            </w:r>
          </w:p>
          <w:p w:rsidR="00B578D6" w:rsidRPr="005375B8" w:rsidRDefault="00B578D6" w:rsidP="00B75B18">
            <w:pPr>
              <w:numPr>
                <w:ilvl w:val="0"/>
                <w:numId w:val="51"/>
              </w:numPr>
              <w:tabs>
                <w:tab w:val="clear" w:pos="360"/>
                <w:tab w:val="num" w:pos="99"/>
              </w:tabs>
              <w:contextualSpacing/>
              <w:rPr>
                <w:sz w:val="16"/>
                <w:szCs w:val="16"/>
              </w:rPr>
            </w:pPr>
            <w:r w:rsidRPr="005375B8">
              <w:rPr>
                <w:sz w:val="16"/>
                <w:szCs w:val="16"/>
              </w:rPr>
              <w:t xml:space="preserve">Intellectual Property Rights Violations </w:t>
            </w:r>
            <w:r w:rsidRPr="005375B8">
              <w:rPr>
                <w:b/>
                <w:sz w:val="16"/>
                <w:szCs w:val="16"/>
              </w:rPr>
              <w:t>[Discontinued measure]</w:t>
            </w:r>
          </w:p>
          <w:p w:rsidR="00B578D6" w:rsidRPr="005375B8" w:rsidRDefault="00B578D6" w:rsidP="00B75B18">
            <w:pPr>
              <w:numPr>
                <w:ilvl w:val="0"/>
                <w:numId w:val="51"/>
              </w:numPr>
              <w:tabs>
                <w:tab w:val="clear" w:pos="360"/>
                <w:tab w:val="num" w:pos="99"/>
              </w:tabs>
              <w:contextualSpacing/>
              <w:rPr>
                <w:sz w:val="16"/>
                <w:szCs w:val="16"/>
              </w:rPr>
            </w:pPr>
            <w:r w:rsidRPr="005375B8">
              <w:rPr>
                <w:sz w:val="16"/>
                <w:szCs w:val="16"/>
              </w:rPr>
              <w:t>Public Corruption</w:t>
            </w:r>
          </w:p>
          <w:p w:rsidR="00B578D6" w:rsidRPr="005375B8" w:rsidRDefault="00B578D6" w:rsidP="00B75B18">
            <w:pPr>
              <w:numPr>
                <w:ilvl w:val="0"/>
                <w:numId w:val="51"/>
              </w:numPr>
              <w:tabs>
                <w:tab w:val="clear" w:pos="360"/>
                <w:tab w:val="num" w:pos="99"/>
              </w:tabs>
              <w:contextualSpacing/>
              <w:rPr>
                <w:sz w:val="16"/>
                <w:szCs w:val="16"/>
              </w:rPr>
            </w:pPr>
            <w:r w:rsidRPr="005375B8">
              <w:rPr>
                <w:sz w:val="16"/>
                <w:szCs w:val="16"/>
              </w:rPr>
              <w:t>White-Collar Crimes (all other)</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75" w:type="dxa"/>
            <w:gridSpan w:val="3"/>
            <w:vAlign w:val="center"/>
          </w:tcPr>
          <w:p w:rsidR="00B578D6" w:rsidRPr="00180F7C" w:rsidRDefault="00B578D6" w:rsidP="00B75B18">
            <w:pPr>
              <w:ind w:left="-116" w:firstLine="116"/>
              <w:contextualSpacing/>
              <w:jc w:val="right"/>
              <w:rPr>
                <w:sz w:val="16"/>
                <w:szCs w:val="16"/>
              </w:rPr>
            </w:pPr>
            <w:r>
              <w:rPr>
                <w:sz w:val="16"/>
                <w:szCs w:val="16"/>
              </w:rPr>
              <w:br/>
            </w:r>
            <w:r>
              <w:rPr>
                <w:sz w:val="16"/>
                <w:szCs w:val="16"/>
              </w:rPr>
              <w:br/>
            </w:r>
            <w:r w:rsidRPr="00E91957">
              <w:rPr>
                <w:sz w:val="16"/>
                <w:szCs w:val="16"/>
              </w:rPr>
              <w:t>81</w:t>
            </w:r>
            <w:r w:rsidRPr="00180F7C">
              <w:rPr>
                <w:sz w:val="16"/>
                <w:szCs w:val="16"/>
              </w:rPr>
              <w:br/>
              <w:t>969</w:t>
            </w:r>
            <w:r w:rsidRPr="00180F7C">
              <w:rPr>
                <w:sz w:val="16"/>
                <w:szCs w:val="16"/>
              </w:rPr>
              <w:br/>
              <w:t>2,353</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w:t>
            </w:r>
          </w:p>
        </w:tc>
      </w:tr>
      <w:tr w:rsidR="00B578D6" w:rsidRPr="005375B8" w:rsidTr="00B75B18">
        <w:trPr>
          <w:trHeight w:val="350"/>
        </w:trPr>
        <w:tc>
          <w:tcPr>
            <w:tcW w:w="1815" w:type="dxa"/>
            <w:vAlign w:val="center"/>
          </w:tcPr>
          <w:p w:rsidR="00B578D6" w:rsidRPr="005375B8" w:rsidRDefault="00B578D6" w:rsidP="00B75B18">
            <w:pPr>
              <w:contextualSpacing/>
            </w:pPr>
            <w:r w:rsidRPr="005375B8">
              <w:rPr>
                <w:b/>
                <w:bCs/>
                <w:sz w:val="16"/>
                <w:szCs w:val="16"/>
              </w:rPr>
              <w:t>Performance Measure</w:t>
            </w:r>
          </w:p>
        </w:tc>
        <w:tc>
          <w:tcPr>
            <w:tcW w:w="3147" w:type="dxa"/>
            <w:gridSpan w:val="2"/>
            <w:vAlign w:val="center"/>
          </w:tcPr>
          <w:p w:rsidR="00B578D6" w:rsidRPr="005375B8" w:rsidRDefault="00B578D6" w:rsidP="00B75B18">
            <w:pPr>
              <w:tabs>
                <w:tab w:val="left" w:pos="249"/>
              </w:tabs>
              <w:contextualSpacing/>
              <w:rPr>
                <w:sz w:val="16"/>
                <w:szCs w:val="16"/>
              </w:rPr>
            </w:pPr>
            <w:r w:rsidRPr="005375B8">
              <w:rPr>
                <w:sz w:val="16"/>
                <w:szCs w:val="16"/>
              </w:rPr>
              <w:t xml:space="preserve">Number of Criminal </w:t>
            </w:r>
            <w:r>
              <w:rPr>
                <w:sz w:val="16"/>
                <w:szCs w:val="16"/>
              </w:rPr>
              <w:t>Organizations</w:t>
            </w:r>
            <w:r w:rsidRPr="005375B8">
              <w:rPr>
                <w:sz w:val="16"/>
                <w:szCs w:val="16"/>
              </w:rPr>
              <w:t xml:space="preserve"> Engaging in White-Collar Crimes Dismantled</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250</w:t>
            </w:r>
          </w:p>
        </w:tc>
        <w:tc>
          <w:tcPr>
            <w:tcW w:w="1675" w:type="dxa"/>
            <w:gridSpan w:val="3"/>
            <w:vAlign w:val="center"/>
          </w:tcPr>
          <w:p w:rsidR="00B578D6" w:rsidRPr="005375B8" w:rsidRDefault="00B578D6" w:rsidP="00B75B18">
            <w:pPr>
              <w:contextualSpacing/>
              <w:jc w:val="right"/>
              <w:rPr>
                <w:sz w:val="16"/>
                <w:szCs w:val="16"/>
              </w:rPr>
            </w:pPr>
            <w:r>
              <w:rPr>
                <w:sz w:val="16"/>
                <w:szCs w:val="16"/>
              </w:rPr>
              <w:t>366</w:t>
            </w:r>
          </w:p>
        </w:tc>
        <w:tc>
          <w:tcPr>
            <w:tcW w:w="1660" w:type="dxa"/>
            <w:gridSpan w:val="3"/>
            <w:vAlign w:val="center"/>
          </w:tcPr>
          <w:p w:rsidR="00B578D6" w:rsidRPr="005375B8" w:rsidRDefault="00B578D6" w:rsidP="00B75B18">
            <w:pPr>
              <w:contextualSpacing/>
              <w:jc w:val="right"/>
              <w:rPr>
                <w:sz w:val="16"/>
                <w:szCs w:val="16"/>
              </w:rPr>
            </w:pPr>
            <w:r>
              <w:rPr>
                <w:sz w:val="16"/>
                <w:szCs w:val="16"/>
              </w:rPr>
              <w:t>360</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Pr>
                <w:sz w:val="16"/>
                <w:szCs w:val="16"/>
              </w:rPr>
              <w:t>360</w:t>
            </w:r>
          </w:p>
        </w:tc>
      </w:tr>
      <w:tr w:rsidR="00B578D6" w:rsidRPr="005375B8" w:rsidTr="00B75B18">
        <w:trPr>
          <w:trHeight w:val="287"/>
        </w:trPr>
        <w:tc>
          <w:tcPr>
            <w:tcW w:w="1815" w:type="dxa"/>
            <w:vAlign w:val="center"/>
          </w:tcPr>
          <w:p w:rsidR="00B578D6" w:rsidRPr="000906AA" w:rsidRDefault="00B578D6" w:rsidP="00997A49">
            <w:pPr>
              <w:pStyle w:val="Heading2"/>
              <w:contextualSpacing/>
              <w:jc w:val="left"/>
              <w:rPr>
                <w:rFonts w:ascii="Times New Roman" w:hAnsi="Times New Roman"/>
                <w:sz w:val="16"/>
                <w:szCs w:val="16"/>
                <w:u w:val="none"/>
              </w:rPr>
            </w:pPr>
            <w:r w:rsidRPr="000906AA">
              <w:rPr>
                <w:rFonts w:ascii="Times New Roman" w:hAnsi="Times New Roman"/>
                <w:sz w:val="16"/>
                <w:szCs w:val="16"/>
                <w:u w:val="none"/>
              </w:rPr>
              <w:t>Efficiency Measure</w:t>
            </w:r>
          </w:p>
        </w:tc>
        <w:tc>
          <w:tcPr>
            <w:tcW w:w="3147" w:type="dxa"/>
            <w:gridSpan w:val="2"/>
            <w:vAlign w:val="center"/>
          </w:tcPr>
          <w:p w:rsidR="00B578D6" w:rsidRPr="005375B8" w:rsidRDefault="00B578D6" w:rsidP="00B75B18">
            <w:pPr>
              <w:tabs>
                <w:tab w:val="left" w:pos="249"/>
              </w:tabs>
              <w:contextualSpacing/>
              <w:rPr>
                <w:sz w:val="16"/>
                <w:szCs w:val="16"/>
              </w:rPr>
            </w:pPr>
            <w:r w:rsidRPr="005375B8">
              <w:rPr>
                <w:sz w:val="16"/>
                <w:szCs w:val="16"/>
              </w:rPr>
              <w:t>% of Major Mortgage Fraud  Investigations to all pending Mortgage Fraud Investigations</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70%</w:t>
            </w:r>
          </w:p>
        </w:tc>
        <w:tc>
          <w:tcPr>
            <w:tcW w:w="1675" w:type="dxa"/>
            <w:gridSpan w:val="3"/>
            <w:vAlign w:val="center"/>
          </w:tcPr>
          <w:p w:rsidR="00B578D6" w:rsidRPr="005375B8" w:rsidRDefault="00B578D6" w:rsidP="00B75B18">
            <w:pPr>
              <w:contextualSpacing/>
              <w:jc w:val="right"/>
              <w:rPr>
                <w:sz w:val="16"/>
                <w:szCs w:val="16"/>
              </w:rPr>
            </w:pPr>
            <w:r>
              <w:rPr>
                <w:sz w:val="16"/>
                <w:szCs w:val="16"/>
              </w:rPr>
              <w:t>71%</w:t>
            </w:r>
          </w:p>
        </w:tc>
        <w:tc>
          <w:tcPr>
            <w:tcW w:w="1660" w:type="dxa"/>
            <w:gridSpan w:val="3"/>
            <w:vAlign w:val="center"/>
          </w:tcPr>
          <w:p w:rsidR="00B578D6" w:rsidRPr="005375B8" w:rsidRDefault="00B578D6" w:rsidP="00B75B18">
            <w:pPr>
              <w:contextualSpacing/>
              <w:jc w:val="right"/>
              <w:rPr>
                <w:sz w:val="16"/>
                <w:szCs w:val="16"/>
              </w:rPr>
            </w:pPr>
            <w:r>
              <w:rPr>
                <w:sz w:val="16"/>
                <w:szCs w:val="16"/>
              </w:rPr>
              <w:t>71%</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Pr>
                <w:sz w:val="16"/>
                <w:szCs w:val="16"/>
              </w:rPr>
              <w:t>71%</w:t>
            </w:r>
          </w:p>
        </w:tc>
      </w:tr>
      <w:tr w:rsidR="00B578D6" w:rsidRPr="005375B8" w:rsidTr="00B75B18">
        <w:trPr>
          <w:trHeight w:val="281"/>
        </w:trPr>
        <w:tc>
          <w:tcPr>
            <w:tcW w:w="1821" w:type="dxa"/>
            <w:gridSpan w:val="2"/>
            <w:vAlign w:val="center"/>
          </w:tcPr>
          <w:p w:rsidR="00B578D6" w:rsidRPr="005375B8" w:rsidRDefault="00B578D6" w:rsidP="00B75B18">
            <w:pPr>
              <w:contextualSpacing/>
              <w:rPr>
                <w:b/>
                <w:bCs/>
                <w:sz w:val="16"/>
                <w:szCs w:val="16"/>
              </w:rPr>
            </w:pPr>
            <w:r w:rsidRPr="005375B8">
              <w:rPr>
                <w:b/>
                <w:bCs/>
                <w:sz w:val="16"/>
                <w:szCs w:val="16"/>
              </w:rPr>
              <w:t xml:space="preserve">Performance Measure </w:t>
            </w:r>
          </w:p>
        </w:tc>
        <w:tc>
          <w:tcPr>
            <w:tcW w:w="3141" w:type="dxa"/>
            <w:vAlign w:val="center"/>
          </w:tcPr>
          <w:p w:rsidR="00B578D6" w:rsidRPr="005375B8" w:rsidRDefault="00B578D6" w:rsidP="00B75B18">
            <w:pPr>
              <w:contextualSpacing/>
              <w:rPr>
                <w:sz w:val="16"/>
                <w:szCs w:val="16"/>
              </w:rPr>
            </w:pPr>
            <w:r w:rsidRPr="005375B8">
              <w:rPr>
                <w:sz w:val="16"/>
                <w:szCs w:val="16"/>
              </w:rPr>
              <w:t>Number of Children Depicted in Child Pornography Identified by the FBI</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140</w:t>
            </w:r>
          </w:p>
        </w:tc>
        <w:tc>
          <w:tcPr>
            <w:tcW w:w="1675" w:type="dxa"/>
            <w:gridSpan w:val="3"/>
            <w:vAlign w:val="center"/>
          </w:tcPr>
          <w:p w:rsidR="00B578D6" w:rsidRPr="005375B8" w:rsidRDefault="00B578D6" w:rsidP="00B75B18">
            <w:pPr>
              <w:contextualSpacing/>
              <w:jc w:val="right"/>
              <w:rPr>
                <w:sz w:val="16"/>
                <w:szCs w:val="16"/>
              </w:rPr>
            </w:pPr>
            <w:r>
              <w:rPr>
                <w:sz w:val="16"/>
                <w:szCs w:val="16"/>
              </w:rPr>
              <w:t>240</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155</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45</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200</w:t>
            </w:r>
          </w:p>
        </w:tc>
      </w:tr>
      <w:tr w:rsidR="00B578D6" w:rsidRPr="005375B8" w:rsidTr="00B75B18">
        <w:trPr>
          <w:trHeight w:val="433"/>
        </w:trPr>
        <w:tc>
          <w:tcPr>
            <w:tcW w:w="1821" w:type="dxa"/>
            <w:gridSpan w:val="2"/>
            <w:vAlign w:val="center"/>
          </w:tcPr>
          <w:p w:rsidR="00B578D6" w:rsidRPr="005375B8" w:rsidRDefault="00B578D6" w:rsidP="00B75B18">
            <w:pPr>
              <w:contextualSpacing/>
              <w:rPr>
                <w:b/>
                <w:bCs/>
                <w:sz w:val="16"/>
                <w:szCs w:val="16"/>
              </w:rPr>
            </w:pPr>
            <w:r w:rsidRPr="005375B8">
              <w:rPr>
                <w:b/>
                <w:bCs/>
                <w:sz w:val="16"/>
                <w:szCs w:val="16"/>
              </w:rPr>
              <w:t>Performance Measure</w:t>
            </w:r>
          </w:p>
        </w:tc>
        <w:tc>
          <w:tcPr>
            <w:tcW w:w="3141" w:type="dxa"/>
            <w:vAlign w:val="center"/>
          </w:tcPr>
          <w:p w:rsidR="00B578D6" w:rsidRPr="005375B8" w:rsidRDefault="00B578D6" w:rsidP="00B75B18">
            <w:pPr>
              <w:tabs>
                <w:tab w:val="left" w:pos="249"/>
              </w:tabs>
              <w:contextualSpacing/>
              <w:rPr>
                <w:b/>
                <w:sz w:val="16"/>
                <w:szCs w:val="16"/>
              </w:rPr>
            </w:pPr>
            <w:r w:rsidRPr="005375B8">
              <w:rPr>
                <w:sz w:val="16"/>
                <w:szCs w:val="16"/>
              </w:rPr>
              <w:t xml:space="preserve">Number of convictions for Internet fraud </w:t>
            </w:r>
            <w:r w:rsidRPr="005375B8">
              <w:rPr>
                <w:b/>
                <w:sz w:val="16"/>
                <w:szCs w:val="16"/>
              </w:rPr>
              <w:t>[New measure]</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75" w:type="dxa"/>
            <w:gridSpan w:val="3"/>
            <w:vAlign w:val="center"/>
          </w:tcPr>
          <w:p w:rsidR="00B578D6" w:rsidRPr="005375B8" w:rsidRDefault="00B578D6" w:rsidP="00B75B18">
            <w:pPr>
              <w:contextualSpacing/>
              <w:jc w:val="right"/>
              <w:rPr>
                <w:sz w:val="16"/>
                <w:szCs w:val="16"/>
              </w:rPr>
            </w:pPr>
            <w:r>
              <w:rPr>
                <w:sz w:val="16"/>
                <w:szCs w:val="16"/>
              </w:rPr>
              <w:t>27</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w:t>
            </w:r>
          </w:p>
        </w:tc>
      </w:tr>
      <w:tr w:rsidR="00B578D6" w:rsidRPr="005375B8" w:rsidTr="00B75B18">
        <w:trPr>
          <w:trHeight w:val="433"/>
        </w:trPr>
        <w:tc>
          <w:tcPr>
            <w:tcW w:w="1821" w:type="dxa"/>
            <w:gridSpan w:val="2"/>
            <w:vAlign w:val="center"/>
          </w:tcPr>
          <w:p w:rsidR="00B578D6" w:rsidRPr="005375B8" w:rsidRDefault="00B578D6" w:rsidP="00B75B18">
            <w:pPr>
              <w:contextualSpacing/>
            </w:pPr>
            <w:r w:rsidRPr="005375B8">
              <w:rPr>
                <w:b/>
                <w:bCs/>
                <w:sz w:val="16"/>
                <w:szCs w:val="16"/>
              </w:rPr>
              <w:t>Performance Measure</w:t>
            </w:r>
          </w:p>
        </w:tc>
        <w:tc>
          <w:tcPr>
            <w:tcW w:w="3141" w:type="dxa"/>
            <w:vAlign w:val="center"/>
          </w:tcPr>
          <w:p w:rsidR="00B578D6" w:rsidRPr="005375B8" w:rsidRDefault="00B578D6" w:rsidP="00B75B18">
            <w:pPr>
              <w:tabs>
                <w:tab w:val="left" w:pos="249"/>
              </w:tabs>
              <w:contextualSpacing/>
              <w:rPr>
                <w:b/>
                <w:sz w:val="14"/>
                <w:szCs w:val="16"/>
              </w:rPr>
            </w:pPr>
            <w:r w:rsidRPr="005375B8">
              <w:rPr>
                <w:sz w:val="16"/>
                <w:szCs w:val="16"/>
              </w:rPr>
              <w:t xml:space="preserve">Number of high-impact Internet fraud targets neutralized </w:t>
            </w:r>
            <w:r w:rsidRPr="005375B8">
              <w:rPr>
                <w:b/>
                <w:sz w:val="16"/>
                <w:szCs w:val="16"/>
              </w:rPr>
              <w:t>[Discontinued measure]</w:t>
            </w:r>
          </w:p>
        </w:tc>
        <w:tc>
          <w:tcPr>
            <w:tcW w:w="1819" w:type="dxa"/>
            <w:gridSpan w:val="3"/>
            <w:tcBorders>
              <w:bottom w:val="single" w:sz="4" w:space="0" w:color="000000"/>
            </w:tcBorders>
            <w:vAlign w:val="center"/>
          </w:tcPr>
          <w:p w:rsidR="00B578D6" w:rsidRPr="005375B8" w:rsidRDefault="00B578D6" w:rsidP="00B75B18">
            <w:pPr>
              <w:contextualSpacing/>
              <w:jc w:val="right"/>
              <w:rPr>
                <w:sz w:val="16"/>
                <w:szCs w:val="16"/>
              </w:rPr>
            </w:pPr>
            <w:r w:rsidRPr="005375B8">
              <w:rPr>
                <w:sz w:val="16"/>
                <w:szCs w:val="16"/>
              </w:rPr>
              <w:t>10</w:t>
            </w:r>
          </w:p>
        </w:tc>
        <w:tc>
          <w:tcPr>
            <w:tcW w:w="1675" w:type="dxa"/>
            <w:gridSpan w:val="3"/>
            <w:tcBorders>
              <w:bottom w:val="single" w:sz="4" w:space="0" w:color="000000"/>
            </w:tcBorders>
            <w:vAlign w:val="center"/>
          </w:tcPr>
          <w:p w:rsidR="00B578D6" w:rsidRPr="005375B8" w:rsidRDefault="00B578D6" w:rsidP="00B75B18">
            <w:pPr>
              <w:contextualSpacing/>
              <w:jc w:val="right"/>
              <w:rPr>
                <w:sz w:val="16"/>
                <w:szCs w:val="16"/>
              </w:rPr>
            </w:pPr>
            <w:r>
              <w:rPr>
                <w:sz w:val="16"/>
                <w:szCs w:val="16"/>
              </w:rPr>
              <w:t>11</w:t>
            </w:r>
          </w:p>
        </w:tc>
        <w:tc>
          <w:tcPr>
            <w:tcW w:w="1660" w:type="dxa"/>
            <w:gridSpan w:val="3"/>
            <w:tcBorders>
              <w:bottom w:val="single" w:sz="4" w:space="0" w:color="000000"/>
            </w:tcBorders>
            <w:vAlign w:val="center"/>
          </w:tcPr>
          <w:p w:rsidR="00B578D6" w:rsidRPr="005375B8" w:rsidRDefault="00B578D6" w:rsidP="00B75B18">
            <w:pPr>
              <w:contextualSpacing/>
              <w:jc w:val="right"/>
              <w:rPr>
                <w:sz w:val="16"/>
                <w:szCs w:val="16"/>
              </w:rPr>
            </w:pPr>
            <w:r>
              <w:rPr>
                <w:sz w:val="16"/>
                <w:szCs w:val="16"/>
              </w:rPr>
              <w:t>13</w:t>
            </w:r>
          </w:p>
        </w:tc>
        <w:tc>
          <w:tcPr>
            <w:tcW w:w="1620" w:type="dxa"/>
            <w:gridSpan w:val="3"/>
            <w:tcBorders>
              <w:bottom w:val="single" w:sz="4" w:space="0" w:color="000000"/>
            </w:tcBorders>
            <w:vAlign w:val="center"/>
          </w:tcPr>
          <w:p w:rsidR="00B578D6" w:rsidRPr="005375B8" w:rsidRDefault="00B578D6" w:rsidP="00B75B18">
            <w:pPr>
              <w:contextualSpacing/>
              <w:jc w:val="right"/>
              <w:rPr>
                <w:sz w:val="16"/>
                <w:szCs w:val="16"/>
              </w:rPr>
            </w:pPr>
            <w:r w:rsidRPr="005375B8">
              <w:rPr>
                <w:sz w:val="16"/>
                <w:szCs w:val="16"/>
              </w:rPr>
              <w:t>N/A</w:t>
            </w:r>
          </w:p>
        </w:tc>
        <w:tc>
          <w:tcPr>
            <w:tcW w:w="1626" w:type="dxa"/>
            <w:gridSpan w:val="3"/>
            <w:tcBorders>
              <w:bottom w:val="single" w:sz="4" w:space="0" w:color="000000"/>
            </w:tcBorders>
            <w:vAlign w:val="center"/>
          </w:tcPr>
          <w:p w:rsidR="00B578D6" w:rsidRPr="005375B8" w:rsidRDefault="00B578D6" w:rsidP="00B75B18">
            <w:pPr>
              <w:contextualSpacing/>
              <w:jc w:val="right"/>
              <w:rPr>
                <w:sz w:val="16"/>
                <w:szCs w:val="16"/>
              </w:rPr>
            </w:pPr>
            <w:r w:rsidRPr="005375B8">
              <w:rPr>
                <w:sz w:val="16"/>
                <w:szCs w:val="16"/>
              </w:rPr>
              <w:t>N/A</w:t>
            </w:r>
          </w:p>
        </w:tc>
      </w:tr>
      <w:tr w:rsidR="00B578D6" w:rsidRPr="005375B8" w:rsidTr="00E8080C">
        <w:trPr>
          <w:cantSplit/>
          <w:trHeight w:val="209"/>
        </w:trPr>
        <w:tc>
          <w:tcPr>
            <w:tcW w:w="1821" w:type="dxa"/>
            <w:gridSpan w:val="2"/>
            <w:vAlign w:val="center"/>
          </w:tcPr>
          <w:p w:rsidR="00B578D6" w:rsidRPr="005375B8" w:rsidRDefault="00B578D6" w:rsidP="00B75B18">
            <w:pPr>
              <w:contextualSpacing/>
              <w:rPr>
                <w:b/>
                <w:bCs/>
                <w:sz w:val="16"/>
                <w:szCs w:val="16"/>
              </w:rPr>
            </w:pPr>
            <w:r>
              <w:rPr>
                <w:b/>
                <w:bCs/>
                <w:sz w:val="18"/>
                <w:szCs w:val="18"/>
              </w:rPr>
              <w:lastRenderedPageBreak/>
              <w:t xml:space="preserve"> </w:t>
            </w:r>
            <w:r w:rsidRPr="005375B8">
              <w:rPr>
                <w:b/>
                <w:bCs/>
                <w:sz w:val="16"/>
                <w:szCs w:val="16"/>
              </w:rPr>
              <w:t>TYPE/ STRATEGIC OBJECTIVE</w:t>
            </w:r>
          </w:p>
        </w:tc>
        <w:tc>
          <w:tcPr>
            <w:tcW w:w="3141" w:type="dxa"/>
            <w:vAlign w:val="center"/>
          </w:tcPr>
          <w:p w:rsidR="00B578D6" w:rsidRPr="005375B8" w:rsidRDefault="00B578D6" w:rsidP="00B75B18">
            <w:pPr>
              <w:contextualSpacing/>
              <w:jc w:val="center"/>
              <w:rPr>
                <w:b/>
                <w:bCs/>
                <w:sz w:val="16"/>
                <w:szCs w:val="16"/>
              </w:rPr>
            </w:pPr>
            <w:r w:rsidRPr="005375B8">
              <w:rPr>
                <w:b/>
                <w:bCs/>
                <w:sz w:val="16"/>
                <w:szCs w:val="16"/>
              </w:rPr>
              <w:t>PERFORMANCE</w:t>
            </w:r>
          </w:p>
        </w:tc>
        <w:tc>
          <w:tcPr>
            <w:tcW w:w="1819"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2011</w:t>
            </w:r>
          </w:p>
        </w:tc>
        <w:tc>
          <w:tcPr>
            <w:tcW w:w="1675"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2011</w:t>
            </w:r>
          </w:p>
        </w:tc>
        <w:tc>
          <w:tcPr>
            <w:tcW w:w="1660"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 xml:space="preserve">FY 2012 </w:t>
            </w:r>
            <w:r>
              <w:rPr>
                <w:b/>
                <w:bCs/>
                <w:sz w:val="16"/>
                <w:szCs w:val="16"/>
              </w:rPr>
              <w:t>Projected</w:t>
            </w:r>
          </w:p>
        </w:tc>
        <w:tc>
          <w:tcPr>
            <w:tcW w:w="1620" w:type="dxa"/>
            <w:gridSpan w:val="3"/>
            <w:tcBorders>
              <w:bottom w:val="single" w:sz="4" w:space="0" w:color="000000"/>
            </w:tcBorders>
            <w:shd w:val="clear" w:color="auto" w:fill="FFAC99"/>
            <w:vAlign w:val="center"/>
          </w:tcPr>
          <w:p w:rsidR="00D107D4" w:rsidRDefault="00B578D6" w:rsidP="00B75B18">
            <w:pPr>
              <w:contextualSpacing/>
              <w:jc w:val="center"/>
              <w:rPr>
                <w:b/>
                <w:bCs/>
                <w:sz w:val="16"/>
                <w:szCs w:val="16"/>
              </w:rPr>
            </w:pPr>
            <w:r w:rsidRPr="005375B8">
              <w:rPr>
                <w:b/>
                <w:bCs/>
                <w:sz w:val="16"/>
                <w:szCs w:val="16"/>
              </w:rPr>
              <w:t xml:space="preserve">Current Services Adjustments &amp; </w:t>
            </w:r>
          </w:p>
          <w:p w:rsidR="00B578D6" w:rsidRPr="005375B8" w:rsidRDefault="00B578D6" w:rsidP="00B75B18">
            <w:pPr>
              <w:contextualSpacing/>
              <w:jc w:val="center"/>
              <w:rPr>
                <w:b/>
                <w:bCs/>
                <w:sz w:val="16"/>
                <w:szCs w:val="16"/>
              </w:rPr>
            </w:pPr>
            <w:r w:rsidRPr="005375B8">
              <w:rPr>
                <w:b/>
                <w:bCs/>
                <w:sz w:val="16"/>
                <w:szCs w:val="16"/>
              </w:rPr>
              <w:t>FY</w:t>
            </w:r>
            <w:r w:rsidR="00D107D4">
              <w:rPr>
                <w:b/>
                <w:bCs/>
                <w:sz w:val="16"/>
                <w:szCs w:val="16"/>
              </w:rPr>
              <w:t xml:space="preserve"> </w:t>
            </w:r>
            <w:r w:rsidRPr="005375B8">
              <w:rPr>
                <w:b/>
                <w:bCs/>
                <w:sz w:val="16"/>
                <w:szCs w:val="16"/>
              </w:rPr>
              <w:t>2013 Program Changes</w:t>
            </w:r>
          </w:p>
        </w:tc>
        <w:tc>
          <w:tcPr>
            <w:tcW w:w="1626" w:type="dxa"/>
            <w:gridSpan w:val="3"/>
            <w:tcBorders>
              <w:bottom w:val="single" w:sz="4" w:space="0" w:color="000000"/>
            </w:tcBorders>
            <w:shd w:val="clear" w:color="auto" w:fill="FFAC99"/>
            <w:vAlign w:val="center"/>
          </w:tcPr>
          <w:p w:rsidR="00B578D6" w:rsidRPr="005375B8" w:rsidRDefault="00B578D6" w:rsidP="00B75B18">
            <w:pPr>
              <w:contextualSpacing/>
              <w:jc w:val="center"/>
              <w:rPr>
                <w:b/>
                <w:bCs/>
                <w:sz w:val="16"/>
                <w:szCs w:val="16"/>
              </w:rPr>
            </w:pPr>
            <w:r w:rsidRPr="005375B8">
              <w:rPr>
                <w:b/>
                <w:bCs/>
                <w:sz w:val="16"/>
                <w:szCs w:val="16"/>
              </w:rPr>
              <w:t>FY 2013 Request</w:t>
            </w:r>
          </w:p>
        </w:tc>
      </w:tr>
      <w:tr w:rsidR="00B578D6" w:rsidRPr="005375B8" w:rsidTr="00B75B18">
        <w:trPr>
          <w:trHeight w:val="209"/>
        </w:trPr>
        <w:tc>
          <w:tcPr>
            <w:tcW w:w="1821" w:type="dxa"/>
            <w:gridSpan w:val="2"/>
            <w:vMerge w:val="restart"/>
            <w:vAlign w:val="center"/>
          </w:tcPr>
          <w:p w:rsidR="00B578D6" w:rsidRPr="005375B8" w:rsidRDefault="00B578D6" w:rsidP="00B75B18">
            <w:pPr>
              <w:contextualSpacing/>
              <w:rPr>
                <w:b/>
                <w:bCs/>
                <w:sz w:val="16"/>
                <w:szCs w:val="16"/>
              </w:rPr>
            </w:pPr>
            <w:r w:rsidRPr="005375B8">
              <w:rPr>
                <w:b/>
                <w:bCs/>
                <w:sz w:val="16"/>
                <w:szCs w:val="16"/>
              </w:rPr>
              <w:t>Program Activity/ 2.2, 2.4, 2.6</w:t>
            </w:r>
          </w:p>
        </w:tc>
        <w:tc>
          <w:tcPr>
            <w:tcW w:w="3141" w:type="dxa"/>
            <w:vMerge w:val="restart"/>
            <w:vAlign w:val="center"/>
          </w:tcPr>
          <w:p w:rsidR="00B578D6" w:rsidRPr="005375B8" w:rsidRDefault="00B578D6" w:rsidP="00B75B18">
            <w:pPr>
              <w:pStyle w:val="BodyText2"/>
              <w:contextualSpacing/>
              <w:rPr>
                <w:b/>
                <w:bCs/>
                <w:sz w:val="16"/>
                <w:szCs w:val="16"/>
              </w:rPr>
            </w:pPr>
            <w:r w:rsidRPr="005375B8">
              <w:rPr>
                <w:b/>
                <w:bCs/>
                <w:sz w:val="16"/>
                <w:szCs w:val="16"/>
              </w:rPr>
              <w:t xml:space="preserve"> 2. Criminal Enterprises/Civil Rights/Violent Crimes</w:t>
            </w:r>
          </w:p>
        </w:tc>
        <w:tc>
          <w:tcPr>
            <w:tcW w:w="616"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1203"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564"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1111"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599"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1061"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641"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979"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c>
          <w:tcPr>
            <w:tcW w:w="653" w:type="dxa"/>
            <w:gridSpan w:val="2"/>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FTE</w:t>
            </w:r>
          </w:p>
        </w:tc>
        <w:tc>
          <w:tcPr>
            <w:tcW w:w="973" w:type="dxa"/>
            <w:shd w:val="clear" w:color="auto" w:fill="FFFFCC"/>
            <w:vAlign w:val="center"/>
          </w:tcPr>
          <w:p w:rsidR="00B578D6" w:rsidRPr="005375B8" w:rsidRDefault="00B578D6" w:rsidP="00B75B18">
            <w:pPr>
              <w:contextualSpacing/>
              <w:jc w:val="center"/>
              <w:rPr>
                <w:b/>
                <w:bCs/>
                <w:sz w:val="16"/>
                <w:szCs w:val="16"/>
              </w:rPr>
            </w:pPr>
            <w:r w:rsidRPr="005375B8">
              <w:rPr>
                <w:b/>
                <w:bCs/>
                <w:sz w:val="16"/>
                <w:szCs w:val="16"/>
              </w:rPr>
              <w:t>$000</w:t>
            </w:r>
          </w:p>
        </w:tc>
      </w:tr>
      <w:tr w:rsidR="00B578D6" w:rsidRPr="005375B8" w:rsidTr="00B75B18">
        <w:trPr>
          <w:trHeight w:val="438"/>
        </w:trPr>
        <w:tc>
          <w:tcPr>
            <w:tcW w:w="1821" w:type="dxa"/>
            <w:gridSpan w:val="2"/>
            <w:vMerge/>
            <w:vAlign w:val="center"/>
          </w:tcPr>
          <w:p w:rsidR="00B578D6" w:rsidRPr="005375B8" w:rsidRDefault="00B578D6" w:rsidP="00B75B18">
            <w:pPr>
              <w:contextualSpacing/>
              <w:rPr>
                <w:b/>
                <w:bCs/>
                <w:sz w:val="14"/>
                <w:szCs w:val="14"/>
              </w:rPr>
            </w:pPr>
          </w:p>
        </w:tc>
        <w:tc>
          <w:tcPr>
            <w:tcW w:w="3141" w:type="dxa"/>
            <w:vMerge/>
            <w:vAlign w:val="center"/>
          </w:tcPr>
          <w:p w:rsidR="00B578D6" w:rsidRPr="005375B8" w:rsidRDefault="00B578D6" w:rsidP="00B75B18">
            <w:pPr>
              <w:ind w:left="360" w:hanging="360"/>
              <w:contextualSpacing/>
              <w:rPr>
                <w:b/>
                <w:bCs/>
                <w:sz w:val="16"/>
                <w:szCs w:val="16"/>
              </w:rPr>
            </w:pPr>
          </w:p>
        </w:tc>
        <w:tc>
          <w:tcPr>
            <w:tcW w:w="616" w:type="dxa"/>
            <w:vAlign w:val="center"/>
          </w:tcPr>
          <w:p w:rsidR="00B578D6" w:rsidRPr="005375B8" w:rsidRDefault="00B578D6" w:rsidP="00B75B18">
            <w:pPr>
              <w:contextualSpacing/>
              <w:jc w:val="center"/>
              <w:rPr>
                <w:sz w:val="16"/>
                <w:szCs w:val="16"/>
              </w:rPr>
            </w:pPr>
            <w:r w:rsidRPr="005375B8">
              <w:rPr>
                <w:sz w:val="16"/>
                <w:szCs w:val="16"/>
              </w:rPr>
              <w:t>5,681</w:t>
            </w:r>
          </w:p>
        </w:tc>
        <w:tc>
          <w:tcPr>
            <w:tcW w:w="1203" w:type="dxa"/>
            <w:gridSpan w:val="2"/>
            <w:vAlign w:val="center"/>
          </w:tcPr>
          <w:p w:rsidR="00B578D6" w:rsidRPr="005375B8" w:rsidRDefault="00B578D6" w:rsidP="00B75B18">
            <w:pPr>
              <w:contextualSpacing/>
              <w:jc w:val="center"/>
              <w:rPr>
                <w:sz w:val="16"/>
                <w:szCs w:val="16"/>
              </w:rPr>
            </w:pPr>
            <w:r w:rsidRPr="005375B8">
              <w:rPr>
                <w:sz w:val="16"/>
                <w:szCs w:val="16"/>
              </w:rPr>
              <w:t>1,266,770</w:t>
            </w:r>
          </w:p>
        </w:tc>
        <w:tc>
          <w:tcPr>
            <w:tcW w:w="564" w:type="dxa"/>
            <w:vAlign w:val="center"/>
          </w:tcPr>
          <w:p w:rsidR="00B578D6" w:rsidRPr="005375B8" w:rsidRDefault="00B578D6" w:rsidP="00B75B18">
            <w:pPr>
              <w:contextualSpacing/>
              <w:jc w:val="center"/>
              <w:rPr>
                <w:sz w:val="16"/>
                <w:szCs w:val="16"/>
              </w:rPr>
            </w:pPr>
            <w:r>
              <w:rPr>
                <w:sz w:val="16"/>
                <w:szCs w:val="16"/>
              </w:rPr>
              <w:t>5,577</w:t>
            </w:r>
          </w:p>
        </w:tc>
        <w:tc>
          <w:tcPr>
            <w:tcW w:w="1111" w:type="dxa"/>
            <w:gridSpan w:val="2"/>
            <w:vAlign w:val="center"/>
          </w:tcPr>
          <w:p w:rsidR="00B578D6" w:rsidRPr="005375B8" w:rsidRDefault="00B578D6" w:rsidP="00B75B18">
            <w:pPr>
              <w:contextualSpacing/>
              <w:jc w:val="center"/>
              <w:rPr>
                <w:sz w:val="16"/>
                <w:szCs w:val="16"/>
              </w:rPr>
            </w:pPr>
            <w:r>
              <w:rPr>
                <w:sz w:val="16"/>
                <w:szCs w:val="16"/>
              </w:rPr>
              <w:t>1,296,687</w:t>
            </w:r>
          </w:p>
        </w:tc>
        <w:tc>
          <w:tcPr>
            <w:tcW w:w="599" w:type="dxa"/>
            <w:vAlign w:val="center"/>
          </w:tcPr>
          <w:p w:rsidR="00B578D6" w:rsidRPr="005375B8" w:rsidRDefault="00B578D6" w:rsidP="00B75B18">
            <w:pPr>
              <w:contextualSpacing/>
              <w:jc w:val="center"/>
              <w:rPr>
                <w:sz w:val="16"/>
                <w:szCs w:val="16"/>
              </w:rPr>
            </w:pPr>
            <w:r>
              <w:rPr>
                <w:sz w:val="16"/>
                <w:szCs w:val="16"/>
              </w:rPr>
              <w:t>5,794</w:t>
            </w:r>
          </w:p>
        </w:tc>
        <w:tc>
          <w:tcPr>
            <w:tcW w:w="1061" w:type="dxa"/>
            <w:gridSpan w:val="2"/>
            <w:vAlign w:val="center"/>
          </w:tcPr>
          <w:p w:rsidR="00B578D6" w:rsidRPr="005375B8" w:rsidRDefault="00B578D6" w:rsidP="00B75B18">
            <w:pPr>
              <w:contextualSpacing/>
              <w:jc w:val="center"/>
              <w:rPr>
                <w:sz w:val="16"/>
                <w:szCs w:val="16"/>
              </w:rPr>
            </w:pPr>
            <w:r>
              <w:rPr>
                <w:sz w:val="16"/>
                <w:szCs w:val="16"/>
              </w:rPr>
              <w:t>1,301,169</w:t>
            </w:r>
          </w:p>
        </w:tc>
        <w:tc>
          <w:tcPr>
            <w:tcW w:w="641" w:type="dxa"/>
            <w:vAlign w:val="center"/>
          </w:tcPr>
          <w:p w:rsidR="00B578D6" w:rsidRPr="005375B8" w:rsidRDefault="00B578D6" w:rsidP="00B75B18">
            <w:pPr>
              <w:contextualSpacing/>
              <w:jc w:val="center"/>
              <w:rPr>
                <w:sz w:val="16"/>
                <w:szCs w:val="16"/>
              </w:rPr>
            </w:pPr>
            <w:r>
              <w:rPr>
                <w:sz w:val="16"/>
                <w:szCs w:val="16"/>
              </w:rPr>
              <w:t>27</w:t>
            </w:r>
          </w:p>
        </w:tc>
        <w:tc>
          <w:tcPr>
            <w:tcW w:w="979" w:type="dxa"/>
            <w:gridSpan w:val="2"/>
            <w:vAlign w:val="center"/>
          </w:tcPr>
          <w:p w:rsidR="00B578D6" w:rsidRPr="005375B8" w:rsidRDefault="00B578D6" w:rsidP="00B75B18">
            <w:pPr>
              <w:contextualSpacing/>
              <w:jc w:val="center"/>
              <w:rPr>
                <w:sz w:val="16"/>
                <w:szCs w:val="16"/>
              </w:rPr>
            </w:pPr>
            <w:r>
              <w:rPr>
                <w:sz w:val="16"/>
                <w:szCs w:val="16"/>
              </w:rPr>
              <w:t>17,565</w:t>
            </w:r>
          </w:p>
        </w:tc>
        <w:tc>
          <w:tcPr>
            <w:tcW w:w="653" w:type="dxa"/>
            <w:gridSpan w:val="2"/>
            <w:vAlign w:val="center"/>
          </w:tcPr>
          <w:p w:rsidR="00B578D6" w:rsidRPr="005375B8" w:rsidRDefault="00B578D6" w:rsidP="00B75B18">
            <w:pPr>
              <w:contextualSpacing/>
              <w:jc w:val="center"/>
              <w:rPr>
                <w:sz w:val="16"/>
                <w:szCs w:val="16"/>
              </w:rPr>
            </w:pPr>
            <w:r>
              <w:rPr>
                <w:sz w:val="16"/>
                <w:szCs w:val="16"/>
              </w:rPr>
              <w:t>5,821</w:t>
            </w:r>
          </w:p>
        </w:tc>
        <w:tc>
          <w:tcPr>
            <w:tcW w:w="973" w:type="dxa"/>
            <w:vAlign w:val="center"/>
          </w:tcPr>
          <w:p w:rsidR="00B578D6" w:rsidRPr="005375B8" w:rsidRDefault="00B578D6" w:rsidP="00B75B18">
            <w:pPr>
              <w:contextualSpacing/>
              <w:jc w:val="center"/>
              <w:rPr>
                <w:sz w:val="16"/>
                <w:szCs w:val="16"/>
              </w:rPr>
            </w:pPr>
            <w:r>
              <w:rPr>
                <w:sz w:val="16"/>
                <w:szCs w:val="16"/>
              </w:rPr>
              <w:t>1,318,734</w:t>
            </w:r>
          </w:p>
        </w:tc>
      </w:tr>
      <w:tr w:rsidR="00B578D6" w:rsidRPr="005375B8" w:rsidTr="00B75B18">
        <w:trPr>
          <w:trHeight w:val="438"/>
        </w:trPr>
        <w:tc>
          <w:tcPr>
            <w:tcW w:w="4962" w:type="dxa"/>
            <w:gridSpan w:val="3"/>
            <w:vAlign w:val="center"/>
          </w:tcPr>
          <w:p w:rsidR="00B578D6" w:rsidRPr="005375B8" w:rsidRDefault="00B578D6" w:rsidP="00B75B18">
            <w:pPr>
              <w:contextualSpacing/>
              <w:rPr>
                <w:b/>
                <w:bCs/>
                <w:sz w:val="16"/>
                <w:szCs w:val="16"/>
              </w:rPr>
            </w:pPr>
            <w:r w:rsidRPr="005375B8">
              <w:rPr>
                <w:b/>
                <w:bCs/>
                <w:sz w:val="16"/>
                <w:szCs w:val="16"/>
              </w:rPr>
              <w:t xml:space="preserve">Workload  -- </w:t>
            </w:r>
            <w:r w:rsidRPr="005375B8">
              <w:rPr>
                <w:sz w:val="16"/>
                <w:szCs w:val="16"/>
              </w:rPr>
              <w:t># of cases investigated (pending and received)</w:t>
            </w:r>
            <w:r w:rsidRPr="005375B8">
              <w:rPr>
                <w:b/>
                <w:bCs/>
                <w:sz w:val="16"/>
                <w:szCs w:val="16"/>
              </w:rPr>
              <w:t xml:space="preserve"> </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75" w:type="dxa"/>
            <w:gridSpan w:val="3"/>
            <w:vAlign w:val="center"/>
          </w:tcPr>
          <w:p w:rsidR="00B578D6" w:rsidRPr="005375B8" w:rsidRDefault="00B578D6" w:rsidP="00B75B18">
            <w:pPr>
              <w:contextualSpacing/>
              <w:jc w:val="right"/>
              <w:rPr>
                <w:sz w:val="16"/>
                <w:szCs w:val="16"/>
              </w:rPr>
            </w:pPr>
            <w:r w:rsidRPr="00982BF7">
              <w:rPr>
                <w:sz w:val="16"/>
                <w:szCs w:val="16"/>
              </w:rPr>
              <w:t>47,981</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w:t>
            </w:r>
          </w:p>
        </w:tc>
      </w:tr>
      <w:tr w:rsidR="00B578D6" w:rsidRPr="005375B8" w:rsidTr="00B75B18">
        <w:trPr>
          <w:trHeight w:val="675"/>
        </w:trPr>
        <w:tc>
          <w:tcPr>
            <w:tcW w:w="1821" w:type="dxa"/>
            <w:gridSpan w:val="2"/>
            <w:vAlign w:val="center"/>
          </w:tcPr>
          <w:p w:rsidR="00B578D6" w:rsidRPr="005375B8" w:rsidRDefault="00B578D6" w:rsidP="00B75B18">
            <w:pPr>
              <w:contextualSpacing/>
              <w:rPr>
                <w:b/>
                <w:bCs/>
                <w:sz w:val="14"/>
                <w:szCs w:val="14"/>
              </w:rPr>
            </w:pPr>
            <w:r w:rsidRPr="005375B8">
              <w:rPr>
                <w:b/>
                <w:bCs/>
                <w:sz w:val="16"/>
                <w:szCs w:val="16"/>
              </w:rPr>
              <w:t>Performance Measure</w:t>
            </w:r>
          </w:p>
        </w:tc>
        <w:tc>
          <w:tcPr>
            <w:tcW w:w="3141" w:type="dxa"/>
          </w:tcPr>
          <w:p w:rsidR="00B578D6" w:rsidRPr="005375B8" w:rsidRDefault="00B578D6" w:rsidP="00B75B18">
            <w:pPr>
              <w:pStyle w:val="BodyText2"/>
              <w:contextualSpacing/>
              <w:rPr>
                <w:sz w:val="16"/>
                <w:szCs w:val="16"/>
              </w:rPr>
            </w:pPr>
            <w:r w:rsidRPr="005375B8">
              <w:rPr>
                <w:sz w:val="16"/>
                <w:szCs w:val="16"/>
              </w:rPr>
              <w:t>Convictions/Pre-trial Diversions</w:t>
            </w:r>
          </w:p>
          <w:p w:rsidR="00B578D6" w:rsidRPr="005375B8" w:rsidRDefault="00B578D6" w:rsidP="00B75B18">
            <w:pPr>
              <w:pStyle w:val="BodyText2"/>
              <w:numPr>
                <w:ilvl w:val="0"/>
                <w:numId w:val="53"/>
              </w:numPr>
              <w:tabs>
                <w:tab w:val="clear" w:pos="936"/>
                <w:tab w:val="num" w:pos="99"/>
              </w:tabs>
              <w:contextualSpacing/>
              <w:rPr>
                <w:sz w:val="16"/>
                <w:szCs w:val="16"/>
              </w:rPr>
            </w:pPr>
            <w:r w:rsidRPr="005375B8">
              <w:rPr>
                <w:sz w:val="16"/>
                <w:szCs w:val="16"/>
              </w:rPr>
              <w:t xml:space="preserve">Organized Criminal Enterprises </w:t>
            </w:r>
          </w:p>
          <w:p w:rsidR="00B578D6" w:rsidRPr="005375B8" w:rsidRDefault="00B578D6" w:rsidP="00B75B18">
            <w:pPr>
              <w:pStyle w:val="BodyText2"/>
              <w:numPr>
                <w:ilvl w:val="0"/>
                <w:numId w:val="53"/>
              </w:numPr>
              <w:tabs>
                <w:tab w:val="clear" w:pos="936"/>
                <w:tab w:val="num" w:pos="99"/>
              </w:tabs>
              <w:contextualSpacing/>
              <w:rPr>
                <w:sz w:val="16"/>
                <w:szCs w:val="16"/>
              </w:rPr>
            </w:pPr>
            <w:r w:rsidRPr="005375B8">
              <w:rPr>
                <w:sz w:val="16"/>
                <w:szCs w:val="16"/>
              </w:rPr>
              <w:t>Gang/Criminal Enterprises</w:t>
            </w:r>
          </w:p>
          <w:p w:rsidR="00B578D6" w:rsidRPr="005375B8" w:rsidRDefault="00B578D6" w:rsidP="00B75B18">
            <w:pPr>
              <w:pStyle w:val="BodyText2"/>
              <w:numPr>
                <w:ilvl w:val="0"/>
                <w:numId w:val="53"/>
              </w:numPr>
              <w:tabs>
                <w:tab w:val="clear" w:pos="936"/>
                <w:tab w:val="num" w:pos="99"/>
              </w:tabs>
              <w:contextualSpacing/>
              <w:rPr>
                <w:sz w:val="16"/>
                <w:szCs w:val="16"/>
              </w:rPr>
            </w:pPr>
            <w:r w:rsidRPr="005375B8">
              <w:rPr>
                <w:sz w:val="16"/>
                <w:szCs w:val="16"/>
              </w:rPr>
              <w:t>Crimes Against Children</w:t>
            </w:r>
          </w:p>
          <w:p w:rsidR="00B578D6" w:rsidRPr="005375B8" w:rsidRDefault="00B578D6" w:rsidP="00B75B18">
            <w:pPr>
              <w:pStyle w:val="BodyText2"/>
              <w:numPr>
                <w:ilvl w:val="0"/>
                <w:numId w:val="53"/>
              </w:numPr>
              <w:tabs>
                <w:tab w:val="clear" w:pos="936"/>
                <w:tab w:val="num" w:pos="99"/>
              </w:tabs>
              <w:contextualSpacing/>
              <w:rPr>
                <w:sz w:val="16"/>
                <w:szCs w:val="16"/>
              </w:rPr>
            </w:pPr>
            <w:r w:rsidRPr="005375B8">
              <w:rPr>
                <w:sz w:val="16"/>
                <w:szCs w:val="16"/>
              </w:rPr>
              <w:t>Civil Rights</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75" w:type="dxa"/>
            <w:gridSpan w:val="3"/>
            <w:vAlign w:val="center"/>
          </w:tcPr>
          <w:p w:rsidR="00B578D6" w:rsidRPr="005375B8" w:rsidRDefault="00B578D6" w:rsidP="00B75B18">
            <w:pPr>
              <w:contextualSpacing/>
              <w:jc w:val="right"/>
              <w:rPr>
                <w:sz w:val="16"/>
                <w:szCs w:val="16"/>
              </w:rPr>
            </w:pPr>
            <w:r>
              <w:rPr>
                <w:sz w:val="16"/>
                <w:szCs w:val="16"/>
              </w:rPr>
              <w:br/>
              <w:t>812</w:t>
            </w:r>
            <w:r>
              <w:rPr>
                <w:sz w:val="16"/>
                <w:szCs w:val="16"/>
              </w:rPr>
              <w:br/>
              <w:t>N/A</w:t>
            </w:r>
            <w:r>
              <w:rPr>
                <w:sz w:val="16"/>
                <w:szCs w:val="16"/>
              </w:rPr>
              <w:br/>
              <w:t>338</w:t>
            </w:r>
          </w:p>
          <w:p w:rsidR="00B578D6" w:rsidRPr="005375B8" w:rsidRDefault="00B578D6" w:rsidP="00B75B18">
            <w:pPr>
              <w:contextualSpacing/>
              <w:jc w:val="right"/>
              <w:rPr>
                <w:sz w:val="16"/>
                <w:szCs w:val="16"/>
              </w:rPr>
            </w:pPr>
            <w:r>
              <w:rPr>
                <w:sz w:val="16"/>
                <w:szCs w:val="16"/>
              </w:rPr>
              <w:t>245</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w:t>
            </w:r>
          </w:p>
        </w:tc>
        <w:tc>
          <w:tcPr>
            <w:tcW w:w="1620" w:type="dxa"/>
            <w:gridSpan w:val="3"/>
            <w:vAlign w:val="center"/>
          </w:tcPr>
          <w:p w:rsidR="00B578D6" w:rsidRPr="005663C4" w:rsidRDefault="00B578D6" w:rsidP="00B75B18">
            <w:pPr>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w:t>
            </w:r>
          </w:p>
        </w:tc>
      </w:tr>
      <w:tr w:rsidR="00B578D6" w:rsidRPr="005375B8" w:rsidTr="00B75B18">
        <w:trPr>
          <w:trHeight w:val="494"/>
        </w:trPr>
        <w:tc>
          <w:tcPr>
            <w:tcW w:w="1821" w:type="dxa"/>
            <w:gridSpan w:val="2"/>
            <w:vAlign w:val="center"/>
          </w:tcPr>
          <w:p w:rsidR="00B578D6" w:rsidRPr="00997A49" w:rsidRDefault="00B578D6" w:rsidP="00997A49">
            <w:pPr>
              <w:pStyle w:val="Heading2"/>
              <w:contextualSpacing/>
              <w:jc w:val="left"/>
              <w:rPr>
                <w:rFonts w:ascii="Times New Roman" w:hAnsi="Times New Roman"/>
                <w:sz w:val="14"/>
                <w:szCs w:val="14"/>
                <w:u w:val="none"/>
              </w:rPr>
            </w:pPr>
            <w:r w:rsidRPr="00997A49">
              <w:rPr>
                <w:rFonts w:ascii="Times New Roman" w:hAnsi="Times New Roman"/>
                <w:sz w:val="16"/>
                <w:szCs w:val="16"/>
                <w:u w:val="none"/>
              </w:rPr>
              <w:t>Efficiency Measure</w:t>
            </w:r>
          </w:p>
        </w:tc>
        <w:tc>
          <w:tcPr>
            <w:tcW w:w="3141" w:type="dxa"/>
            <w:vAlign w:val="center"/>
          </w:tcPr>
          <w:p w:rsidR="00B578D6" w:rsidRPr="005375B8" w:rsidRDefault="00B578D6" w:rsidP="00B75B18">
            <w:pPr>
              <w:pStyle w:val="BodyText2"/>
              <w:tabs>
                <w:tab w:val="left" w:pos="279"/>
              </w:tabs>
              <w:contextualSpacing/>
              <w:rPr>
                <w:sz w:val="16"/>
                <w:szCs w:val="16"/>
              </w:rPr>
            </w:pPr>
            <w:r w:rsidRPr="005375B8">
              <w:rPr>
                <w:sz w:val="16"/>
                <w:szCs w:val="16"/>
              </w:rPr>
              <w:t>% of FBI OCDETF Investigations with links to CPOT-linked DTOs</w:t>
            </w:r>
          </w:p>
        </w:tc>
        <w:tc>
          <w:tcPr>
            <w:tcW w:w="1819" w:type="dxa"/>
            <w:gridSpan w:val="3"/>
            <w:vAlign w:val="center"/>
          </w:tcPr>
          <w:p w:rsidR="00B578D6" w:rsidRPr="005375B8" w:rsidRDefault="00B578D6" w:rsidP="00B75B18">
            <w:pPr>
              <w:pStyle w:val="BodyText2"/>
              <w:contextualSpacing/>
              <w:jc w:val="right"/>
              <w:rPr>
                <w:sz w:val="16"/>
                <w:szCs w:val="16"/>
              </w:rPr>
            </w:pPr>
            <w:r w:rsidRPr="005375B8">
              <w:rPr>
                <w:sz w:val="16"/>
                <w:szCs w:val="16"/>
              </w:rPr>
              <w:t>12%</w:t>
            </w:r>
          </w:p>
        </w:tc>
        <w:tc>
          <w:tcPr>
            <w:tcW w:w="1675" w:type="dxa"/>
            <w:gridSpan w:val="3"/>
            <w:vAlign w:val="center"/>
          </w:tcPr>
          <w:p w:rsidR="00B578D6" w:rsidRPr="005375B8" w:rsidRDefault="00B578D6" w:rsidP="00B75B18">
            <w:pPr>
              <w:pStyle w:val="BodyText2"/>
              <w:contextualSpacing/>
              <w:jc w:val="right"/>
              <w:rPr>
                <w:sz w:val="16"/>
                <w:szCs w:val="16"/>
              </w:rPr>
            </w:pPr>
            <w:r>
              <w:rPr>
                <w:sz w:val="16"/>
                <w:szCs w:val="16"/>
              </w:rPr>
              <w:t>16.35%</w:t>
            </w:r>
          </w:p>
        </w:tc>
        <w:tc>
          <w:tcPr>
            <w:tcW w:w="1660" w:type="dxa"/>
            <w:gridSpan w:val="3"/>
            <w:vAlign w:val="center"/>
          </w:tcPr>
          <w:p w:rsidR="00B578D6" w:rsidRPr="005375B8" w:rsidRDefault="00B578D6" w:rsidP="00B75B18">
            <w:pPr>
              <w:pStyle w:val="BodyText2"/>
              <w:contextualSpacing/>
              <w:jc w:val="right"/>
              <w:rPr>
                <w:sz w:val="16"/>
                <w:szCs w:val="16"/>
                <w:highlight w:val="yellow"/>
              </w:rPr>
            </w:pPr>
            <w:r w:rsidRPr="005375B8">
              <w:rPr>
                <w:sz w:val="16"/>
                <w:szCs w:val="16"/>
              </w:rPr>
              <w:t>12%</w:t>
            </w:r>
          </w:p>
        </w:tc>
        <w:tc>
          <w:tcPr>
            <w:tcW w:w="1620" w:type="dxa"/>
            <w:gridSpan w:val="3"/>
            <w:vAlign w:val="center"/>
          </w:tcPr>
          <w:p w:rsidR="00B578D6" w:rsidRPr="005663C4" w:rsidRDefault="00B578D6" w:rsidP="00B75B18">
            <w:pPr>
              <w:pStyle w:val="BodyText2"/>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pStyle w:val="BodyText2"/>
              <w:contextualSpacing/>
              <w:jc w:val="right"/>
              <w:rPr>
                <w:sz w:val="16"/>
                <w:szCs w:val="16"/>
              </w:rPr>
            </w:pPr>
            <w:r>
              <w:rPr>
                <w:sz w:val="16"/>
                <w:szCs w:val="16"/>
              </w:rPr>
              <w:t>12%</w:t>
            </w:r>
          </w:p>
        </w:tc>
      </w:tr>
      <w:tr w:rsidR="00B578D6" w:rsidRPr="005375B8" w:rsidTr="00B75B18">
        <w:trPr>
          <w:trHeight w:val="566"/>
        </w:trPr>
        <w:tc>
          <w:tcPr>
            <w:tcW w:w="1821" w:type="dxa"/>
            <w:gridSpan w:val="2"/>
            <w:vAlign w:val="center"/>
          </w:tcPr>
          <w:p w:rsidR="00B578D6" w:rsidRPr="005375B8" w:rsidRDefault="00B578D6" w:rsidP="00B75B18">
            <w:pPr>
              <w:contextualSpacing/>
            </w:pPr>
            <w:r w:rsidRPr="005375B8">
              <w:rPr>
                <w:b/>
                <w:bCs/>
                <w:sz w:val="16"/>
                <w:szCs w:val="16"/>
              </w:rPr>
              <w:t>Performance Measure</w:t>
            </w:r>
          </w:p>
        </w:tc>
        <w:tc>
          <w:tcPr>
            <w:tcW w:w="3141" w:type="dxa"/>
          </w:tcPr>
          <w:p w:rsidR="00B578D6" w:rsidRPr="005375B8" w:rsidRDefault="00B578D6" w:rsidP="00B75B18">
            <w:pPr>
              <w:pStyle w:val="BodyText2"/>
              <w:tabs>
                <w:tab w:val="left" w:pos="279"/>
              </w:tabs>
              <w:contextualSpacing/>
              <w:rPr>
                <w:sz w:val="16"/>
                <w:szCs w:val="16"/>
              </w:rPr>
            </w:pPr>
            <w:r w:rsidRPr="005375B8">
              <w:rPr>
                <w:sz w:val="16"/>
                <w:szCs w:val="16"/>
              </w:rPr>
              <w:t>CPOT-Linked DTOs</w:t>
            </w:r>
          </w:p>
          <w:p w:rsidR="00B578D6" w:rsidRPr="005375B8" w:rsidRDefault="00B578D6" w:rsidP="00B75B18">
            <w:pPr>
              <w:pStyle w:val="BodyText2"/>
              <w:numPr>
                <w:ilvl w:val="0"/>
                <w:numId w:val="52"/>
              </w:numPr>
              <w:tabs>
                <w:tab w:val="clear" w:pos="360"/>
                <w:tab w:val="left" w:pos="99"/>
              </w:tabs>
              <w:contextualSpacing/>
              <w:rPr>
                <w:sz w:val="16"/>
                <w:szCs w:val="16"/>
              </w:rPr>
            </w:pPr>
            <w:r w:rsidRPr="005375B8">
              <w:rPr>
                <w:sz w:val="16"/>
                <w:szCs w:val="16"/>
              </w:rPr>
              <w:t>Disruptions</w:t>
            </w:r>
          </w:p>
          <w:p w:rsidR="00B578D6" w:rsidRPr="005375B8" w:rsidRDefault="00B578D6" w:rsidP="00B75B18">
            <w:pPr>
              <w:pStyle w:val="BodyText2"/>
              <w:numPr>
                <w:ilvl w:val="0"/>
                <w:numId w:val="52"/>
              </w:numPr>
              <w:tabs>
                <w:tab w:val="clear" w:pos="360"/>
                <w:tab w:val="left" w:pos="99"/>
              </w:tabs>
              <w:contextualSpacing/>
              <w:rPr>
                <w:sz w:val="16"/>
                <w:szCs w:val="16"/>
              </w:rPr>
            </w:pPr>
            <w:proofErr w:type="spellStart"/>
            <w:r w:rsidRPr="005375B8">
              <w:rPr>
                <w:sz w:val="16"/>
                <w:szCs w:val="16"/>
              </w:rPr>
              <w:t>Dismantlements</w:t>
            </w:r>
            <w:proofErr w:type="spellEnd"/>
          </w:p>
        </w:tc>
        <w:tc>
          <w:tcPr>
            <w:tcW w:w="1819" w:type="dxa"/>
            <w:gridSpan w:val="3"/>
            <w:vAlign w:val="center"/>
          </w:tcPr>
          <w:p w:rsidR="00B578D6" w:rsidRPr="005375B8" w:rsidRDefault="00B578D6" w:rsidP="00B75B18">
            <w:pPr>
              <w:pStyle w:val="BodyText2"/>
              <w:contextualSpacing/>
              <w:jc w:val="right"/>
              <w:rPr>
                <w:sz w:val="16"/>
                <w:szCs w:val="16"/>
              </w:rPr>
            </w:pPr>
            <w:r w:rsidRPr="005375B8">
              <w:rPr>
                <w:sz w:val="16"/>
                <w:szCs w:val="16"/>
              </w:rPr>
              <w:t>30</w:t>
            </w:r>
          </w:p>
          <w:p w:rsidR="00B578D6" w:rsidRPr="005375B8" w:rsidRDefault="00B578D6" w:rsidP="00B75B18">
            <w:pPr>
              <w:pStyle w:val="BodyText2"/>
              <w:contextualSpacing/>
              <w:jc w:val="right"/>
              <w:rPr>
                <w:sz w:val="16"/>
                <w:szCs w:val="16"/>
              </w:rPr>
            </w:pPr>
            <w:r w:rsidRPr="005375B8">
              <w:rPr>
                <w:sz w:val="16"/>
                <w:szCs w:val="16"/>
              </w:rPr>
              <w:t>15</w:t>
            </w:r>
          </w:p>
        </w:tc>
        <w:tc>
          <w:tcPr>
            <w:tcW w:w="1675" w:type="dxa"/>
            <w:gridSpan w:val="3"/>
            <w:vAlign w:val="center"/>
          </w:tcPr>
          <w:p w:rsidR="00B578D6" w:rsidRPr="005375B8" w:rsidRDefault="00B578D6" w:rsidP="00B75B18">
            <w:pPr>
              <w:pStyle w:val="BodyText2"/>
              <w:contextualSpacing/>
              <w:jc w:val="right"/>
              <w:rPr>
                <w:sz w:val="16"/>
                <w:szCs w:val="16"/>
              </w:rPr>
            </w:pPr>
            <w:r>
              <w:rPr>
                <w:sz w:val="16"/>
                <w:szCs w:val="16"/>
              </w:rPr>
              <w:t>54</w:t>
            </w:r>
            <w:r>
              <w:rPr>
                <w:sz w:val="16"/>
                <w:szCs w:val="16"/>
              </w:rPr>
              <w:br/>
              <w:t>22</w:t>
            </w:r>
          </w:p>
        </w:tc>
        <w:tc>
          <w:tcPr>
            <w:tcW w:w="1660" w:type="dxa"/>
            <w:gridSpan w:val="3"/>
            <w:vAlign w:val="center"/>
          </w:tcPr>
          <w:p w:rsidR="00B578D6" w:rsidRPr="005375B8" w:rsidRDefault="00B578D6" w:rsidP="00B75B18">
            <w:pPr>
              <w:pStyle w:val="BodyText2"/>
              <w:contextualSpacing/>
              <w:jc w:val="right"/>
              <w:rPr>
                <w:sz w:val="16"/>
                <w:szCs w:val="16"/>
              </w:rPr>
            </w:pPr>
            <w:r w:rsidRPr="005375B8">
              <w:rPr>
                <w:sz w:val="16"/>
                <w:szCs w:val="16"/>
              </w:rPr>
              <w:t>30</w:t>
            </w:r>
          </w:p>
          <w:p w:rsidR="00B578D6" w:rsidRPr="005375B8" w:rsidRDefault="00B578D6" w:rsidP="00B75B18">
            <w:pPr>
              <w:pStyle w:val="BodyText2"/>
              <w:contextualSpacing/>
              <w:jc w:val="right"/>
              <w:rPr>
                <w:sz w:val="16"/>
                <w:szCs w:val="16"/>
              </w:rPr>
            </w:pPr>
            <w:r w:rsidRPr="005375B8">
              <w:rPr>
                <w:sz w:val="16"/>
                <w:szCs w:val="16"/>
              </w:rPr>
              <w:t>15</w:t>
            </w:r>
          </w:p>
        </w:tc>
        <w:tc>
          <w:tcPr>
            <w:tcW w:w="1620" w:type="dxa"/>
            <w:gridSpan w:val="3"/>
            <w:vAlign w:val="center"/>
          </w:tcPr>
          <w:p w:rsidR="00B578D6" w:rsidRPr="005663C4" w:rsidRDefault="00B578D6" w:rsidP="00B75B18">
            <w:pPr>
              <w:pStyle w:val="BodyText2"/>
              <w:contextualSpacing/>
              <w:jc w:val="right"/>
              <w:rPr>
                <w:sz w:val="16"/>
                <w:szCs w:val="16"/>
              </w:rPr>
            </w:pPr>
            <w:r>
              <w:rPr>
                <w:sz w:val="16"/>
                <w:szCs w:val="16"/>
              </w:rPr>
              <w:t>-</w:t>
            </w:r>
          </w:p>
          <w:p w:rsidR="00B578D6" w:rsidRPr="005663C4" w:rsidRDefault="00B578D6" w:rsidP="00B75B18">
            <w:pPr>
              <w:pStyle w:val="BodyText2"/>
              <w:contextualSpacing/>
              <w:jc w:val="right"/>
              <w:rPr>
                <w:sz w:val="16"/>
                <w:szCs w:val="16"/>
              </w:rPr>
            </w:pPr>
            <w:r>
              <w:rPr>
                <w:sz w:val="16"/>
                <w:szCs w:val="16"/>
              </w:rPr>
              <w:t>-</w:t>
            </w:r>
          </w:p>
        </w:tc>
        <w:tc>
          <w:tcPr>
            <w:tcW w:w="1626" w:type="dxa"/>
            <w:gridSpan w:val="3"/>
            <w:vAlign w:val="center"/>
          </w:tcPr>
          <w:p w:rsidR="00B578D6" w:rsidRPr="005663C4" w:rsidRDefault="00B578D6" w:rsidP="00B75B18">
            <w:pPr>
              <w:pStyle w:val="BodyText2"/>
              <w:contextualSpacing/>
              <w:jc w:val="right"/>
              <w:rPr>
                <w:sz w:val="16"/>
                <w:szCs w:val="16"/>
              </w:rPr>
            </w:pPr>
            <w:r>
              <w:rPr>
                <w:sz w:val="16"/>
                <w:szCs w:val="16"/>
              </w:rPr>
              <w:t>30</w:t>
            </w:r>
          </w:p>
          <w:p w:rsidR="00B578D6" w:rsidRPr="005663C4" w:rsidRDefault="00B578D6" w:rsidP="00B75B18">
            <w:pPr>
              <w:pStyle w:val="BodyText2"/>
              <w:contextualSpacing/>
              <w:jc w:val="right"/>
              <w:rPr>
                <w:sz w:val="16"/>
                <w:szCs w:val="16"/>
              </w:rPr>
            </w:pPr>
            <w:r>
              <w:rPr>
                <w:sz w:val="16"/>
                <w:szCs w:val="16"/>
              </w:rPr>
              <w:t>15</w:t>
            </w:r>
          </w:p>
        </w:tc>
      </w:tr>
      <w:tr w:rsidR="00B578D6" w:rsidRPr="005375B8" w:rsidTr="00B75B18">
        <w:trPr>
          <w:trHeight w:val="554"/>
        </w:trPr>
        <w:tc>
          <w:tcPr>
            <w:tcW w:w="1821" w:type="dxa"/>
            <w:gridSpan w:val="2"/>
            <w:vAlign w:val="center"/>
          </w:tcPr>
          <w:p w:rsidR="00B578D6" w:rsidRPr="005375B8" w:rsidRDefault="00B578D6" w:rsidP="00B75B18">
            <w:pPr>
              <w:contextualSpacing/>
            </w:pPr>
            <w:r w:rsidRPr="005375B8">
              <w:rPr>
                <w:b/>
                <w:bCs/>
                <w:sz w:val="16"/>
                <w:szCs w:val="16"/>
              </w:rPr>
              <w:t>Performance Measure</w:t>
            </w:r>
          </w:p>
        </w:tc>
        <w:tc>
          <w:tcPr>
            <w:tcW w:w="3141" w:type="dxa"/>
            <w:vAlign w:val="center"/>
          </w:tcPr>
          <w:p w:rsidR="00B578D6" w:rsidRPr="005375B8" w:rsidRDefault="00B578D6" w:rsidP="00B75B18">
            <w:pPr>
              <w:pStyle w:val="BodyText2"/>
              <w:contextualSpacing/>
              <w:rPr>
                <w:sz w:val="16"/>
                <w:szCs w:val="16"/>
              </w:rPr>
            </w:pPr>
            <w:r w:rsidRPr="005375B8">
              <w:rPr>
                <w:sz w:val="16"/>
                <w:szCs w:val="16"/>
              </w:rPr>
              <w:t xml:space="preserve">Number of Organized Criminal Enterprise </w:t>
            </w:r>
            <w:proofErr w:type="spellStart"/>
            <w:r w:rsidRPr="005375B8">
              <w:rPr>
                <w:sz w:val="16"/>
                <w:szCs w:val="16"/>
              </w:rPr>
              <w:t>Dismantlements</w:t>
            </w:r>
            <w:proofErr w:type="spellEnd"/>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37</w:t>
            </w:r>
          </w:p>
        </w:tc>
        <w:tc>
          <w:tcPr>
            <w:tcW w:w="1675" w:type="dxa"/>
            <w:gridSpan w:val="3"/>
            <w:vAlign w:val="center"/>
          </w:tcPr>
          <w:p w:rsidR="00B578D6" w:rsidRPr="005375B8" w:rsidRDefault="00B578D6" w:rsidP="00B75B18">
            <w:pPr>
              <w:contextualSpacing/>
              <w:jc w:val="right"/>
              <w:rPr>
                <w:sz w:val="16"/>
                <w:szCs w:val="16"/>
              </w:rPr>
            </w:pPr>
            <w:r>
              <w:rPr>
                <w:sz w:val="16"/>
                <w:szCs w:val="16"/>
              </w:rPr>
              <w:t>39</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37</w:t>
            </w:r>
          </w:p>
        </w:tc>
        <w:tc>
          <w:tcPr>
            <w:tcW w:w="1620" w:type="dxa"/>
            <w:gridSpan w:val="3"/>
            <w:vAlign w:val="center"/>
          </w:tcPr>
          <w:p w:rsidR="00B578D6" w:rsidRPr="005663C4" w:rsidRDefault="00B578D6" w:rsidP="00B75B18">
            <w:pPr>
              <w:pStyle w:val="BodyText2"/>
              <w:contextualSpacing/>
              <w:jc w:val="right"/>
              <w:rPr>
                <w:sz w:val="16"/>
                <w:szCs w:val="16"/>
              </w:rPr>
            </w:pPr>
            <w:r>
              <w:rPr>
                <w:sz w:val="16"/>
                <w:szCs w:val="16"/>
              </w:rPr>
              <w:t>1</w:t>
            </w:r>
          </w:p>
        </w:tc>
        <w:tc>
          <w:tcPr>
            <w:tcW w:w="1626" w:type="dxa"/>
            <w:gridSpan w:val="3"/>
            <w:vAlign w:val="center"/>
          </w:tcPr>
          <w:p w:rsidR="00B578D6" w:rsidRPr="005663C4" w:rsidRDefault="00B578D6" w:rsidP="00B75B18">
            <w:pPr>
              <w:contextualSpacing/>
              <w:jc w:val="right"/>
              <w:rPr>
                <w:sz w:val="16"/>
                <w:szCs w:val="16"/>
              </w:rPr>
            </w:pPr>
            <w:r>
              <w:rPr>
                <w:sz w:val="16"/>
                <w:szCs w:val="16"/>
              </w:rPr>
              <w:t>38</w:t>
            </w:r>
          </w:p>
        </w:tc>
      </w:tr>
      <w:tr w:rsidR="00B578D6" w:rsidRPr="005375B8" w:rsidTr="00997A49">
        <w:trPr>
          <w:trHeight w:val="278"/>
        </w:trPr>
        <w:tc>
          <w:tcPr>
            <w:tcW w:w="1821" w:type="dxa"/>
            <w:gridSpan w:val="2"/>
            <w:vAlign w:val="center"/>
          </w:tcPr>
          <w:p w:rsidR="00B578D6" w:rsidRPr="00997A49" w:rsidRDefault="00B578D6" w:rsidP="00997A49">
            <w:pPr>
              <w:pStyle w:val="Heading2"/>
              <w:contextualSpacing/>
              <w:jc w:val="left"/>
              <w:rPr>
                <w:rFonts w:ascii="Times New Roman" w:hAnsi="Times New Roman"/>
                <w:sz w:val="14"/>
                <w:szCs w:val="14"/>
                <w:u w:val="none"/>
              </w:rPr>
            </w:pPr>
            <w:r w:rsidRPr="00997A49">
              <w:rPr>
                <w:rFonts w:ascii="Times New Roman" w:hAnsi="Times New Roman"/>
                <w:sz w:val="16"/>
                <w:szCs w:val="16"/>
                <w:u w:val="none"/>
              </w:rPr>
              <w:t>Performance Measure</w:t>
            </w:r>
          </w:p>
        </w:tc>
        <w:tc>
          <w:tcPr>
            <w:tcW w:w="3141" w:type="dxa"/>
            <w:vAlign w:val="center"/>
          </w:tcPr>
          <w:p w:rsidR="00B578D6" w:rsidRPr="005375B8" w:rsidRDefault="00B578D6" w:rsidP="00B75B18">
            <w:pPr>
              <w:pStyle w:val="BodyText2"/>
              <w:contextualSpacing/>
              <w:rPr>
                <w:sz w:val="16"/>
                <w:szCs w:val="16"/>
              </w:rPr>
            </w:pPr>
            <w:r w:rsidRPr="005375B8">
              <w:rPr>
                <w:sz w:val="16"/>
                <w:szCs w:val="16"/>
              </w:rPr>
              <w:t xml:space="preserve">Number of Gang/Criminal Enterprises </w:t>
            </w:r>
            <w:proofErr w:type="spellStart"/>
            <w:r w:rsidRPr="005375B8">
              <w:rPr>
                <w:sz w:val="16"/>
                <w:szCs w:val="16"/>
              </w:rPr>
              <w:t>Dismantlements</w:t>
            </w:r>
            <w:proofErr w:type="spellEnd"/>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99</w:t>
            </w:r>
          </w:p>
        </w:tc>
        <w:tc>
          <w:tcPr>
            <w:tcW w:w="1675" w:type="dxa"/>
            <w:gridSpan w:val="3"/>
            <w:vAlign w:val="center"/>
          </w:tcPr>
          <w:p w:rsidR="00B578D6" w:rsidRPr="000A5E5F" w:rsidRDefault="00B578D6" w:rsidP="00B75B18">
            <w:pPr>
              <w:contextualSpacing/>
              <w:jc w:val="right"/>
              <w:rPr>
                <w:sz w:val="16"/>
                <w:szCs w:val="16"/>
              </w:rPr>
            </w:pPr>
            <w:r w:rsidRPr="000A5E5F">
              <w:rPr>
                <w:sz w:val="16"/>
                <w:szCs w:val="16"/>
              </w:rPr>
              <w:t>165</w:t>
            </w:r>
          </w:p>
        </w:tc>
        <w:tc>
          <w:tcPr>
            <w:tcW w:w="1660" w:type="dxa"/>
            <w:gridSpan w:val="3"/>
            <w:vAlign w:val="center"/>
          </w:tcPr>
          <w:p w:rsidR="00B578D6" w:rsidRPr="000A5E5F" w:rsidRDefault="00B578D6" w:rsidP="00B75B18">
            <w:pPr>
              <w:contextualSpacing/>
              <w:jc w:val="right"/>
              <w:rPr>
                <w:sz w:val="16"/>
                <w:szCs w:val="16"/>
              </w:rPr>
            </w:pPr>
            <w:r w:rsidRPr="000A5E5F">
              <w:rPr>
                <w:sz w:val="16"/>
                <w:szCs w:val="16"/>
              </w:rPr>
              <w:t>99</w:t>
            </w:r>
          </w:p>
        </w:tc>
        <w:tc>
          <w:tcPr>
            <w:tcW w:w="1620" w:type="dxa"/>
            <w:gridSpan w:val="3"/>
            <w:vAlign w:val="center"/>
          </w:tcPr>
          <w:p w:rsidR="00B578D6" w:rsidRPr="000A5E5F" w:rsidRDefault="00B578D6" w:rsidP="00B75B18">
            <w:pPr>
              <w:pStyle w:val="BodyText2"/>
              <w:contextualSpacing/>
              <w:jc w:val="right"/>
              <w:rPr>
                <w:sz w:val="16"/>
                <w:szCs w:val="16"/>
              </w:rPr>
            </w:pPr>
            <w:r>
              <w:rPr>
                <w:sz w:val="16"/>
                <w:szCs w:val="16"/>
              </w:rPr>
              <w:t>0</w:t>
            </w:r>
          </w:p>
        </w:tc>
        <w:tc>
          <w:tcPr>
            <w:tcW w:w="1626" w:type="dxa"/>
            <w:gridSpan w:val="3"/>
            <w:vAlign w:val="center"/>
          </w:tcPr>
          <w:p w:rsidR="00B578D6" w:rsidRPr="000A5E5F" w:rsidRDefault="00B578D6" w:rsidP="00B75B18">
            <w:pPr>
              <w:contextualSpacing/>
              <w:jc w:val="right"/>
              <w:rPr>
                <w:sz w:val="16"/>
                <w:szCs w:val="16"/>
              </w:rPr>
            </w:pPr>
            <w:r>
              <w:rPr>
                <w:sz w:val="16"/>
                <w:szCs w:val="16"/>
              </w:rPr>
              <w:t>99</w:t>
            </w:r>
          </w:p>
        </w:tc>
      </w:tr>
      <w:tr w:rsidR="00B578D6" w:rsidRPr="005375B8" w:rsidTr="00997A49">
        <w:trPr>
          <w:trHeight w:val="278"/>
        </w:trPr>
        <w:tc>
          <w:tcPr>
            <w:tcW w:w="1821" w:type="dxa"/>
            <w:gridSpan w:val="2"/>
            <w:vAlign w:val="center"/>
          </w:tcPr>
          <w:p w:rsidR="00B578D6" w:rsidRPr="00997A49" w:rsidRDefault="00B578D6" w:rsidP="00997A49">
            <w:pPr>
              <w:pStyle w:val="Heading2"/>
              <w:contextualSpacing/>
              <w:jc w:val="left"/>
              <w:rPr>
                <w:rFonts w:ascii="Times New Roman" w:hAnsi="Times New Roman"/>
                <w:sz w:val="16"/>
                <w:szCs w:val="16"/>
                <w:u w:val="none"/>
              </w:rPr>
            </w:pPr>
            <w:r w:rsidRPr="00997A49">
              <w:rPr>
                <w:rFonts w:ascii="Times New Roman" w:hAnsi="Times New Roman"/>
                <w:sz w:val="16"/>
                <w:szCs w:val="16"/>
                <w:u w:val="none"/>
              </w:rPr>
              <w:t>Performance Measure</w:t>
            </w:r>
          </w:p>
        </w:tc>
        <w:tc>
          <w:tcPr>
            <w:tcW w:w="3141" w:type="dxa"/>
            <w:vAlign w:val="center"/>
          </w:tcPr>
          <w:p w:rsidR="00B578D6" w:rsidRPr="005375B8" w:rsidRDefault="00B578D6" w:rsidP="00B75B18">
            <w:pPr>
              <w:pStyle w:val="BodyText2"/>
              <w:contextualSpacing/>
              <w:rPr>
                <w:b/>
                <w:sz w:val="16"/>
                <w:szCs w:val="16"/>
              </w:rPr>
            </w:pPr>
            <w:r w:rsidRPr="005375B8">
              <w:rPr>
                <w:sz w:val="16"/>
                <w:szCs w:val="16"/>
              </w:rPr>
              <w:t xml:space="preserve">Number of Agents serving on Violent Crime Task Forces </w:t>
            </w:r>
            <w:r w:rsidRPr="005375B8">
              <w:rPr>
                <w:b/>
                <w:sz w:val="16"/>
                <w:szCs w:val="16"/>
              </w:rPr>
              <w:t>[New measure</w:t>
            </w:r>
            <w:r>
              <w:rPr>
                <w:b/>
                <w:sz w:val="16"/>
                <w:szCs w:val="16"/>
              </w:rPr>
              <w:t>]</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N/A</w:t>
            </w:r>
          </w:p>
        </w:tc>
        <w:tc>
          <w:tcPr>
            <w:tcW w:w="1675" w:type="dxa"/>
            <w:gridSpan w:val="3"/>
            <w:vAlign w:val="center"/>
          </w:tcPr>
          <w:p w:rsidR="00B578D6" w:rsidRPr="005375B8" w:rsidRDefault="00B578D6" w:rsidP="00B75B18">
            <w:pPr>
              <w:contextualSpacing/>
              <w:jc w:val="right"/>
              <w:rPr>
                <w:sz w:val="16"/>
                <w:szCs w:val="16"/>
              </w:rPr>
            </w:pPr>
            <w:r>
              <w:rPr>
                <w:sz w:val="16"/>
                <w:szCs w:val="16"/>
              </w:rPr>
              <w:t>1,050</w:t>
            </w:r>
          </w:p>
        </w:tc>
        <w:tc>
          <w:tcPr>
            <w:tcW w:w="1660" w:type="dxa"/>
            <w:gridSpan w:val="3"/>
            <w:vAlign w:val="center"/>
          </w:tcPr>
          <w:p w:rsidR="00B578D6" w:rsidRPr="005375B8" w:rsidRDefault="00B578D6" w:rsidP="00B75B18">
            <w:pPr>
              <w:contextualSpacing/>
              <w:jc w:val="right"/>
              <w:rPr>
                <w:sz w:val="16"/>
                <w:szCs w:val="16"/>
              </w:rPr>
            </w:pPr>
            <w:r w:rsidRPr="005375B8">
              <w:rPr>
                <w:sz w:val="16"/>
                <w:szCs w:val="16"/>
              </w:rPr>
              <w:t>1,012</w:t>
            </w:r>
          </w:p>
        </w:tc>
        <w:tc>
          <w:tcPr>
            <w:tcW w:w="1620" w:type="dxa"/>
            <w:gridSpan w:val="3"/>
            <w:vAlign w:val="center"/>
          </w:tcPr>
          <w:p w:rsidR="00B578D6" w:rsidRPr="005663C4" w:rsidRDefault="00B578D6" w:rsidP="00B75B18">
            <w:pPr>
              <w:pStyle w:val="BodyText2"/>
              <w:contextualSpacing/>
              <w:jc w:val="right"/>
              <w:rPr>
                <w:sz w:val="16"/>
                <w:szCs w:val="16"/>
              </w:rPr>
            </w:pPr>
            <w:r w:rsidRPr="005663C4">
              <w:rPr>
                <w:sz w:val="16"/>
                <w:szCs w:val="16"/>
              </w:rPr>
              <w:t>30</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1,042</w:t>
            </w:r>
          </w:p>
        </w:tc>
      </w:tr>
      <w:tr w:rsidR="00B578D6" w:rsidRPr="005375B8" w:rsidTr="00997A49">
        <w:trPr>
          <w:trHeight w:val="278"/>
        </w:trPr>
        <w:tc>
          <w:tcPr>
            <w:tcW w:w="1821" w:type="dxa"/>
            <w:gridSpan w:val="2"/>
            <w:vAlign w:val="center"/>
          </w:tcPr>
          <w:p w:rsidR="00B578D6" w:rsidRPr="00997A49" w:rsidRDefault="00B578D6" w:rsidP="00997A49">
            <w:pPr>
              <w:pStyle w:val="Heading2"/>
              <w:contextualSpacing/>
              <w:jc w:val="left"/>
              <w:rPr>
                <w:rFonts w:ascii="Times New Roman" w:hAnsi="Times New Roman"/>
                <w:sz w:val="16"/>
                <w:szCs w:val="16"/>
                <w:u w:val="none"/>
              </w:rPr>
            </w:pPr>
            <w:r w:rsidRPr="00997A49">
              <w:rPr>
                <w:rFonts w:ascii="Times New Roman" w:hAnsi="Times New Roman"/>
                <w:sz w:val="16"/>
                <w:szCs w:val="16"/>
                <w:u w:val="none"/>
              </w:rPr>
              <w:t>Performance Measure</w:t>
            </w:r>
          </w:p>
        </w:tc>
        <w:tc>
          <w:tcPr>
            <w:tcW w:w="3141" w:type="dxa"/>
            <w:vAlign w:val="center"/>
          </w:tcPr>
          <w:p w:rsidR="00B578D6" w:rsidRPr="005375B8" w:rsidRDefault="00B578D6" w:rsidP="00B75B18">
            <w:pPr>
              <w:pStyle w:val="BodyText2"/>
              <w:contextualSpacing/>
              <w:rPr>
                <w:b/>
                <w:sz w:val="16"/>
                <w:szCs w:val="16"/>
              </w:rPr>
            </w:pPr>
            <w:r w:rsidRPr="005375B8">
              <w:rPr>
                <w:sz w:val="16"/>
                <w:szCs w:val="16"/>
              </w:rPr>
              <w:t>Average length of sentence</w:t>
            </w:r>
            <w:r>
              <w:rPr>
                <w:sz w:val="16"/>
                <w:szCs w:val="16"/>
              </w:rPr>
              <w:t xml:space="preserve"> in months</w:t>
            </w:r>
            <w:r w:rsidRPr="005375B8">
              <w:rPr>
                <w:sz w:val="16"/>
                <w:szCs w:val="16"/>
              </w:rPr>
              <w:t xml:space="preserve">: Violent Crime </w:t>
            </w:r>
            <w:r w:rsidRPr="005375B8">
              <w:rPr>
                <w:b/>
                <w:sz w:val="16"/>
                <w:szCs w:val="16"/>
              </w:rPr>
              <w:t>[New measure</w:t>
            </w:r>
            <w:r>
              <w:rPr>
                <w:b/>
                <w:sz w:val="16"/>
                <w:szCs w:val="16"/>
              </w:rPr>
              <w:t>]</w:t>
            </w:r>
          </w:p>
        </w:tc>
        <w:tc>
          <w:tcPr>
            <w:tcW w:w="1819" w:type="dxa"/>
            <w:gridSpan w:val="3"/>
            <w:vAlign w:val="center"/>
          </w:tcPr>
          <w:p w:rsidR="00B578D6" w:rsidRPr="005375B8" w:rsidRDefault="00B578D6" w:rsidP="00B75B18">
            <w:pPr>
              <w:contextualSpacing/>
              <w:jc w:val="right"/>
              <w:rPr>
                <w:sz w:val="16"/>
                <w:szCs w:val="16"/>
              </w:rPr>
            </w:pPr>
            <w:r w:rsidRPr="005375B8">
              <w:rPr>
                <w:sz w:val="16"/>
                <w:szCs w:val="16"/>
              </w:rPr>
              <w:t>N/A</w:t>
            </w:r>
          </w:p>
        </w:tc>
        <w:tc>
          <w:tcPr>
            <w:tcW w:w="1675" w:type="dxa"/>
            <w:gridSpan w:val="3"/>
            <w:vAlign w:val="center"/>
          </w:tcPr>
          <w:p w:rsidR="00B578D6" w:rsidRPr="005375B8" w:rsidRDefault="00B578D6" w:rsidP="00B75B18">
            <w:pPr>
              <w:contextualSpacing/>
              <w:jc w:val="right"/>
              <w:rPr>
                <w:sz w:val="16"/>
                <w:szCs w:val="16"/>
              </w:rPr>
            </w:pPr>
            <w:r>
              <w:rPr>
                <w:sz w:val="16"/>
                <w:szCs w:val="16"/>
              </w:rPr>
              <w:t>72</w:t>
            </w:r>
          </w:p>
        </w:tc>
        <w:tc>
          <w:tcPr>
            <w:tcW w:w="1660" w:type="dxa"/>
            <w:gridSpan w:val="3"/>
            <w:vAlign w:val="center"/>
          </w:tcPr>
          <w:p w:rsidR="00B578D6" w:rsidRPr="005375B8" w:rsidRDefault="00B578D6" w:rsidP="00B75B18">
            <w:pPr>
              <w:contextualSpacing/>
              <w:jc w:val="right"/>
              <w:rPr>
                <w:sz w:val="16"/>
                <w:szCs w:val="16"/>
              </w:rPr>
            </w:pPr>
            <w:r>
              <w:rPr>
                <w:sz w:val="16"/>
                <w:szCs w:val="16"/>
              </w:rPr>
              <w:t>100</w:t>
            </w:r>
          </w:p>
        </w:tc>
        <w:tc>
          <w:tcPr>
            <w:tcW w:w="1620" w:type="dxa"/>
            <w:gridSpan w:val="3"/>
            <w:vAlign w:val="center"/>
          </w:tcPr>
          <w:p w:rsidR="00B578D6" w:rsidRPr="005663C4" w:rsidRDefault="00B578D6" w:rsidP="00B75B18">
            <w:pPr>
              <w:pStyle w:val="BodyText2"/>
              <w:contextualSpacing/>
              <w:jc w:val="right"/>
              <w:rPr>
                <w:sz w:val="16"/>
                <w:szCs w:val="16"/>
              </w:rPr>
            </w:pPr>
            <w:r w:rsidRPr="005663C4">
              <w:rPr>
                <w:sz w:val="16"/>
                <w:szCs w:val="16"/>
              </w:rPr>
              <w:t>-</w:t>
            </w:r>
          </w:p>
        </w:tc>
        <w:tc>
          <w:tcPr>
            <w:tcW w:w="1626" w:type="dxa"/>
            <w:gridSpan w:val="3"/>
            <w:vAlign w:val="center"/>
          </w:tcPr>
          <w:p w:rsidR="00B578D6" w:rsidRPr="005663C4" w:rsidRDefault="00B578D6" w:rsidP="00B75B18">
            <w:pPr>
              <w:contextualSpacing/>
              <w:jc w:val="right"/>
              <w:rPr>
                <w:sz w:val="16"/>
                <w:szCs w:val="16"/>
              </w:rPr>
            </w:pPr>
            <w:r w:rsidRPr="005663C4">
              <w:rPr>
                <w:sz w:val="16"/>
                <w:szCs w:val="16"/>
              </w:rPr>
              <w:t>100</w:t>
            </w:r>
          </w:p>
        </w:tc>
      </w:tr>
      <w:tr w:rsidR="00B578D6" w:rsidRPr="005375B8" w:rsidTr="00B75B18">
        <w:trPr>
          <w:trHeight w:val="395"/>
        </w:trPr>
        <w:tc>
          <w:tcPr>
            <w:tcW w:w="13362" w:type="dxa"/>
            <w:gridSpan w:val="18"/>
          </w:tcPr>
          <w:p w:rsidR="00B578D6" w:rsidRPr="005375B8" w:rsidRDefault="00B578D6" w:rsidP="00B75B18">
            <w:pPr>
              <w:contextualSpacing/>
              <w:rPr>
                <w:b/>
                <w:bCs/>
                <w:sz w:val="16"/>
                <w:szCs w:val="16"/>
              </w:rPr>
            </w:pPr>
            <w:r w:rsidRPr="005375B8">
              <w:rPr>
                <w:b/>
                <w:bCs/>
                <w:sz w:val="16"/>
                <w:szCs w:val="16"/>
              </w:rPr>
              <w:t xml:space="preserve">Data Definition, Validation, Verification, and Limitations: </w:t>
            </w:r>
          </w:p>
          <w:p w:rsidR="00B578D6" w:rsidRPr="005375B8" w:rsidRDefault="00B578D6" w:rsidP="00B75B18">
            <w:pPr>
              <w:numPr>
                <w:ilvl w:val="0"/>
                <w:numId w:val="46"/>
              </w:numPr>
              <w:tabs>
                <w:tab w:val="clear" w:pos="720"/>
              </w:tabs>
              <w:ind w:left="180" w:hanging="180"/>
              <w:contextualSpacing/>
              <w:rPr>
                <w:sz w:val="16"/>
                <w:szCs w:val="16"/>
              </w:rPr>
            </w:pPr>
            <w:r w:rsidRPr="005375B8">
              <w:rPr>
                <w:sz w:val="16"/>
                <w:szCs w:val="16"/>
              </w:rPr>
              <w:t>Disruption means impeding the normal and effective operation of the targeted organization, as indicated by changes in organizational leadership and/or changes in methods of operation, including, for example, financing, trafficking patterns, communications or drug production.  Dismantlement means destroying the organization’s leadership, financial base, and supply network such that the organization is incapable of operating and/or reconstituting itself.</w:t>
            </w:r>
          </w:p>
          <w:p w:rsidR="00B578D6" w:rsidRPr="005375B8" w:rsidRDefault="00B578D6" w:rsidP="00B75B18">
            <w:pPr>
              <w:numPr>
                <w:ilvl w:val="0"/>
                <w:numId w:val="46"/>
              </w:numPr>
              <w:tabs>
                <w:tab w:val="clear" w:pos="720"/>
              </w:tabs>
              <w:ind w:left="180" w:hanging="180"/>
              <w:contextualSpacing/>
              <w:rPr>
                <w:sz w:val="16"/>
                <w:szCs w:val="16"/>
              </w:rPr>
            </w:pPr>
            <w:r w:rsidRPr="005375B8">
              <w:rPr>
                <w:sz w:val="16"/>
                <w:szCs w:val="16"/>
              </w:rPr>
              <w:t>The Executive Office of OCDETF may sometimes edit CPOT disruptions/</w:t>
            </w:r>
            <w:proofErr w:type="spellStart"/>
            <w:r w:rsidRPr="005375B8">
              <w:rPr>
                <w:sz w:val="16"/>
                <w:szCs w:val="16"/>
              </w:rPr>
              <w:t>dismantlements</w:t>
            </w:r>
            <w:proofErr w:type="spellEnd"/>
            <w:r w:rsidRPr="005375B8">
              <w:rPr>
                <w:sz w:val="16"/>
                <w:szCs w:val="16"/>
              </w:rPr>
              <w:t xml:space="preserve"> data after </w:t>
            </w:r>
            <w:r>
              <w:rPr>
                <w:sz w:val="16"/>
                <w:szCs w:val="16"/>
              </w:rPr>
              <w:t>the end of the reporting period. Such changes are reflected in later reports.</w:t>
            </w:r>
          </w:p>
          <w:p w:rsidR="00B578D6" w:rsidRPr="005375B8" w:rsidRDefault="00B578D6" w:rsidP="00B75B18">
            <w:pPr>
              <w:numPr>
                <w:ilvl w:val="0"/>
                <w:numId w:val="46"/>
              </w:numPr>
              <w:tabs>
                <w:tab w:val="clear" w:pos="720"/>
              </w:tabs>
              <w:ind w:left="180" w:hanging="180"/>
              <w:contextualSpacing/>
              <w:rPr>
                <w:sz w:val="16"/>
                <w:szCs w:val="16"/>
              </w:rPr>
            </w:pPr>
            <w:r w:rsidRPr="005375B8">
              <w:rPr>
                <w:sz w:val="16"/>
                <w:szCs w:val="16"/>
              </w:rPr>
              <w:t>Accomplishment and caseload data are obtained from the FBI’s Resource Management Information System (RMIS), which houses the  Integrated Statistical Reporting and Analysis Application (ISRAA) and Monthly Administrative Report (MAR) applications that report these data.  Data are verified by an FBI field manager before being entered into that system and are subsequently verified through the FBI’s Inspection process. Other non-standardized data are maintained in files by t</w:t>
            </w:r>
            <w:r>
              <w:rPr>
                <w:sz w:val="16"/>
                <w:szCs w:val="16"/>
              </w:rPr>
              <w:t xml:space="preserve">heir respective FBIHQ programs. </w:t>
            </w:r>
            <w:r w:rsidRPr="005375B8">
              <w:rPr>
                <w:sz w:val="16"/>
                <w:szCs w:val="16"/>
              </w:rPr>
              <w:t xml:space="preserve">FBI field personnel are required to enter accomplishment data within 30 days of the accomplishment or a change in the status of an accomplishment, such as those resulting from appeals.  </w:t>
            </w:r>
          </w:p>
          <w:p w:rsidR="00B578D6" w:rsidRPr="005375B8" w:rsidRDefault="00B578D6" w:rsidP="00B75B18">
            <w:pPr>
              <w:numPr>
                <w:ilvl w:val="0"/>
                <w:numId w:val="46"/>
              </w:numPr>
              <w:tabs>
                <w:tab w:val="clear" w:pos="720"/>
              </w:tabs>
              <w:ind w:left="180" w:hanging="180"/>
              <w:contextualSpacing/>
              <w:rPr>
                <w:sz w:val="16"/>
                <w:szCs w:val="16"/>
              </w:rPr>
            </w:pPr>
            <w:r w:rsidRPr="005375B8">
              <w:rPr>
                <w:sz w:val="16"/>
                <w:szCs w:val="16"/>
              </w:rPr>
              <w:t>The data source for IINI program data is a database maintained by FBI personnel detailed to the National Center for Missing and Exploited Children, as well as statistics derived by the FBI’s Cyber Division’s program personnel.  Limitations on these data are explained in the Discussion of the measure.</w:t>
            </w:r>
          </w:p>
          <w:p w:rsidR="00B578D6" w:rsidRPr="005375B8" w:rsidRDefault="00B578D6" w:rsidP="00B75B18">
            <w:pPr>
              <w:numPr>
                <w:ilvl w:val="0"/>
                <w:numId w:val="46"/>
              </w:numPr>
              <w:tabs>
                <w:tab w:val="clear" w:pos="720"/>
              </w:tabs>
              <w:ind w:left="180" w:hanging="180"/>
              <w:contextualSpacing/>
              <w:rPr>
                <w:sz w:val="16"/>
                <w:szCs w:val="16"/>
              </w:rPr>
            </w:pPr>
            <w:r w:rsidRPr="005375B8">
              <w:rPr>
                <w:sz w:val="16"/>
                <w:szCs w:val="16"/>
              </w:rPr>
              <w:t xml:space="preserve">Internet Fraud data come from a record system maintained by the IC3.  The list of targets is updated each year.  Targets are determined by subject matter expert teams at the IC3 and approved by the Unit Chief.  IC3 staff maintains the list and determine when a target has been the subject of a take-down. There is some possibility of underreporting of accomplishments resulting from referrals to state, local, and other federal law enforcement organizations.  This underreporting is possible where investigations resulting from IC3 referrals do not involve the FBI.  </w:t>
            </w:r>
          </w:p>
          <w:p w:rsidR="00B578D6" w:rsidRPr="005375B8" w:rsidRDefault="00B578D6" w:rsidP="00B75B18">
            <w:pPr>
              <w:contextualSpacing/>
              <w:rPr>
                <w:sz w:val="16"/>
                <w:szCs w:val="16"/>
              </w:rPr>
            </w:pPr>
            <w:r w:rsidRPr="005375B8">
              <w:rPr>
                <w:sz w:val="16"/>
                <w:szCs w:val="16"/>
              </w:rPr>
              <w:t>†   FBI does not project targets for case workload data.</w:t>
            </w:r>
          </w:p>
          <w:p w:rsidR="00B578D6" w:rsidRPr="005375B8" w:rsidRDefault="00B578D6" w:rsidP="00997A49">
            <w:pPr>
              <w:contextualSpacing/>
              <w:rPr>
                <w:sz w:val="16"/>
                <w:szCs w:val="16"/>
              </w:rPr>
            </w:pPr>
            <w:r w:rsidRPr="005375B8">
              <w:rPr>
                <w:sz w:val="16"/>
                <w:szCs w:val="16"/>
              </w:rPr>
              <w:t>†† FBI does not set targets for investigative output data.</w:t>
            </w:r>
          </w:p>
        </w:tc>
      </w:tr>
    </w:tbl>
    <w:p w:rsidR="00B75B18" w:rsidRDefault="00B75B18">
      <w:r>
        <w:br w:type="page"/>
      </w:r>
    </w:p>
    <w:tbl>
      <w:tblPr>
        <w:tblW w:w="14807"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2848"/>
        <w:gridCol w:w="885"/>
        <w:gridCol w:w="885"/>
        <w:gridCol w:w="977"/>
        <w:gridCol w:w="898"/>
        <w:gridCol w:w="1067"/>
        <w:gridCol w:w="900"/>
        <w:gridCol w:w="1016"/>
        <w:gridCol w:w="891"/>
        <w:gridCol w:w="1076"/>
        <w:gridCol w:w="803"/>
        <w:gridCol w:w="833"/>
      </w:tblGrid>
      <w:tr w:rsidR="00B578D6" w:rsidRPr="005375B8" w:rsidTr="00997A49">
        <w:trPr>
          <w:trHeight w:val="458"/>
        </w:trPr>
        <w:tc>
          <w:tcPr>
            <w:tcW w:w="4576" w:type="dxa"/>
            <w:gridSpan w:val="2"/>
            <w:vMerge w:val="restart"/>
          </w:tcPr>
          <w:p w:rsidR="00B578D6" w:rsidRPr="005375B8" w:rsidRDefault="00B578D6" w:rsidP="007471A8">
            <w:pPr>
              <w:contextualSpacing/>
              <w:jc w:val="center"/>
              <w:rPr>
                <w:b/>
                <w:bCs/>
                <w:sz w:val="16"/>
                <w:szCs w:val="16"/>
              </w:rPr>
            </w:pPr>
            <w:r w:rsidRPr="005375B8">
              <w:lastRenderedPageBreak/>
              <w:br w:type="page"/>
            </w:r>
          </w:p>
        </w:tc>
        <w:tc>
          <w:tcPr>
            <w:tcW w:w="885"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2003</w:t>
            </w:r>
          </w:p>
        </w:tc>
        <w:tc>
          <w:tcPr>
            <w:tcW w:w="885" w:type="dxa"/>
            <w:shd w:val="clear" w:color="auto" w:fill="FFAC99"/>
            <w:noWrap/>
            <w:vAlign w:val="center"/>
          </w:tcPr>
          <w:p w:rsidR="00B578D6" w:rsidRPr="005375B8" w:rsidRDefault="00B578D6" w:rsidP="00B2684D">
            <w:pPr>
              <w:contextualSpacing/>
              <w:jc w:val="center"/>
              <w:rPr>
                <w:b/>
                <w:bCs/>
                <w:sz w:val="16"/>
                <w:szCs w:val="16"/>
              </w:rPr>
            </w:pPr>
            <w:r w:rsidRPr="005375B8">
              <w:rPr>
                <w:b/>
                <w:bCs/>
                <w:sz w:val="16"/>
                <w:szCs w:val="16"/>
              </w:rPr>
              <w:t>FY 2004</w:t>
            </w:r>
          </w:p>
        </w:tc>
        <w:tc>
          <w:tcPr>
            <w:tcW w:w="977"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2005</w:t>
            </w:r>
          </w:p>
        </w:tc>
        <w:tc>
          <w:tcPr>
            <w:tcW w:w="898" w:type="dxa"/>
            <w:shd w:val="clear" w:color="auto" w:fill="FFAC99"/>
            <w:noWrap/>
            <w:vAlign w:val="center"/>
          </w:tcPr>
          <w:p w:rsidR="00B578D6" w:rsidRPr="005375B8" w:rsidRDefault="00B578D6" w:rsidP="00B2684D">
            <w:pPr>
              <w:contextualSpacing/>
              <w:jc w:val="center"/>
              <w:rPr>
                <w:b/>
                <w:bCs/>
                <w:sz w:val="16"/>
                <w:szCs w:val="16"/>
              </w:rPr>
            </w:pPr>
            <w:r w:rsidRPr="005375B8">
              <w:rPr>
                <w:b/>
                <w:bCs/>
                <w:sz w:val="16"/>
                <w:szCs w:val="16"/>
              </w:rPr>
              <w:t>FY 2006</w:t>
            </w:r>
          </w:p>
        </w:tc>
        <w:tc>
          <w:tcPr>
            <w:tcW w:w="1067"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2007</w:t>
            </w:r>
          </w:p>
        </w:tc>
        <w:tc>
          <w:tcPr>
            <w:tcW w:w="900"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2008</w:t>
            </w:r>
          </w:p>
        </w:tc>
        <w:tc>
          <w:tcPr>
            <w:tcW w:w="1016"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2009</w:t>
            </w:r>
          </w:p>
        </w:tc>
        <w:tc>
          <w:tcPr>
            <w:tcW w:w="891"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2010</w:t>
            </w:r>
          </w:p>
        </w:tc>
        <w:tc>
          <w:tcPr>
            <w:tcW w:w="1076"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2011</w:t>
            </w:r>
          </w:p>
        </w:tc>
        <w:tc>
          <w:tcPr>
            <w:tcW w:w="803"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2012</w:t>
            </w:r>
          </w:p>
        </w:tc>
        <w:tc>
          <w:tcPr>
            <w:tcW w:w="833" w:type="dxa"/>
            <w:shd w:val="clear" w:color="auto" w:fill="FFAC99"/>
            <w:vAlign w:val="center"/>
          </w:tcPr>
          <w:p w:rsidR="00B578D6" w:rsidRPr="005375B8" w:rsidRDefault="00B578D6" w:rsidP="00B2684D">
            <w:pPr>
              <w:contextualSpacing/>
              <w:jc w:val="center"/>
              <w:rPr>
                <w:b/>
                <w:bCs/>
                <w:sz w:val="16"/>
                <w:szCs w:val="16"/>
              </w:rPr>
            </w:pPr>
            <w:r w:rsidRPr="005375B8">
              <w:rPr>
                <w:b/>
                <w:bCs/>
                <w:sz w:val="16"/>
                <w:szCs w:val="16"/>
              </w:rPr>
              <w:t>FY 2013</w:t>
            </w:r>
          </w:p>
        </w:tc>
      </w:tr>
      <w:tr w:rsidR="00B578D6" w:rsidRPr="005375B8" w:rsidTr="00997A49">
        <w:trPr>
          <w:trHeight w:val="450"/>
        </w:trPr>
        <w:tc>
          <w:tcPr>
            <w:tcW w:w="4576" w:type="dxa"/>
            <w:gridSpan w:val="2"/>
            <w:vMerge/>
          </w:tcPr>
          <w:p w:rsidR="00B578D6" w:rsidRPr="005375B8" w:rsidRDefault="00B578D6" w:rsidP="007471A8">
            <w:pPr>
              <w:contextualSpacing/>
              <w:rPr>
                <w:b/>
                <w:bCs/>
                <w:sz w:val="16"/>
                <w:szCs w:val="16"/>
              </w:rPr>
            </w:pPr>
          </w:p>
        </w:tc>
        <w:tc>
          <w:tcPr>
            <w:tcW w:w="885" w:type="dxa"/>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885" w:type="dxa"/>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977" w:type="dxa"/>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898" w:type="dxa"/>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1067" w:type="dxa"/>
            <w:noWrap/>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900" w:type="dxa"/>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1016" w:type="dxa"/>
            <w:noWrap/>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891" w:type="dxa"/>
            <w:vAlign w:val="center"/>
          </w:tcPr>
          <w:p w:rsidR="00B578D6" w:rsidRPr="005375B8" w:rsidRDefault="00B578D6" w:rsidP="00B2684D">
            <w:pPr>
              <w:contextualSpacing/>
              <w:jc w:val="center"/>
              <w:rPr>
                <w:b/>
                <w:bCs/>
                <w:sz w:val="16"/>
                <w:szCs w:val="16"/>
              </w:rPr>
            </w:pPr>
            <w:r w:rsidRPr="005375B8">
              <w:rPr>
                <w:b/>
                <w:bCs/>
                <w:sz w:val="16"/>
                <w:szCs w:val="16"/>
              </w:rPr>
              <w:t>Actual</w:t>
            </w:r>
          </w:p>
        </w:tc>
        <w:tc>
          <w:tcPr>
            <w:tcW w:w="1076" w:type="dxa"/>
            <w:vAlign w:val="center"/>
          </w:tcPr>
          <w:p w:rsidR="00B578D6" w:rsidRPr="005375B8" w:rsidRDefault="00B578D6" w:rsidP="00B2684D">
            <w:pPr>
              <w:contextualSpacing/>
              <w:jc w:val="center"/>
              <w:rPr>
                <w:b/>
                <w:bCs/>
                <w:sz w:val="16"/>
                <w:szCs w:val="16"/>
              </w:rPr>
            </w:pPr>
            <w:r>
              <w:rPr>
                <w:b/>
                <w:bCs/>
                <w:sz w:val="16"/>
                <w:szCs w:val="16"/>
              </w:rPr>
              <w:t>Actual</w:t>
            </w:r>
          </w:p>
        </w:tc>
        <w:tc>
          <w:tcPr>
            <w:tcW w:w="803" w:type="dxa"/>
            <w:vAlign w:val="center"/>
          </w:tcPr>
          <w:p w:rsidR="00B578D6" w:rsidRPr="005375B8" w:rsidRDefault="00B578D6" w:rsidP="00B2684D">
            <w:pPr>
              <w:contextualSpacing/>
              <w:jc w:val="center"/>
              <w:rPr>
                <w:b/>
                <w:bCs/>
                <w:sz w:val="16"/>
                <w:szCs w:val="16"/>
              </w:rPr>
            </w:pPr>
            <w:r>
              <w:rPr>
                <w:b/>
                <w:bCs/>
                <w:sz w:val="16"/>
                <w:szCs w:val="16"/>
              </w:rPr>
              <w:t>Target</w:t>
            </w:r>
          </w:p>
        </w:tc>
        <w:tc>
          <w:tcPr>
            <w:tcW w:w="833" w:type="dxa"/>
            <w:vAlign w:val="center"/>
          </w:tcPr>
          <w:p w:rsidR="00B578D6" w:rsidRPr="005375B8" w:rsidRDefault="00B578D6" w:rsidP="00B2684D">
            <w:pPr>
              <w:contextualSpacing/>
              <w:jc w:val="center"/>
              <w:rPr>
                <w:b/>
                <w:bCs/>
                <w:sz w:val="16"/>
                <w:szCs w:val="16"/>
              </w:rPr>
            </w:pPr>
            <w:r w:rsidRPr="005375B8">
              <w:rPr>
                <w:b/>
                <w:bCs/>
                <w:sz w:val="16"/>
                <w:szCs w:val="16"/>
              </w:rPr>
              <w:t>Target</w:t>
            </w:r>
          </w:p>
        </w:tc>
      </w:tr>
      <w:tr w:rsidR="00B578D6" w:rsidRPr="005375B8" w:rsidTr="00997A49">
        <w:trPr>
          <w:trHeight w:val="585"/>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contextualSpacing/>
              <w:rPr>
                <w:sz w:val="16"/>
                <w:szCs w:val="16"/>
              </w:rPr>
            </w:pPr>
            <w:r w:rsidRPr="005375B8">
              <w:rPr>
                <w:sz w:val="16"/>
                <w:szCs w:val="16"/>
              </w:rPr>
              <w:t xml:space="preserve"> Rest</w:t>
            </w:r>
            <w:r>
              <w:rPr>
                <w:sz w:val="16"/>
                <w:szCs w:val="16"/>
              </w:rPr>
              <w:t>itutions/Recoveries/Fines ($000)</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Intellectual Property Fraud</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Public Corruption</w:t>
            </w:r>
          </w:p>
          <w:p w:rsidR="00B578D6" w:rsidRPr="005375B8" w:rsidRDefault="00B578D6" w:rsidP="00997A49">
            <w:pPr>
              <w:pStyle w:val="BodyText2"/>
              <w:numPr>
                <w:ilvl w:val="0"/>
                <w:numId w:val="52"/>
              </w:numPr>
              <w:tabs>
                <w:tab w:val="clear" w:pos="360"/>
                <w:tab w:val="left" w:pos="99"/>
              </w:tabs>
              <w:contextualSpacing/>
              <w:rPr>
                <w:b/>
                <w:bCs/>
                <w:sz w:val="16"/>
                <w:szCs w:val="16"/>
              </w:rPr>
            </w:pPr>
            <w:r w:rsidRPr="005375B8">
              <w:rPr>
                <w:sz w:val="16"/>
                <w:szCs w:val="16"/>
              </w:rPr>
              <w:t>White-Collar Crimes (all other)</w:t>
            </w:r>
          </w:p>
        </w:tc>
        <w:tc>
          <w:tcPr>
            <w:tcW w:w="885"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205,120       1,631,692</w:t>
            </w:r>
          </w:p>
          <w:p w:rsidR="00B578D6" w:rsidRPr="005375B8" w:rsidRDefault="00B578D6" w:rsidP="00997A49">
            <w:pPr>
              <w:contextualSpacing/>
              <w:jc w:val="right"/>
              <w:rPr>
                <w:sz w:val="16"/>
                <w:szCs w:val="16"/>
              </w:rPr>
            </w:pPr>
            <w:r w:rsidRPr="005375B8">
              <w:rPr>
                <w:sz w:val="16"/>
                <w:szCs w:val="16"/>
              </w:rPr>
              <w:t>8,433,421</w:t>
            </w:r>
          </w:p>
        </w:tc>
        <w:tc>
          <w:tcPr>
            <w:tcW w:w="885" w:type="dxa"/>
            <w:noWrap/>
            <w:vAlign w:val="center"/>
          </w:tcPr>
          <w:p w:rsidR="00997A49" w:rsidRDefault="00B578D6" w:rsidP="00997A49">
            <w:pPr>
              <w:contextualSpacing/>
              <w:jc w:val="right"/>
              <w:rPr>
                <w:sz w:val="16"/>
                <w:szCs w:val="16"/>
              </w:rPr>
            </w:pPr>
            <w:r w:rsidRPr="005375B8">
              <w:rPr>
                <w:sz w:val="16"/>
                <w:szCs w:val="16"/>
              </w:rPr>
              <w:t xml:space="preserve"> </w:t>
            </w:r>
          </w:p>
          <w:p w:rsidR="00B578D6" w:rsidRPr="005375B8" w:rsidRDefault="00B578D6" w:rsidP="00997A49">
            <w:pPr>
              <w:contextualSpacing/>
              <w:jc w:val="right"/>
              <w:rPr>
                <w:sz w:val="16"/>
                <w:szCs w:val="16"/>
              </w:rPr>
            </w:pPr>
            <w:r w:rsidRPr="005375B8">
              <w:rPr>
                <w:sz w:val="16"/>
                <w:szCs w:val="16"/>
              </w:rPr>
              <w:t>115,967      101,647</w:t>
            </w:r>
          </w:p>
          <w:p w:rsidR="00B578D6" w:rsidRPr="005375B8" w:rsidRDefault="00B578D6" w:rsidP="00997A49">
            <w:pPr>
              <w:contextualSpacing/>
              <w:jc w:val="right"/>
              <w:rPr>
                <w:sz w:val="16"/>
                <w:szCs w:val="16"/>
              </w:rPr>
            </w:pPr>
            <w:r w:rsidRPr="005375B8">
              <w:rPr>
                <w:sz w:val="16"/>
                <w:szCs w:val="16"/>
              </w:rPr>
              <w:t>7,881,151</w:t>
            </w:r>
          </w:p>
        </w:tc>
        <w:tc>
          <w:tcPr>
            <w:tcW w:w="977"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432,316      1,116,266</w:t>
            </w:r>
          </w:p>
          <w:p w:rsidR="00B578D6" w:rsidRPr="005375B8" w:rsidRDefault="00B578D6" w:rsidP="00997A49">
            <w:pPr>
              <w:contextualSpacing/>
              <w:jc w:val="right"/>
              <w:rPr>
                <w:sz w:val="16"/>
                <w:szCs w:val="16"/>
              </w:rPr>
            </w:pPr>
            <w:r w:rsidRPr="005375B8">
              <w:rPr>
                <w:sz w:val="16"/>
                <w:szCs w:val="16"/>
              </w:rPr>
              <w:t>13,056,937</w:t>
            </w:r>
          </w:p>
        </w:tc>
        <w:tc>
          <w:tcPr>
            <w:tcW w:w="898"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 xml:space="preserve">111,877 </w:t>
            </w:r>
          </w:p>
          <w:p w:rsidR="00B578D6" w:rsidRPr="005375B8" w:rsidRDefault="00B578D6" w:rsidP="00997A49">
            <w:pPr>
              <w:contextualSpacing/>
              <w:jc w:val="right"/>
              <w:rPr>
                <w:sz w:val="16"/>
                <w:szCs w:val="16"/>
              </w:rPr>
            </w:pPr>
            <w:r w:rsidRPr="005375B8">
              <w:rPr>
                <w:sz w:val="16"/>
                <w:szCs w:val="16"/>
              </w:rPr>
              <w:t>321,815   7,799,218</w:t>
            </w:r>
          </w:p>
        </w:tc>
        <w:tc>
          <w:tcPr>
            <w:tcW w:w="1067"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238,832</w:t>
            </w:r>
          </w:p>
          <w:p w:rsidR="00B578D6" w:rsidRPr="005375B8" w:rsidRDefault="00B578D6" w:rsidP="00997A49">
            <w:pPr>
              <w:contextualSpacing/>
              <w:jc w:val="right"/>
              <w:rPr>
                <w:sz w:val="16"/>
                <w:szCs w:val="16"/>
              </w:rPr>
            </w:pPr>
            <w:r w:rsidRPr="005375B8">
              <w:rPr>
                <w:sz w:val="16"/>
                <w:szCs w:val="16"/>
              </w:rPr>
              <w:t>157,440</w:t>
            </w:r>
          </w:p>
          <w:p w:rsidR="00B578D6" w:rsidRPr="005375B8" w:rsidRDefault="00B578D6" w:rsidP="00997A49">
            <w:pPr>
              <w:contextualSpacing/>
              <w:jc w:val="right"/>
              <w:rPr>
                <w:sz w:val="16"/>
                <w:szCs w:val="16"/>
              </w:rPr>
            </w:pPr>
            <w:r w:rsidRPr="005375B8">
              <w:rPr>
                <w:sz w:val="16"/>
                <w:szCs w:val="16"/>
              </w:rPr>
              <w:t>19,516,406</w:t>
            </w:r>
          </w:p>
        </w:tc>
        <w:tc>
          <w:tcPr>
            <w:tcW w:w="900"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260,219</w:t>
            </w:r>
          </w:p>
          <w:p w:rsidR="00B578D6" w:rsidRPr="005375B8" w:rsidRDefault="00B578D6" w:rsidP="00997A49">
            <w:pPr>
              <w:contextualSpacing/>
              <w:jc w:val="right"/>
              <w:rPr>
                <w:sz w:val="16"/>
                <w:szCs w:val="16"/>
              </w:rPr>
            </w:pPr>
            <w:r w:rsidRPr="005375B8">
              <w:rPr>
                <w:sz w:val="16"/>
                <w:szCs w:val="16"/>
              </w:rPr>
              <w:t>676,889</w:t>
            </w:r>
          </w:p>
          <w:p w:rsidR="00B578D6" w:rsidRPr="005375B8" w:rsidRDefault="00B578D6" w:rsidP="00997A49">
            <w:pPr>
              <w:contextualSpacing/>
              <w:jc w:val="right"/>
              <w:rPr>
                <w:sz w:val="16"/>
                <w:szCs w:val="16"/>
              </w:rPr>
            </w:pPr>
            <w:r w:rsidRPr="005375B8">
              <w:rPr>
                <w:sz w:val="15"/>
                <w:szCs w:val="15"/>
              </w:rPr>
              <w:t>18,502,635</w:t>
            </w:r>
          </w:p>
        </w:tc>
        <w:tc>
          <w:tcPr>
            <w:tcW w:w="1016" w:type="dxa"/>
            <w:noWrap/>
            <w:vAlign w:val="center"/>
          </w:tcPr>
          <w:p w:rsidR="00B578D6" w:rsidRPr="005375B8" w:rsidRDefault="00B578D6"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5,389</w:t>
            </w:r>
          </w:p>
          <w:p w:rsidR="00B578D6" w:rsidRPr="005375B8" w:rsidRDefault="00B578D6" w:rsidP="00997A49">
            <w:pPr>
              <w:contextualSpacing/>
              <w:jc w:val="right"/>
              <w:rPr>
                <w:sz w:val="16"/>
                <w:szCs w:val="16"/>
              </w:rPr>
            </w:pPr>
            <w:r w:rsidRPr="005375B8">
              <w:rPr>
                <w:sz w:val="16"/>
                <w:szCs w:val="16"/>
              </w:rPr>
              <w:t>220,787</w:t>
            </w:r>
          </w:p>
          <w:p w:rsidR="00B578D6" w:rsidRPr="005375B8" w:rsidRDefault="00B578D6" w:rsidP="00997A49">
            <w:pPr>
              <w:contextualSpacing/>
              <w:jc w:val="right"/>
              <w:rPr>
                <w:sz w:val="16"/>
                <w:szCs w:val="16"/>
              </w:rPr>
            </w:pPr>
            <w:r w:rsidRPr="005375B8">
              <w:rPr>
                <w:sz w:val="16"/>
                <w:szCs w:val="16"/>
              </w:rPr>
              <w:t>15,956,528</w:t>
            </w:r>
          </w:p>
        </w:tc>
        <w:tc>
          <w:tcPr>
            <w:tcW w:w="891" w:type="dxa"/>
            <w:vAlign w:val="center"/>
          </w:tcPr>
          <w:p w:rsidR="00997A49" w:rsidRPr="00997A49" w:rsidRDefault="00997A49" w:rsidP="00997A49">
            <w:pPr>
              <w:contextualSpacing/>
              <w:jc w:val="right"/>
              <w:rPr>
                <w:sz w:val="16"/>
                <w:szCs w:val="16"/>
              </w:rPr>
            </w:pPr>
          </w:p>
          <w:p w:rsidR="00B578D6" w:rsidRPr="00997A49" w:rsidRDefault="00B578D6" w:rsidP="00997A49">
            <w:pPr>
              <w:contextualSpacing/>
              <w:jc w:val="right"/>
              <w:rPr>
                <w:sz w:val="16"/>
                <w:szCs w:val="16"/>
              </w:rPr>
            </w:pPr>
            <w:r w:rsidRPr="00997A49">
              <w:rPr>
                <w:sz w:val="16"/>
                <w:szCs w:val="16"/>
              </w:rPr>
              <w:t>17,100</w:t>
            </w:r>
          </w:p>
          <w:p w:rsidR="00B578D6" w:rsidRPr="00997A49" w:rsidRDefault="00B578D6" w:rsidP="00997A49">
            <w:pPr>
              <w:contextualSpacing/>
              <w:jc w:val="right"/>
              <w:rPr>
                <w:sz w:val="16"/>
                <w:szCs w:val="16"/>
              </w:rPr>
            </w:pPr>
            <w:r w:rsidRPr="00997A49">
              <w:rPr>
                <w:sz w:val="16"/>
                <w:szCs w:val="16"/>
              </w:rPr>
              <w:t>6,559,531</w:t>
            </w:r>
          </w:p>
          <w:p w:rsidR="00B578D6" w:rsidRPr="005375B8" w:rsidRDefault="00B578D6" w:rsidP="00997A49">
            <w:pPr>
              <w:contextualSpacing/>
              <w:jc w:val="right"/>
              <w:rPr>
                <w:sz w:val="15"/>
                <w:szCs w:val="15"/>
              </w:rPr>
            </w:pPr>
            <w:r w:rsidRPr="00997A49">
              <w:rPr>
                <w:sz w:val="16"/>
                <w:szCs w:val="16"/>
              </w:rPr>
              <w:t>8,383,458</w:t>
            </w:r>
          </w:p>
        </w:tc>
        <w:tc>
          <w:tcPr>
            <w:tcW w:w="1076" w:type="dxa"/>
            <w:vAlign w:val="center"/>
          </w:tcPr>
          <w:p w:rsidR="00997A49" w:rsidRDefault="00997A49" w:rsidP="00997A49">
            <w:pPr>
              <w:contextualSpacing/>
              <w:jc w:val="right"/>
              <w:rPr>
                <w:sz w:val="15"/>
                <w:szCs w:val="15"/>
              </w:rPr>
            </w:pPr>
          </w:p>
          <w:p w:rsidR="00B578D6" w:rsidRPr="00997A49" w:rsidRDefault="00B578D6" w:rsidP="00997A49">
            <w:pPr>
              <w:contextualSpacing/>
              <w:jc w:val="right"/>
              <w:rPr>
                <w:sz w:val="16"/>
                <w:szCs w:val="16"/>
              </w:rPr>
            </w:pPr>
            <w:r w:rsidRPr="00997A49">
              <w:rPr>
                <w:sz w:val="16"/>
                <w:szCs w:val="16"/>
              </w:rPr>
              <w:t>4,628</w:t>
            </w:r>
          </w:p>
          <w:p w:rsidR="00B578D6" w:rsidRPr="00997A49" w:rsidRDefault="00B578D6" w:rsidP="00997A49">
            <w:pPr>
              <w:contextualSpacing/>
              <w:jc w:val="right"/>
              <w:rPr>
                <w:sz w:val="16"/>
                <w:szCs w:val="16"/>
              </w:rPr>
            </w:pPr>
            <w:r w:rsidRPr="00997A49">
              <w:rPr>
                <w:sz w:val="16"/>
                <w:szCs w:val="16"/>
              </w:rPr>
              <w:t>1,178,976</w:t>
            </w:r>
          </w:p>
          <w:p w:rsidR="00B578D6" w:rsidRPr="008D1617" w:rsidRDefault="00B578D6" w:rsidP="00997A49">
            <w:pPr>
              <w:contextualSpacing/>
              <w:jc w:val="right"/>
              <w:rPr>
                <w:sz w:val="14"/>
                <w:szCs w:val="14"/>
              </w:rPr>
            </w:pPr>
            <w:r w:rsidRPr="00997A49">
              <w:rPr>
                <w:sz w:val="16"/>
                <w:szCs w:val="16"/>
              </w:rPr>
              <w:t>14,028,958</w:t>
            </w:r>
          </w:p>
        </w:tc>
        <w:tc>
          <w:tcPr>
            <w:tcW w:w="803"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sidRPr="005375B8">
              <w:rPr>
                <w:sz w:val="16"/>
                <w:szCs w:val="16"/>
              </w:rPr>
              <w:t>N/A</w:t>
            </w:r>
          </w:p>
        </w:tc>
        <w:tc>
          <w:tcPr>
            <w:tcW w:w="833" w:type="dxa"/>
            <w:vAlign w:val="center"/>
          </w:tcPr>
          <w:p w:rsidR="00B578D6" w:rsidRPr="005663C4" w:rsidRDefault="00B578D6" w:rsidP="00997A49">
            <w:pPr>
              <w:contextualSpacing/>
              <w:jc w:val="right"/>
              <w:rPr>
                <w:sz w:val="16"/>
                <w:szCs w:val="16"/>
              </w:rPr>
            </w:pPr>
          </w:p>
          <w:p w:rsidR="00B578D6" w:rsidRPr="005663C4" w:rsidRDefault="00B578D6" w:rsidP="00997A49">
            <w:pPr>
              <w:contextualSpacing/>
              <w:jc w:val="right"/>
              <w:rPr>
                <w:sz w:val="16"/>
                <w:szCs w:val="16"/>
              </w:rPr>
            </w:pPr>
            <w:r w:rsidRPr="005663C4">
              <w:rPr>
                <w:sz w:val="16"/>
                <w:szCs w:val="16"/>
              </w:rPr>
              <w:t>N/A</w:t>
            </w:r>
          </w:p>
          <w:p w:rsidR="00B578D6" w:rsidRPr="005663C4" w:rsidRDefault="00B578D6" w:rsidP="00997A49">
            <w:pPr>
              <w:contextualSpacing/>
              <w:jc w:val="right"/>
              <w:rPr>
                <w:sz w:val="16"/>
                <w:szCs w:val="16"/>
              </w:rPr>
            </w:pPr>
            <w:r w:rsidRPr="005663C4">
              <w:rPr>
                <w:sz w:val="16"/>
                <w:szCs w:val="16"/>
              </w:rPr>
              <w:t>N/A</w:t>
            </w:r>
          </w:p>
          <w:p w:rsidR="00B578D6" w:rsidRPr="005663C4" w:rsidRDefault="00B578D6" w:rsidP="00997A49">
            <w:pPr>
              <w:contextualSpacing/>
              <w:jc w:val="right"/>
              <w:rPr>
                <w:sz w:val="16"/>
                <w:szCs w:val="16"/>
              </w:rPr>
            </w:pPr>
            <w:r w:rsidRPr="005663C4">
              <w:rPr>
                <w:sz w:val="16"/>
                <w:szCs w:val="16"/>
              </w:rPr>
              <w:t>N/A</w:t>
            </w:r>
          </w:p>
        </w:tc>
      </w:tr>
      <w:tr w:rsidR="00B578D6" w:rsidRPr="005375B8" w:rsidTr="00997A49">
        <w:trPr>
          <w:trHeight w:val="600"/>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contextualSpacing/>
              <w:rPr>
                <w:sz w:val="16"/>
                <w:szCs w:val="16"/>
              </w:rPr>
            </w:pPr>
            <w:r w:rsidRPr="005375B8">
              <w:rPr>
                <w:sz w:val="16"/>
                <w:szCs w:val="16"/>
              </w:rPr>
              <w:t xml:space="preserve"> Convictions/Pre-Trial Diversions (total)</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 xml:space="preserve">Intellectual Property Fraud </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Public Corruption</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White-Collar Crimes (all other)</w:t>
            </w:r>
          </w:p>
        </w:tc>
        <w:tc>
          <w:tcPr>
            <w:tcW w:w="885"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110       579</w:t>
            </w:r>
          </w:p>
          <w:p w:rsidR="00B578D6" w:rsidRPr="005375B8" w:rsidRDefault="00B578D6" w:rsidP="00997A49">
            <w:pPr>
              <w:contextualSpacing/>
              <w:jc w:val="right"/>
              <w:rPr>
                <w:sz w:val="16"/>
                <w:szCs w:val="16"/>
              </w:rPr>
            </w:pPr>
            <w:r w:rsidRPr="005375B8">
              <w:rPr>
                <w:sz w:val="16"/>
                <w:szCs w:val="16"/>
              </w:rPr>
              <w:t>5,022</w:t>
            </w:r>
          </w:p>
        </w:tc>
        <w:tc>
          <w:tcPr>
            <w:tcW w:w="885"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116</w:t>
            </w:r>
          </w:p>
          <w:p w:rsidR="00B578D6" w:rsidRPr="005375B8" w:rsidRDefault="00B578D6" w:rsidP="00997A49">
            <w:pPr>
              <w:contextualSpacing/>
              <w:jc w:val="right"/>
              <w:rPr>
                <w:sz w:val="16"/>
                <w:szCs w:val="16"/>
              </w:rPr>
            </w:pPr>
            <w:r w:rsidRPr="005375B8">
              <w:rPr>
                <w:sz w:val="16"/>
                <w:szCs w:val="16"/>
              </w:rPr>
              <w:t>661</w:t>
            </w:r>
          </w:p>
          <w:p w:rsidR="00B578D6" w:rsidRPr="005375B8" w:rsidRDefault="00B578D6" w:rsidP="00997A49">
            <w:pPr>
              <w:contextualSpacing/>
              <w:jc w:val="right"/>
              <w:rPr>
                <w:sz w:val="16"/>
                <w:szCs w:val="16"/>
              </w:rPr>
            </w:pPr>
            <w:r w:rsidRPr="005375B8">
              <w:rPr>
                <w:sz w:val="16"/>
                <w:szCs w:val="16"/>
              </w:rPr>
              <w:t>4,368</w:t>
            </w:r>
          </w:p>
        </w:tc>
        <w:tc>
          <w:tcPr>
            <w:tcW w:w="977" w:type="dxa"/>
            <w:noWrap/>
            <w:vAlign w:val="center"/>
          </w:tcPr>
          <w:p w:rsidR="00997A49" w:rsidRDefault="00997A49" w:rsidP="00997A49">
            <w:pPr>
              <w:tabs>
                <w:tab w:val="left" w:pos="-1440"/>
              </w:tabs>
              <w:contextualSpacing/>
              <w:jc w:val="right"/>
              <w:rPr>
                <w:sz w:val="16"/>
                <w:szCs w:val="16"/>
              </w:rPr>
            </w:pPr>
          </w:p>
          <w:p w:rsidR="00B578D6" w:rsidRPr="005375B8" w:rsidRDefault="00B578D6" w:rsidP="00997A49">
            <w:pPr>
              <w:tabs>
                <w:tab w:val="left" w:pos="-1440"/>
              </w:tabs>
              <w:contextualSpacing/>
              <w:jc w:val="right"/>
              <w:rPr>
                <w:sz w:val="16"/>
                <w:szCs w:val="16"/>
              </w:rPr>
            </w:pPr>
            <w:r w:rsidRPr="005375B8">
              <w:rPr>
                <w:sz w:val="16"/>
                <w:szCs w:val="16"/>
              </w:rPr>
              <w:t>121</w:t>
            </w:r>
          </w:p>
          <w:p w:rsidR="00B578D6" w:rsidRPr="005375B8" w:rsidRDefault="00B578D6" w:rsidP="00997A49">
            <w:pPr>
              <w:tabs>
                <w:tab w:val="left" w:pos="-1440"/>
              </w:tabs>
              <w:contextualSpacing/>
              <w:jc w:val="right"/>
              <w:rPr>
                <w:sz w:val="16"/>
                <w:szCs w:val="16"/>
              </w:rPr>
            </w:pPr>
            <w:r w:rsidRPr="005375B8">
              <w:rPr>
                <w:sz w:val="16"/>
                <w:szCs w:val="16"/>
              </w:rPr>
              <w:t>812</w:t>
            </w:r>
          </w:p>
          <w:p w:rsidR="00B578D6" w:rsidRPr="005375B8" w:rsidRDefault="00B578D6" w:rsidP="00997A49">
            <w:pPr>
              <w:tabs>
                <w:tab w:val="left" w:pos="-1440"/>
              </w:tabs>
              <w:contextualSpacing/>
              <w:jc w:val="right"/>
              <w:rPr>
                <w:sz w:val="16"/>
                <w:szCs w:val="16"/>
              </w:rPr>
            </w:pPr>
            <w:r w:rsidRPr="005375B8">
              <w:rPr>
                <w:sz w:val="16"/>
                <w:szCs w:val="16"/>
              </w:rPr>
              <w:t>3,976</w:t>
            </w:r>
          </w:p>
        </w:tc>
        <w:tc>
          <w:tcPr>
            <w:tcW w:w="898"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194</w:t>
            </w:r>
          </w:p>
          <w:p w:rsidR="00B578D6" w:rsidRPr="005375B8" w:rsidRDefault="00B578D6" w:rsidP="00997A49">
            <w:pPr>
              <w:contextualSpacing/>
              <w:jc w:val="right"/>
              <w:rPr>
                <w:sz w:val="16"/>
                <w:szCs w:val="16"/>
              </w:rPr>
            </w:pPr>
            <w:r w:rsidRPr="005375B8">
              <w:rPr>
                <w:sz w:val="16"/>
                <w:szCs w:val="16"/>
              </w:rPr>
              <w:t>929</w:t>
            </w:r>
          </w:p>
          <w:p w:rsidR="00B578D6" w:rsidRPr="005375B8" w:rsidRDefault="00B578D6" w:rsidP="00997A49">
            <w:pPr>
              <w:contextualSpacing/>
              <w:jc w:val="right"/>
              <w:rPr>
                <w:sz w:val="16"/>
                <w:szCs w:val="16"/>
              </w:rPr>
            </w:pPr>
            <w:r w:rsidRPr="005375B8">
              <w:rPr>
                <w:sz w:val="16"/>
                <w:szCs w:val="16"/>
              </w:rPr>
              <w:t>3,707</w:t>
            </w:r>
          </w:p>
        </w:tc>
        <w:tc>
          <w:tcPr>
            <w:tcW w:w="1067"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136</w:t>
            </w:r>
          </w:p>
          <w:p w:rsidR="00B578D6" w:rsidRPr="005375B8" w:rsidRDefault="00B578D6" w:rsidP="00997A49">
            <w:pPr>
              <w:contextualSpacing/>
              <w:jc w:val="right"/>
              <w:rPr>
                <w:sz w:val="16"/>
                <w:szCs w:val="16"/>
              </w:rPr>
            </w:pPr>
            <w:r w:rsidRPr="005375B8">
              <w:rPr>
                <w:sz w:val="16"/>
                <w:szCs w:val="16"/>
              </w:rPr>
              <w:t>943</w:t>
            </w:r>
          </w:p>
          <w:p w:rsidR="00B578D6" w:rsidRPr="005375B8" w:rsidRDefault="00B578D6" w:rsidP="00997A49">
            <w:pPr>
              <w:contextualSpacing/>
              <w:jc w:val="right"/>
              <w:rPr>
                <w:sz w:val="16"/>
                <w:szCs w:val="16"/>
              </w:rPr>
            </w:pPr>
            <w:r w:rsidRPr="005375B8">
              <w:rPr>
                <w:sz w:val="16"/>
                <w:szCs w:val="16"/>
              </w:rPr>
              <w:t>3,347</w:t>
            </w:r>
          </w:p>
        </w:tc>
        <w:tc>
          <w:tcPr>
            <w:tcW w:w="900"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116</w:t>
            </w:r>
          </w:p>
          <w:p w:rsidR="00B578D6" w:rsidRPr="005375B8" w:rsidRDefault="00B578D6" w:rsidP="00997A49">
            <w:pPr>
              <w:contextualSpacing/>
              <w:jc w:val="right"/>
              <w:rPr>
                <w:sz w:val="16"/>
                <w:szCs w:val="16"/>
              </w:rPr>
            </w:pPr>
            <w:r w:rsidRPr="005375B8">
              <w:rPr>
                <w:sz w:val="16"/>
                <w:szCs w:val="16"/>
              </w:rPr>
              <w:t>987</w:t>
            </w:r>
          </w:p>
          <w:p w:rsidR="00B578D6" w:rsidRPr="005375B8" w:rsidRDefault="00B578D6" w:rsidP="00997A49">
            <w:pPr>
              <w:contextualSpacing/>
              <w:jc w:val="right"/>
              <w:rPr>
                <w:sz w:val="16"/>
                <w:szCs w:val="16"/>
              </w:rPr>
            </w:pPr>
            <w:r w:rsidRPr="005375B8">
              <w:rPr>
                <w:sz w:val="16"/>
                <w:szCs w:val="16"/>
              </w:rPr>
              <w:t>3,834</w:t>
            </w:r>
          </w:p>
        </w:tc>
        <w:tc>
          <w:tcPr>
            <w:tcW w:w="1016" w:type="dxa"/>
            <w:noWrap/>
            <w:vAlign w:val="center"/>
          </w:tcPr>
          <w:p w:rsidR="00B578D6" w:rsidRPr="005375B8" w:rsidRDefault="00B578D6"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88</w:t>
            </w:r>
          </w:p>
          <w:p w:rsidR="00B578D6" w:rsidRPr="005375B8" w:rsidRDefault="00B578D6" w:rsidP="00997A49">
            <w:pPr>
              <w:contextualSpacing/>
              <w:jc w:val="right"/>
              <w:rPr>
                <w:sz w:val="16"/>
                <w:szCs w:val="16"/>
              </w:rPr>
            </w:pPr>
            <w:r w:rsidRPr="005375B8">
              <w:rPr>
                <w:sz w:val="16"/>
                <w:szCs w:val="16"/>
              </w:rPr>
              <w:t>981</w:t>
            </w:r>
          </w:p>
          <w:p w:rsidR="00B578D6" w:rsidRPr="005375B8" w:rsidRDefault="00B578D6" w:rsidP="00997A49">
            <w:pPr>
              <w:contextualSpacing/>
              <w:jc w:val="right"/>
              <w:rPr>
                <w:sz w:val="16"/>
                <w:szCs w:val="16"/>
              </w:rPr>
            </w:pPr>
            <w:r w:rsidRPr="005375B8">
              <w:rPr>
                <w:sz w:val="16"/>
                <w:szCs w:val="16"/>
              </w:rPr>
              <w:t>2,910</w:t>
            </w:r>
          </w:p>
        </w:tc>
        <w:tc>
          <w:tcPr>
            <w:tcW w:w="891"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84</w:t>
            </w:r>
          </w:p>
          <w:p w:rsidR="00B578D6" w:rsidRPr="005375B8" w:rsidRDefault="00B578D6" w:rsidP="00997A49">
            <w:pPr>
              <w:contextualSpacing/>
              <w:jc w:val="right"/>
              <w:rPr>
                <w:sz w:val="16"/>
                <w:szCs w:val="16"/>
              </w:rPr>
            </w:pPr>
            <w:r w:rsidRPr="005375B8">
              <w:rPr>
                <w:sz w:val="16"/>
                <w:szCs w:val="16"/>
              </w:rPr>
              <w:t>954</w:t>
            </w:r>
          </w:p>
          <w:p w:rsidR="00B578D6" w:rsidRPr="005375B8" w:rsidRDefault="00B578D6" w:rsidP="00997A49">
            <w:pPr>
              <w:contextualSpacing/>
              <w:jc w:val="right"/>
              <w:rPr>
                <w:sz w:val="16"/>
                <w:szCs w:val="16"/>
              </w:rPr>
            </w:pPr>
            <w:r w:rsidRPr="005375B8">
              <w:rPr>
                <w:sz w:val="16"/>
                <w:szCs w:val="16"/>
              </w:rPr>
              <w:t>3,357</w:t>
            </w:r>
          </w:p>
        </w:tc>
        <w:tc>
          <w:tcPr>
            <w:tcW w:w="1076" w:type="dxa"/>
            <w:vAlign w:val="center"/>
          </w:tcPr>
          <w:p w:rsidR="00997A49" w:rsidRDefault="00997A49" w:rsidP="00997A49">
            <w:pPr>
              <w:contextualSpacing/>
              <w:jc w:val="right"/>
              <w:rPr>
                <w:sz w:val="16"/>
                <w:szCs w:val="16"/>
              </w:rPr>
            </w:pPr>
          </w:p>
          <w:p w:rsidR="00B578D6" w:rsidRPr="008D1617" w:rsidRDefault="00B578D6" w:rsidP="00997A49">
            <w:pPr>
              <w:contextualSpacing/>
              <w:jc w:val="right"/>
              <w:rPr>
                <w:sz w:val="16"/>
                <w:szCs w:val="16"/>
              </w:rPr>
            </w:pPr>
            <w:r w:rsidRPr="008D1617">
              <w:rPr>
                <w:sz w:val="16"/>
                <w:szCs w:val="16"/>
              </w:rPr>
              <w:t>81</w:t>
            </w:r>
          </w:p>
          <w:p w:rsidR="00B578D6" w:rsidRPr="008D1617" w:rsidRDefault="00B578D6" w:rsidP="00997A49">
            <w:pPr>
              <w:contextualSpacing/>
              <w:jc w:val="right"/>
              <w:rPr>
                <w:sz w:val="16"/>
                <w:szCs w:val="16"/>
              </w:rPr>
            </w:pPr>
            <w:r w:rsidRPr="008D1617">
              <w:rPr>
                <w:sz w:val="16"/>
                <w:szCs w:val="16"/>
              </w:rPr>
              <w:t>969</w:t>
            </w:r>
          </w:p>
          <w:p w:rsidR="00B578D6" w:rsidRPr="008D1617" w:rsidRDefault="00B578D6" w:rsidP="00997A49">
            <w:pPr>
              <w:contextualSpacing/>
              <w:jc w:val="right"/>
              <w:rPr>
                <w:sz w:val="16"/>
                <w:szCs w:val="16"/>
              </w:rPr>
            </w:pPr>
            <w:r w:rsidRPr="008D1617">
              <w:rPr>
                <w:sz w:val="16"/>
                <w:szCs w:val="16"/>
              </w:rPr>
              <w:t>2353</w:t>
            </w:r>
          </w:p>
        </w:tc>
        <w:tc>
          <w:tcPr>
            <w:tcW w:w="803"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sidRPr="005375B8">
              <w:rPr>
                <w:sz w:val="16"/>
                <w:szCs w:val="16"/>
              </w:rPr>
              <w:t>N/A</w:t>
            </w:r>
          </w:p>
        </w:tc>
        <w:tc>
          <w:tcPr>
            <w:tcW w:w="833" w:type="dxa"/>
            <w:vAlign w:val="center"/>
          </w:tcPr>
          <w:p w:rsidR="00B578D6" w:rsidRPr="005663C4" w:rsidRDefault="00B578D6" w:rsidP="00997A49">
            <w:pPr>
              <w:contextualSpacing/>
              <w:jc w:val="right"/>
              <w:rPr>
                <w:sz w:val="16"/>
                <w:szCs w:val="16"/>
              </w:rPr>
            </w:pPr>
          </w:p>
          <w:p w:rsidR="00B578D6" w:rsidRPr="005663C4" w:rsidRDefault="00B578D6" w:rsidP="00997A49">
            <w:pPr>
              <w:contextualSpacing/>
              <w:jc w:val="right"/>
              <w:rPr>
                <w:sz w:val="16"/>
                <w:szCs w:val="16"/>
              </w:rPr>
            </w:pPr>
            <w:r w:rsidRPr="005663C4">
              <w:rPr>
                <w:sz w:val="16"/>
                <w:szCs w:val="16"/>
              </w:rPr>
              <w:t>N/A</w:t>
            </w:r>
          </w:p>
          <w:p w:rsidR="00B578D6" w:rsidRPr="005663C4" w:rsidRDefault="00B578D6" w:rsidP="00997A49">
            <w:pPr>
              <w:contextualSpacing/>
              <w:jc w:val="right"/>
              <w:rPr>
                <w:sz w:val="16"/>
                <w:szCs w:val="16"/>
              </w:rPr>
            </w:pPr>
            <w:r w:rsidRPr="005663C4">
              <w:rPr>
                <w:sz w:val="16"/>
                <w:szCs w:val="16"/>
              </w:rPr>
              <w:t>N/A</w:t>
            </w:r>
          </w:p>
          <w:p w:rsidR="00B578D6" w:rsidRPr="005663C4" w:rsidRDefault="00B578D6" w:rsidP="00997A49">
            <w:pPr>
              <w:contextualSpacing/>
              <w:jc w:val="right"/>
              <w:rPr>
                <w:sz w:val="16"/>
                <w:szCs w:val="16"/>
              </w:rPr>
            </w:pPr>
            <w:r w:rsidRPr="005663C4">
              <w:rPr>
                <w:sz w:val="16"/>
                <w:szCs w:val="16"/>
              </w:rPr>
              <w:t xml:space="preserve">N/A </w:t>
            </w:r>
          </w:p>
        </w:tc>
      </w:tr>
      <w:tr w:rsidR="00B578D6" w:rsidRPr="005375B8" w:rsidTr="00997A49">
        <w:trPr>
          <w:trHeight w:val="377"/>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contextualSpacing/>
              <w:rPr>
                <w:sz w:val="16"/>
                <w:szCs w:val="16"/>
              </w:rPr>
            </w:pPr>
            <w:r w:rsidRPr="005375B8">
              <w:rPr>
                <w:sz w:val="16"/>
                <w:szCs w:val="16"/>
              </w:rPr>
              <w:t xml:space="preserve">Number of Criminal </w:t>
            </w:r>
            <w:r>
              <w:rPr>
                <w:sz w:val="16"/>
                <w:szCs w:val="16"/>
              </w:rPr>
              <w:t>Organizations</w:t>
            </w:r>
            <w:r w:rsidRPr="005375B8">
              <w:rPr>
                <w:sz w:val="16"/>
                <w:szCs w:val="16"/>
              </w:rPr>
              <w:t xml:space="preserve"> Engaging in White-Collar Crimes Dismantled</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73</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137</w:t>
            </w:r>
          </w:p>
        </w:tc>
        <w:tc>
          <w:tcPr>
            <w:tcW w:w="977"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163</w:t>
            </w:r>
          </w:p>
        </w:tc>
        <w:tc>
          <w:tcPr>
            <w:tcW w:w="898"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231</w:t>
            </w:r>
          </w:p>
        </w:tc>
        <w:tc>
          <w:tcPr>
            <w:tcW w:w="1067" w:type="dxa"/>
            <w:vAlign w:val="center"/>
          </w:tcPr>
          <w:p w:rsidR="00B578D6" w:rsidRPr="005375B8" w:rsidRDefault="00B578D6" w:rsidP="00997A49">
            <w:pPr>
              <w:tabs>
                <w:tab w:val="left" w:pos="-1440"/>
              </w:tabs>
              <w:contextualSpacing/>
              <w:jc w:val="right"/>
              <w:rPr>
                <w:sz w:val="16"/>
                <w:szCs w:val="16"/>
              </w:rPr>
            </w:pPr>
            <w:r w:rsidRPr="005375B8">
              <w:rPr>
                <w:sz w:val="16"/>
                <w:szCs w:val="16"/>
              </w:rPr>
              <w:t>277</w:t>
            </w:r>
          </w:p>
        </w:tc>
        <w:tc>
          <w:tcPr>
            <w:tcW w:w="900"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211</w:t>
            </w:r>
          </w:p>
        </w:tc>
        <w:tc>
          <w:tcPr>
            <w:tcW w:w="1016"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250</w:t>
            </w:r>
          </w:p>
        </w:tc>
        <w:tc>
          <w:tcPr>
            <w:tcW w:w="891" w:type="dxa"/>
            <w:vAlign w:val="center"/>
          </w:tcPr>
          <w:p w:rsidR="00B578D6" w:rsidRPr="005375B8" w:rsidRDefault="00B578D6" w:rsidP="00997A49">
            <w:pPr>
              <w:tabs>
                <w:tab w:val="left" w:pos="-1440"/>
              </w:tabs>
              <w:contextualSpacing/>
              <w:jc w:val="right"/>
              <w:rPr>
                <w:sz w:val="16"/>
                <w:szCs w:val="16"/>
              </w:rPr>
            </w:pPr>
            <w:r w:rsidRPr="005375B8">
              <w:rPr>
                <w:sz w:val="16"/>
                <w:szCs w:val="16"/>
              </w:rPr>
              <w:t>236</w:t>
            </w:r>
          </w:p>
        </w:tc>
        <w:tc>
          <w:tcPr>
            <w:tcW w:w="1076" w:type="dxa"/>
            <w:vAlign w:val="center"/>
          </w:tcPr>
          <w:p w:rsidR="00B578D6" w:rsidRPr="005375B8" w:rsidRDefault="00B578D6" w:rsidP="00997A49">
            <w:pPr>
              <w:tabs>
                <w:tab w:val="left" w:pos="-1440"/>
              </w:tabs>
              <w:contextualSpacing/>
              <w:jc w:val="right"/>
              <w:rPr>
                <w:sz w:val="16"/>
                <w:szCs w:val="16"/>
              </w:rPr>
            </w:pPr>
            <w:r>
              <w:rPr>
                <w:sz w:val="16"/>
                <w:szCs w:val="16"/>
              </w:rPr>
              <w:t>366</w:t>
            </w:r>
          </w:p>
        </w:tc>
        <w:tc>
          <w:tcPr>
            <w:tcW w:w="803" w:type="dxa"/>
            <w:vAlign w:val="center"/>
          </w:tcPr>
          <w:p w:rsidR="00B578D6" w:rsidRPr="005375B8" w:rsidRDefault="00B578D6" w:rsidP="00997A49">
            <w:pPr>
              <w:tabs>
                <w:tab w:val="left" w:pos="-1440"/>
              </w:tabs>
              <w:contextualSpacing/>
              <w:jc w:val="right"/>
              <w:rPr>
                <w:sz w:val="16"/>
                <w:szCs w:val="16"/>
              </w:rPr>
            </w:pPr>
            <w:r>
              <w:rPr>
                <w:sz w:val="16"/>
                <w:szCs w:val="16"/>
              </w:rPr>
              <w:t>360</w:t>
            </w:r>
          </w:p>
        </w:tc>
        <w:tc>
          <w:tcPr>
            <w:tcW w:w="833" w:type="dxa"/>
            <w:vAlign w:val="center"/>
          </w:tcPr>
          <w:p w:rsidR="00B578D6" w:rsidRPr="005663C4" w:rsidRDefault="00B578D6" w:rsidP="00997A49">
            <w:pPr>
              <w:tabs>
                <w:tab w:val="left" w:pos="-1440"/>
              </w:tabs>
              <w:contextualSpacing/>
              <w:jc w:val="right"/>
              <w:rPr>
                <w:sz w:val="16"/>
                <w:szCs w:val="16"/>
              </w:rPr>
            </w:pPr>
            <w:r>
              <w:rPr>
                <w:sz w:val="16"/>
                <w:szCs w:val="16"/>
              </w:rPr>
              <w:t>360</w:t>
            </w:r>
          </w:p>
        </w:tc>
      </w:tr>
      <w:tr w:rsidR="00B578D6" w:rsidRPr="005375B8" w:rsidTr="00997A49">
        <w:trPr>
          <w:trHeight w:val="350"/>
        </w:trPr>
        <w:tc>
          <w:tcPr>
            <w:tcW w:w="1728" w:type="dxa"/>
            <w:vAlign w:val="center"/>
          </w:tcPr>
          <w:p w:rsidR="00B578D6" w:rsidRPr="005375B8" w:rsidRDefault="00B578D6" w:rsidP="00997A49">
            <w:pPr>
              <w:contextualSpacing/>
              <w:rPr>
                <w:b/>
                <w:bCs/>
                <w:sz w:val="16"/>
                <w:szCs w:val="16"/>
              </w:rPr>
            </w:pPr>
            <w:r w:rsidRPr="005375B8">
              <w:rPr>
                <w:b/>
                <w:bCs/>
                <w:sz w:val="16"/>
                <w:szCs w:val="16"/>
              </w:rPr>
              <w:t xml:space="preserve">Efficiency Measure </w:t>
            </w:r>
          </w:p>
        </w:tc>
        <w:tc>
          <w:tcPr>
            <w:tcW w:w="2848" w:type="dxa"/>
            <w:noWrap/>
            <w:vAlign w:val="center"/>
          </w:tcPr>
          <w:p w:rsidR="00B578D6" w:rsidRPr="005375B8" w:rsidRDefault="00B578D6" w:rsidP="00997A49">
            <w:pPr>
              <w:tabs>
                <w:tab w:val="left" w:pos="249"/>
              </w:tabs>
              <w:contextualSpacing/>
              <w:rPr>
                <w:sz w:val="16"/>
                <w:szCs w:val="16"/>
              </w:rPr>
            </w:pPr>
            <w:r w:rsidRPr="005375B8">
              <w:rPr>
                <w:sz w:val="16"/>
                <w:szCs w:val="16"/>
              </w:rPr>
              <w:t>% of Major Mortgage Fraud Investigations to all pending Mortgage Fraud investigations</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977"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898"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1067" w:type="dxa"/>
            <w:vAlign w:val="center"/>
          </w:tcPr>
          <w:p w:rsidR="00B578D6" w:rsidRPr="005375B8" w:rsidRDefault="00B578D6" w:rsidP="00997A49">
            <w:pPr>
              <w:tabs>
                <w:tab w:val="left" w:pos="-1440"/>
              </w:tabs>
              <w:contextualSpacing/>
              <w:jc w:val="right"/>
              <w:rPr>
                <w:sz w:val="16"/>
                <w:szCs w:val="16"/>
              </w:rPr>
            </w:pPr>
            <w:r w:rsidRPr="005375B8">
              <w:rPr>
                <w:sz w:val="16"/>
                <w:szCs w:val="16"/>
              </w:rPr>
              <w:t>56%</w:t>
            </w:r>
          </w:p>
        </w:tc>
        <w:tc>
          <w:tcPr>
            <w:tcW w:w="900"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63%</w:t>
            </w:r>
          </w:p>
        </w:tc>
        <w:tc>
          <w:tcPr>
            <w:tcW w:w="1016"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66%</w:t>
            </w:r>
          </w:p>
        </w:tc>
        <w:tc>
          <w:tcPr>
            <w:tcW w:w="891" w:type="dxa"/>
            <w:vAlign w:val="center"/>
          </w:tcPr>
          <w:p w:rsidR="00B578D6" w:rsidRPr="005375B8" w:rsidRDefault="00B578D6" w:rsidP="00997A49">
            <w:pPr>
              <w:tabs>
                <w:tab w:val="left" w:pos="-1440"/>
              </w:tabs>
              <w:contextualSpacing/>
              <w:jc w:val="right"/>
              <w:rPr>
                <w:sz w:val="16"/>
                <w:szCs w:val="16"/>
              </w:rPr>
            </w:pPr>
            <w:r w:rsidRPr="005375B8">
              <w:rPr>
                <w:sz w:val="16"/>
                <w:szCs w:val="16"/>
              </w:rPr>
              <w:t>71%</w:t>
            </w:r>
          </w:p>
        </w:tc>
        <w:tc>
          <w:tcPr>
            <w:tcW w:w="1076" w:type="dxa"/>
            <w:vAlign w:val="center"/>
          </w:tcPr>
          <w:p w:rsidR="00B578D6" w:rsidRPr="005375B8" w:rsidRDefault="00B578D6" w:rsidP="00997A49">
            <w:pPr>
              <w:tabs>
                <w:tab w:val="left" w:pos="-1440"/>
              </w:tabs>
              <w:contextualSpacing/>
              <w:jc w:val="right"/>
              <w:rPr>
                <w:sz w:val="16"/>
                <w:szCs w:val="16"/>
              </w:rPr>
            </w:pPr>
            <w:r>
              <w:rPr>
                <w:sz w:val="16"/>
                <w:szCs w:val="16"/>
              </w:rPr>
              <w:t>71%</w:t>
            </w:r>
          </w:p>
        </w:tc>
        <w:tc>
          <w:tcPr>
            <w:tcW w:w="803" w:type="dxa"/>
            <w:vAlign w:val="center"/>
          </w:tcPr>
          <w:p w:rsidR="00B578D6" w:rsidRPr="005375B8" w:rsidRDefault="00B578D6" w:rsidP="00997A49">
            <w:pPr>
              <w:tabs>
                <w:tab w:val="left" w:pos="-1440"/>
              </w:tabs>
              <w:contextualSpacing/>
              <w:jc w:val="right"/>
              <w:rPr>
                <w:sz w:val="16"/>
                <w:szCs w:val="16"/>
              </w:rPr>
            </w:pPr>
            <w:r>
              <w:rPr>
                <w:sz w:val="16"/>
                <w:szCs w:val="16"/>
              </w:rPr>
              <w:t>71%</w:t>
            </w:r>
          </w:p>
        </w:tc>
        <w:tc>
          <w:tcPr>
            <w:tcW w:w="833" w:type="dxa"/>
            <w:vAlign w:val="center"/>
          </w:tcPr>
          <w:p w:rsidR="00B578D6" w:rsidRPr="005663C4" w:rsidRDefault="00B578D6" w:rsidP="00997A49">
            <w:pPr>
              <w:tabs>
                <w:tab w:val="left" w:pos="-1440"/>
              </w:tabs>
              <w:contextualSpacing/>
              <w:jc w:val="right"/>
              <w:rPr>
                <w:sz w:val="16"/>
                <w:szCs w:val="16"/>
              </w:rPr>
            </w:pPr>
            <w:r>
              <w:rPr>
                <w:sz w:val="16"/>
                <w:szCs w:val="16"/>
              </w:rPr>
              <w:t>71%</w:t>
            </w:r>
          </w:p>
        </w:tc>
      </w:tr>
      <w:tr w:rsidR="00B578D6" w:rsidRPr="005375B8" w:rsidTr="00997A49">
        <w:trPr>
          <w:trHeight w:val="350"/>
        </w:trPr>
        <w:tc>
          <w:tcPr>
            <w:tcW w:w="1728" w:type="dxa"/>
            <w:vAlign w:val="center"/>
          </w:tcPr>
          <w:p w:rsidR="00B578D6" w:rsidRPr="005375B8" w:rsidRDefault="00B578D6" w:rsidP="00997A49">
            <w:pPr>
              <w:contextualSpacing/>
              <w:rPr>
                <w:b/>
                <w:bCs/>
                <w:sz w:val="16"/>
                <w:szCs w:val="16"/>
              </w:rPr>
            </w:pPr>
            <w:r w:rsidRPr="005375B8">
              <w:rPr>
                <w:b/>
                <w:bCs/>
                <w:sz w:val="16"/>
                <w:szCs w:val="16"/>
              </w:rPr>
              <w:t xml:space="preserve">Performance Measure </w:t>
            </w:r>
          </w:p>
        </w:tc>
        <w:tc>
          <w:tcPr>
            <w:tcW w:w="2848" w:type="dxa"/>
            <w:noWrap/>
            <w:vAlign w:val="center"/>
          </w:tcPr>
          <w:p w:rsidR="00B578D6" w:rsidRPr="005375B8" w:rsidRDefault="00B578D6" w:rsidP="00997A49">
            <w:pPr>
              <w:contextualSpacing/>
              <w:rPr>
                <w:i/>
                <w:iCs/>
                <w:sz w:val="16"/>
                <w:szCs w:val="16"/>
              </w:rPr>
            </w:pPr>
            <w:r w:rsidRPr="005375B8">
              <w:rPr>
                <w:sz w:val="16"/>
                <w:szCs w:val="16"/>
              </w:rPr>
              <w:t>Number of Children Depicted in Child Pornography Identified by the FBI</w:t>
            </w:r>
            <w:r w:rsidRPr="005375B8">
              <w:rPr>
                <w:noProof/>
                <w:sz w:val="16"/>
                <w:szCs w:val="16"/>
                <w:lang w:eastAsia="zh-CN"/>
              </w:rPr>
              <w:t xml:space="preserve"> (</w:t>
            </w:r>
            <w:r w:rsidRPr="005375B8">
              <w:rPr>
                <w:i/>
                <w:iCs/>
                <w:noProof/>
                <w:sz w:val="16"/>
                <w:szCs w:val="16"/>
                <w:lang w:eastAsia="zh-CN"/>
              </w:rPr>
              <w:t>*only partial year data available for FY06)</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977"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898"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37*</w:t>
            </w:r>
          </w:p>
        </w:tc>
        <w:tc>
          <w:tcPr>
            <w:tcW w:w="1067" w:type="dxa"/>
            <w:vAlign w:val="center"/>
          </w:tcPr>
          <w:p w:rsidR="00B578D6" w:rsidRPr="005375B8" w:rsidRDefault="00B578D6" w:rsidP="00997A49">
            <w:pPr>
              <w:tabs>
                <w:tab w:val="left" w:pos="-1440"/>
              </w:tabs>
              <w:contextualSpacing/>
              <w:jc w:val="right"/>
              <w:rPr>
                <w:sz w:val="16"/>
                <w:szCs w:val="16"/>
              </w:rPr>
            </w:pPr>
            <w:r w:rsidRPr="005375B8">
              <w:rPr>
                <w:sz w:val="16"/>
                <w:szCs w:val="16"/>
              </w:rPr>
              <w:t>73</w:t>
            </w:r>
          </w:p>
        </w:tc>
        <w:tc>
          <w:tcPr>
            <w:tcW w:w="900"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187</w:t>
            </w:r>
          </w:p>
        </w:tc>
        <w:tc>
          <w:tcPr>
            <w:tcW w:w="1016"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118</w:t>
            </w:r>
          </w:p>
        </w:tc>
        <w:tc>
          <w:tcPr>
            <w:tcW w:w="891" w:type="dxa"/>
            <w:vAlign w:val="center"/>
          </w:tcPr>
          <w:p w:rsidR="00B578D6" w:rsidRPr="005375B8" w:rsidRDefault="00B578D6" w:rsidP="00997A49">
            <w:pPr>
              <w:tabs>
                <w:tab w:val="left" w:pos="-1440"/>
              </w:tabs>
              <w:contextualSpacing/>
              <w:jc w:val="right"/>
              <w:rPr>
                <w:sz w:val="16"/>
                <w:szCs w:val="16"/>
              </w:rPr>
            </w:pPr>
            <w:r w:rsidRPr="005375B8">
              <w:rPr>
                <w:sz w:val="16"/>
                <w:szCs w:val="16"/>
              </w:rPr>
              <w:t>246</w:t>
            </w:r>
          </w:p>
        </w:tc>
        <w:tc>
          <w:tcPr>
            <w:tcW w:w="1076" w:type="dxa"/>
            <w:vAlign w:val="center"/>
          </w:tcPr>
          <w:p w:rsidR="00B578D6" w:rsidRPr="005375B8" w:rsidRDefault="00B578D6" w:rsidP="00997A49">
            <w:pPr>
              <w:tabs>
                <w:tab w:val="left" w:pos="-1440"/>
              </w:tabs>
              <w:contextualSpacing/>
              <w:jc w:val="right"/>
              <w:rPr>
                <w:sz w:val="16"/>
                <w:szCs w:val="16"/>
              </w:rPr>
            </w:pPr>
            <w:r>
              <w:rPr>
                <w:sz w:val="16"/>
                <w:szCs w:val="16"/>
              </w:rPr>
              <w:t>2</w:t>
            </w:r>
            <w:r w:rsidRPr="005375B8">
              <w:rPr>
                <w:sz w:val="16"/>
                <w:szCs w:val="16"/>
              </w:rPr>
              <w:t>40</w:t>
            </w:r>
          </w:p>
        </w:tc>
        <w:tc>
          <w:tcPr>
            <w:tcW w:w="803" w:type="dxa"/>
            <w:vAlign w:val="center"/>
          </w:tcPr>
          <w:p w:rsidR="00B578D6" w:rsidRPr="005375B8" w:rsidRDefault="00B578D6" w:rsidP="00997A49">
            <w:pPr>
              <w:tabs>
                <w:tab w:val="left" w:pos="-1440"/>
              </w:tabs>
              <w:contextualSpacing/>
              <w:jc w:val="right"/>
              <w:rPr>
                <w:sz w:val="16"/>
                <w:szCs w:val="16"/>
              </w:rPr>
            </w:pPr>
            <w:r w:rsidRPr="005375B8">
              <w:rPr>
                <w:sz w:val="16"/>
                <w:szCs w:val="16"/>
              </w:rPr>
              <w:t>155</w:t>
            </w:r>
          </w:p>
        </w:tc>
        <w:tc>
          <w:tcPr>
            <w:tcW w:w="833" w:type="dxa"/>
            <w:vAlign w:val="center"/>
          </w:tcPr>
          <w:p w:rsidR="00B578D6" w:rsidRPr="005663C4" w:rsidRDefault="00B578D6" w:rsidP="00997A49">
            <w:pPr>
              <w:tabs>
                <w:tab w:val="left" w:pos="-1440"/>
              </w:tabs>
              <w:contextualSpacing/>
              <w:jc w:val="right"/>
              <w:rPr>
                <w:sz w:val="16"/>
                <w:szCs w:val="16"/>
              </w:rPr>
            </w:pPr>
            <w:r w:rsidRPr="005663C4">
              <w:rPr>
                <w:sz w:val="16"/>
                <w:szCs w:val="16"/>
              </w:rPr>
              <w:t>200</w:t>
            </w:r>
          </w:p>
        </w:tc>
      </w:tr>
      <w:tr w:rsidR="00B578D6" w:rsidRPr="005375B8" w:rsidTr="00997A49">
        <w:trPr>
          <w:trHeight w:val="395"/>
        </w:trPr>
        <w:tc>
          <w:tcPr>
            <w:tcW w:w="1728" w:type="dxa"/>
            <w:vAlign w:val="center"/>
          </w:tcPr>
          <w:p w:rsidR="00B578D6" w:rsidRPr="005375B8" w:rsidRDefault="00B578D6" w:rsidP="00997A49">
            <w:pPr>
              <w:contextualSpacing/>
              <w:rPr>
                <w:b/>
                <w:bCs/>
                <w:sz w:val="16"/>
                <w:szCs w:val="16"/>
              </w:rPr>
            </w:pPr>
            <w:r w:rsidRPr="005375B8">
              <w:rPr>
                <w:b/>
                <w:bCs/>
                <w:sz w:val="16"/>
                <w:szCs w:val="16"/>
              </w:rPr>
              <w:t>Perf</w:t>
            </w:r>
            <w:r>
              <w:rPr>
                <w:b/>
                <w:bCs/>
                <w:sz w:val="16"/>
                <w:szCs w:val="16"/>
              </w:rPr>
              <w:t>ormance</w:t>
            </w:r>
            <w:r w:rsidRPr="005375B8">
              <w:rPr>
                <w:b/>
                <w:bCs/>
                <w:sz w:val="16"/>
                <w:szCs w:val="16"/>
              </w:rPr>
              <w:t xml:space="preserve">  Measure</w:t>
            </w:r>
          </w:p>
        </w:tc>
        <w:tc>
          <w:tcPr>
            <w:tcW w:w="2848" w:type="dxa"/>
            <w:noWrap/>
            <w:vAlign w:val="center"/>
          </w:tcPr>
          <w:p w:rsidR="00B578D6" w:rsidRPr="005375B8" w:rsidRDefault="00B578D6" w:rsidP="00997A49">
            <w:pPr>
              <w:contextualSpacing/>
              <w:rPr>
                <w:sz w:val="16"/>
                <w:szCs w:val="16"/>
              </w:rPr>
            </w:pPr>
            <w:r w:rsidRPr="005375B8">
              <w:rPr>
                <w:sz w:val="16"/>
                <w:szCs w:val="16"/>
              </w:rPr>
              <w:t>Number of convictions for Internet fraud</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977"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98"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1067" w:type="dxa"/>
            <w:vAlign w:val="center"/>
          </w:tcPr>
          <w:p w:rsidR="00B578D6" w:rsidRPr="005375B8" w:rsidRDefault="00B578D6" w:rsidP="00997A49">
            <w:pPr>
              <w:contextualSpacing/>
              <w:jc w:val="right"/>
              <w:rPr>
                <w:sz w:val="16"/>
                <w:szCs w:val="16"/>
              </w:rPr>
            </w:pPr>
            <w:r w:rsidRPr="005375B8">
              <w:rPr>
                <w:sz w:val="16"/>
                <w:szCs w:val="16"/>
              </w:rPr>
              <w:t>N/A</w:t>
            </w:r>
          </w:p>
        </w:tc>
        <w:tc>
          <w:tcPr>
            <w:tcW w:w="900"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1016"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91" w:type="dxa"/>
            <w:vAlign w:val="center"/>
          </w:tcPr>
          <w:p w:rsidR="00B578D6" w:rsidRPr="005375B8" w:rsidRDefault="00B578D6" w:rsidP="00997A49">
            <w:pPr>
              <w:contextualSpacing/>
              <w:jc w:val="right"/>
              <w:rPr>
                <w:sz w:val="16"/>
                <w:szCs w:val="16"/>
              </w:rPr>
            </w:pPr>
            <w:r w:rsidRPr="005375B8">
              <w:rPr>
                <w:sz w:val="16"/>
                <w:szCs w:val="16"/>
              </w:rPr>
              <w:t>N/A</w:t>
            </w:r>
          </w:p>
        </w:tc>
        <w:tc>
          <w:tcPr>
            <w:tcW w:w="1076" w:type="dxa"/>
            <w:vAlign w:val="center"/>
          </w:tcPr>
          <w:p w:rsidR="00B578D6" w:rsidRPr="005375B8" w:rsidRDefault="00B578D6" w:rsidP="00997A49">
            <w:pPr>
              <w:contextualSpacing/>
              <w:jc w:val="right"/>
              <w:rPr>
                <w:sz w:val="16"/>
                <w:szCs w:val="16"/>
              </w:rPr>
            </w:pPr>
            <w:r>
              <w:rPr>
                <w:sz w:val="16"/>
                <w:szCs w:val="16"/>
              </w:rPr>
              <w:t>27</w:t>
            </w:r>
          </w:p>
        </w:tc>
        <w:tc>
          <w:tcPr>
            <w:tcW w:w="803" w:type="dxa"/>
            <w:vAlign w:val="center"/>
          </w:tcPr>
          <w:p w:rsidR="00B578D6" w:rsidRPr="005375B8" w:rsidRDefault="00B578D6" w:rsidP="00997A49">
            <w:pPr>
              <w:contextualSpacing/>
              <w:jc w:val="right"/>
              <w:rPr>
                <w:sz w:val="16"/>
                <w:szCs w:val="16"/>
              </w:rPr>
            </w:pPr>
            <w:r w:rsidRPr="005375B8">
              <w:rPr>
                <w:sz w:val="16"/>
                <w:szCs w:val="16"/>
              </w:rPr>
              <w:t>N/A</w:t>
            </w:r>
          </w:p>
        </w:tc>
        <w:tc>
          <w:tcPr>
            <w:tcW w:w="833" w:type="dxa"/>
            <w:vAlign w:val="center"/>
          </w:tcPr>
          <w:p w:rsidR="00B578D6" w:rsidRPr="005663C4" w:rsidRDefault="00B578D6" w:rsidP="00997A49">
            <w:pPr>
              <w:contextualSpacing/>
              <w:jc w:val="right"/>
              <w:rPr>
                <w:sz w:val="16"/>
                <w:szCs w:val="16"/>
              </w:rPr>
            </w:pPr>
            <w:r w:rsidRPr="005663C4">
              <w:rPr>
                <w:sz w:val="16"/>
                <w:szCs w:val="16"/>
              </w:rPr>
              <w:t>N/A</w:t>
            </w:r>
          </w:p>
        </w:tc>
      </w:tr>
      <w:tr w:rsidR="00B578D6" w:rsidRPr="005375B8" w:rsidTr="00997A49">
        <w:trPr>
          <w:trHeight w:hRule="exact" w:val="370"/>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contextualSpacing/>
              <w:rPr>
                <w:sz w:val="16"/>
                <w:szCs w:val="16"/>
              </w:rPr>
            </w:pPr>
            <w:r w:rsidRPr="005375B8">
              <w:rPr>
                <w:sz w:val="16"/>
                <w:szCs w:val="16"/>
              </w:rPr>
              <w:t>Number of high-impact Internet fraud targets neutralized</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5</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7</w:t>
            </w:r>
          </w:p>
        </w:tc>
        <w:tc>
          <w:tcPr>
            <w:tcW w:w="977" w:type="dxa"/>
            <w:noWrap/>
            <w:vAlign w:val="center"/>
          </w:tcPr>
          <w:p w:rsidR="00B578D6" w:rsidRPr="005375B8" w:rsidRDefault="00B578D6" w:rsidP="00997A49">
            <w:pPr>
              <w:contextualSpacing/>
              <w:jc w:val="right"/>
              <w:rPr>
                <w:sz w:val="16"/>
                <w:szCs w:val="16"/>
              </w:rPr>
            </w:pPr>
            <w:r w:rsidRPr="005375B8">
              <w:rPr>
                <w:sz w:val="16"/>
                <w:szCs w:val="16"/>
              </w:rPr>
              <w:t>10</w:t>
            </w:r>
          </w:p>
        </w:tc>
        <w:tc>
          <w:tcPr>
            <w:tcW w:w="898" w:type="dxa"/>
            <w:noWrap/>
            <w:vAlign w:val="center"/>
          </w:tcPr>
          <w:p w:rsidR="00B578D6" w:rsidRPr="005375B8" w:rsidRDefault="00B578D6" w:rsidP="00997A49">
            <w:pPr>
              <w:contextualSpacing/>
              <w:jc w:val="right"/>
              <w:rPr>
                <w:sz w:val="16"/>
                <w:szCs w:val="16"/>
              </w:rPr>
            </w:pPr>
            <w:r w:rsidRPr="005375B8">
              <w:rPr>
                <w:sz w:val="16"/>
                <w:szCs w:val="16"/>
              </w:rPr>
              <w:t>9</w:t>
            </w:r>
          </w:p>
        </w:tc>
        <w:tc>
          <w:tcPr>
            <w:tcW w:w="1067" w:type="dxa"/>
            <w:vAlign w:val="center"/>
          </w:tcPr>
          <w:p w:rsidR="00B578D6" w:rsidRPr="005375B8" w:rsidRDefault="00B578D6" w:rsidP="00997A49">
            <w:pPr>
              <w:contextualSpacing/>
              <w:jc w:val="right"/>
              <w:rPr>
                <w:sz w:val="16"/>
                <w:szCs w:val="16"/>
              </w:rPr>
            </w:pPr>
            <w:r w:rsidRPr="005375B8">
              <w:rPr>
                <w:sz w:val="16"/>
                <w:szCs w:val="16"/>
              </w:rPr>
              <w:t>11</w:t>
            </w:r>
          </w:p>
        </w:tc>
        <w:tc>
          <w:tcPr>
            <w:tcW w:w="900" w:type="dxa"/>
            <w:noWrap/>
            <w:vAlign w:val="center"/>
          </w:tcPr>
          <w:p w:rsidR="00B578D6" w:rsidRPr="005375B8" w:rsidRDefault="00B578D6" w:rsidP="00997A49">
            <w:pPr>
              <w:contextualSpacing/>
              <w:jc w:val="right"/>
              <w:rPr>
                <w:sz w:val="16"/>
                <w:szCs w:val="16"/>
              </w:rPr>
            </w:pPr>
            <w:r w:rsidRPr="005375B8">
              <w:rPr>
                <w:sz w:val="16"/>
                <w:szCs w:val="16"/>
              </w:rPr>
              <w:t>11</w:t>
            </w:r>
          </w:p>
        </w:tc>
        <w:tc>
          <w:tcPr>
            <w:tcW w:w="1016" w:type="dxa"/>
            <w:noWrap/>
            <w:vAlign w:val="center"/>
          </w:tcPr>
          <w:p w:rsidR="00B578D6" w:rsidRPr="005375B8" w:rsidRDefault="00B578D6" w:rsidP="00997A49">
            <w:pPr>
              <w:contextualSpacing/>
              <w:jc w:val="right"/>
              <w:rPr>
                <w:sz w:val="16"/>
                <w:szCs w:val="16"/>
              </w:rPr>
            </w:pPr>
            <w:r w:rsidRPr="005375B8">
              <w:rPr>
                <w:sz w:val="16"/>
                <w:szCs w:val="16"/>
              </w:rPr>
              <w:t>13</w:t>
            </w:r>
          </w:p>
        </w:tc>
        <w:tc>
          <w:tcPr>
            <w:tcW w:w="891" w:type="dxa"/>
            <w:vAlign w:val="center"/>
          </w:tcPr>
          <w:p w:rsidR="00B578D6" w:rsidRPr="005375B8" w:rsidRDefault="00B578D6" w:rsidP="00997A49">
            <w:pPr>
              <w:contextualSpacing/>
              <w:jc w:val="right"/>
              <w:rPr>
                <w:sz w:val="16"/>
                <w:szCs w:val="16"/>
              </w:rPr>
            </w:pPr>
            <w:r w:rsidRPr="005375B8">
              <w:rPr>
                <w:sz w:val="16"/>
                <w:szCs w:val="16"/>
              </w:rPr>
              <w:t>12</w:t>
            </w:r>
          </w:p>
        </w:tc>
        <w:tc>
          <w:tcPr>
            <w:tcW w:w="1076" w:type="dxa"/>
            <w:vAlign w:val="center"/>
          </w:tcPr>
          <w:p w:rsidR="00B578D6" w:rsidRPr="005375B8" w:rsidRDefault="00B578D6" w:rsidP="00997A49">
            <w:pPr>
              <w:contextualSpacing/>
              <w:jc w:val="right"/>
              <w:rPr>
                <w:sz w:val="16"/>
                <w:szCs w:val="16"/>
              </w:rPr>
            </w:pPr>
            <w:r>
              <w:rPr>
                <w:sz w:val="16"/>
                <w:szCs w:val="16"/>
              </w:rPr>
              <w:t>11</w:t>
            </w:r>
          </w:p>
        </w:tc>
        <w:tc>
          <w:tcPr>
            <w:tcW w:w="803" w:type="dxa"/>
            <w:vAlign w:val="center"/>
          </w:tcPr>
          <w:p w:rsidR="00B578D6" w:rsidRPr="005375B8" w:rsidRDefault="00B578D6" w:rsidP="00997A49">
            <w:pPr>
              <w:contextualSpacing/>
              <w:jc w:val="right"/>
              <w:rPr>
                <w:sz w:val="16"/>
                <w:szCs w:val="16"/>
              </w:rPr>
            </w:pPr>
            <w:r>
              <w:rPr>
                <w:sz w:val="16"/>
                <w:szCs w:val="16"/>
              </w:rPr>
              <w:t>13</w:t>
            </w:r>
          </w:p>
        </w:tc>
        <w:tc>
          <w:tcPr>
            <w:tcW w:w="833" w:type="dxa"/>
            <w:vAlign w:val="center"/>
          </w:tcPr>
          <w:p w:rsidR="00B578D6" w:rsidRPr="005663C4" w:rsidRDefault="00B578D6" w:rsidP="00997A49">
            <w:pPr>
              <w:contextualSpacing/>
              <w:jc w:val="right"/>
              <w:rPr>
                <w:sz w:val="16"/>
                <w:szCs w:val="16"/>
              </w:rPr>
            </w:pPr>
            <w:r w:rsidRPr="005663C4">
              <w:rPr>
                <w:sz w:val="16"/>
                <w:szCs w:val="16"/>
              </w:rPr>
              <w:t>N/A</w:t>
            </w:r>
          </w:p>
        </w:tc>
      </w:tr>
      <w:tr w:rsidR="00B578D6" w:rsidRPr="005375B8" w:rsidTr="00997A49">
        <w:trPr>
          <w:trHeight w:val="350"/>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pStyle w:val="BodyText2"/>
              <w:contextualSpacing/>
              <w:rPr>
                <w:sz w:val="16"/>
                <w:szCs w:val="16"/>
              </w:rPr>
            </w:pPr>
            <w:r w:rsidRPr="005375B8">
              <w:rPr>
                <w:sz w:val="16"/>
                <w:szCs w:val="16"/>
              </w:rPr>
              <w:t xml:space="preserve"> Convictions/Pre-Trial Diversions:</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Organized Criminal Enterprises</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Gang/Criminal Enterprises</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Crimes Against Children</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Civil Rights</w:t>
            </w:r>
          </w:p>
        </w:tc>
        <w:tc>
          <w:tcPr>
            <w:tcW w:w="885" w:type="dxa"/>
            <w:noWrap/>
            <w:vAlign w:val="center"/>
          </w:tcPr>
          <w:p w:rsidR="00B578D6" w:rsidRPr="005375B8" w:rsidRDefault="00B578D6"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824</w:t>
            </w:r>
          </w:p>
          <w:p w:rsidR="00B578D6" w:rsidRPr="005375B8" w:rsidRDefault="00B578D6" w:rsidP="00997A49">
            <w:pPr>
              <w:contextualSpacing/>
              <w:jc w:val="right"/>
              <w:rPr>
                <w:sz w:val="16"/>
                <w:szCs w:val="16"/>
              </w:rPr>
            </w:pPr>
            <w:r w:rsidRPr="005375B8">
              <w:rPr>
                <w:sz w:val="16"/>
                <w:szCs w:val="16"/>
              </w:rPr>
              <w:t>4,089</w:t>
            </w:r>
          </w:p>
          <w:p w:rsidR="00B578D6" w:rsidRPr="005375B8" w:rsidRDefault="00B578D6" w:rsidP="00997A49">
            <w:pPr>
              <w:contextualSpacing/>
              <w:jc w:val="right"/>
              <w:rPr>
                <w:sz w:val="16"/>
                <w:szCs w:val="16"/>
              </w:rPr>
            </w:pPr>
            <w:r w:rsidRPr="005375B8">
              <w:rPr>
                <w:sz w:val="16"/>
                <w:szCs w:val="16"/>
              </w:rPr>
              <w:t>154</w:t>
            </w:r>
          </w:p>
          <w:p w:rsidR="00B578D6" w:rsidRPr="005375B8" w:rsidRDefault="00B578D6" w:rsidP="00997A49">
            <w:pPr>
              <w:contextualSpacing/>
              <w:jc w:val="right"/>
              <w:rPr>
                <w:sz w:val="16"/>
                <w:szCs w:val="16"/>
              </w:rPr>
            </w:pPr>
            <w:r w:rsidRPr="005375B8">
              <w:rPr>
                <w:sz w:val="16"/>
                <w:szCs w:val="16"/>
              </w:rPr>
              <w:t>163</w:t>
            </w:r>
          </w:p>
        </w:tc>
        <w:tc>
          <w:tcPr>
            <w:tcW w:w="885" w:type="dxa"/>
            <w:noWrap/>
            <w:vAlign w:val="center"/>
          </w:tcPr>
          <w:p w:rsidR="00B578D6" w:rsidRPr="005375B8" w:rsidRDefault="00B578D6"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572</w:t>
            </w:r>
          </w:p>
          <w:p w:rsidR="00B578D6" w:rsidRPr="005375B8" w:rsidRDefault="00B578D6" w:rsidP="00997A49">
            <w:pPr>
              <w:contextualSpacing/>
              <w:jc w:val="right"/>
              <w:rPr>
                <w:sz w:val="16"/>
                <w:szCs w:val="16"/>
              </w:rPr>
            </w:pPr>
            <w:r w:rsidRPr="005375B8">
              <w:rPr>
                <w:sz w:val="16"/>
                <w:szCs w:val="16"/>
              </w:rPr>
              <w:t>2,923</w:t>
            </w:r>
          </w:p>
          <w:p w:rsidR="00B578D6" w:rsidRPr="005375B8" w:rsidRDefault="00B578D6" w:rsidP="00997A49">
            <w:pPr>
              <w:contextualSpacing/>
              <w:jc w:val="right"/>
              <w:rPr>
                <w:sz w:val="16"/>
                <w:szCs w:val="16"/>
              </w:rPr>
            </w:pPr>
            <w:r w:rsidRPr="005375B8">
              <w:rPr>
                <w:sz w:val="16"/>
                <w:szCs w:val="16"/>
              </w:rPr>
              <w:t>145</w:t>
            </w:r>
          </w:p>
          <w:p w:rsidR="00B578D6" w:rsidRPr="005375B8" w:rsidRDefault="00B578D6" w:rsidP="00997A49">
            <w:pPr>
              <w:contextualSpacing/>
              <w:jc w:val="right"/>
              <w:rPr>
                <w:sz w:val="16"/>
                <w:szCs w:val="16"/>
              </w:rPr>
            </w:pPr>
            <w:r w:rsidRPr="005375B8">
              <w:rPr>
                <w:sz w:val="16"/>
                <w:szCs w:val="16"/>
              </w:rPr>
              <w:t>155</w:t>
            </w:r>
          </w:p>
        </w:tc>
        <w:tc>
          <w:tcPr>
            <w:tcW w:w="977" w:type="dxa"/>
            <w:noWrap/>
            <w:vAlign w:val="center"/>
          </w:tcPr>
          <w:p w:rsidR="00B578D6" w:rsidRPr="005375B8" w:rsidRDefault="00B578D6"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897</w:t>
            </w:r>
          </w:p>
          <w:p w:rsidR="00B578D6" w:rsidRPr="005375B8" w:rsidRDefault="00B578D6" w:rsidP="00997A49">
            <w:pPr>
              <w:contextualSpacing/>
              <w:jc w:val="right"/>
              <w:rPr>
                <w:sz w:val="16"/>
                <w:szCs w:val="16"/>
              </w:rPr>
            </w:pPr>
            <w:r w:rsidRPr="005375B8">
              <w:rPr>
                <w:sz w:val="16"/>
                <w:szCs w:val="16"/>
              </w:rPr>
              <w:t>4,292</w:t>
            </w:r>
          </w:p>
          <w:p w:rsidR="00B578D6" w:rsidRPr="005375B8" w:rsidRDefault="00B578D6" w:rsidP="00997A49">
            <w:pPr>
              <w:contextualSpacing/>
              <w:jc w:val="right"/>
              <w:rPr>
                <w:sz w:val="16"/>
                <w:szCs w:val="16"/>
              </w:rPr>
            </w:pPr>
            <w:r w:rsidRPr="005375B8">
              <w:rPr>
                <w:sz w:val="16"/>
                <w:szCs w:val="16"/>
              </w:rPr>
              <w:t>164</w:t>
            </w:r>
          </w:p>
          <w:p w:rsidR="00B578D6" w:rsidRPr="005375B8" w:rsidRDefault="00B578D6" w:rsidP="00997A49">
            <w:pPr>
              <w:contextualSpacing/>
              <w:jc w:val="right"/>
              <w:rPr>
                <w:sz w:val="16"/>
                <w:szCs w:val="16"/>
              </w:rPr>
            </w:pPr>
            <w:r w:rsidRPr="005375B8">
              <w:rPr>
                <w:sz w:val="16"/>
                <w:szCs w:val="16"/>
              </w:rPr>
              <w:t>139</w:t>
            </w:r>
          </w:p>
        </w:tc>
        <w:tc>
          <w:tcPr>
            <w:tcW w:w="898"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674</w:t>
            </w:r>
          </w:p>
          <w:p w:rsidR="00B578D6" w:rsidRPr="005375B8" w:rsidRDefault="00B578D6" w:rsidP="00997A49">
            <w:pPr>
              <w:contextualSpacing/>
              <w:jc w:val="right"/>
              <w:rPr>
                <w:sz w:val="16"/>
                <w:szCs w:val="16"/>
              </w:rPr>
            </w:pPr>
            <w:r w:rsidRPr="005375B8">
              <w:rPr>
                <w:sz w:val="16"/>
                <w:szCs w:val="16"/>
              </w:rPr>
              <w:t>2,070</w:t>
            </w:r>
          </w:p>
          <w:p w:rsidR="00B578D6" w:rsidRPr="005375B8" w:rsidRDefault="00B578D6" w:rsidP="00997A49">
            <w:pPr>
              <w:contextualSpacing/>
              <w:jc w:val="right"/>
              <w:rPr>
                <w:sz w:val="16"/>
                <w:szCs w:val="16"/>
              </w:rPr>
            </w:pPr>
            <w:r w:rsidRPr="005375B8">
              <w:rPr>
                <w:sz w:val="16"/>
                <w:szCs w:val="16"/>
              </w:rPr>
              <w:t>170</w:t>
            </w:r>
          </w:p>
          <w:p w:rsidR="00B578D6" w:rsidRPr="005375B8" w:rsidRDefault="00B578D6" w:rsidP="00997A49">
            <w:pPr>
              <w:contextualSpacing/>
              <w:jc w:val="right"/>
              <w:rPr>
                <w:sz w:val="16"/>
                <w:szCs w:val="16"/>
              </w:rPr>
            </w:pPr>
            <w:r w:rsidRPr="005375B8">
              <w:rPr>
                <w:sz w:val="16"/>
                <w:szCs w:val="16"/>
              </w:rPr>
              <w:t>195</w:t>
            </w:r>
          </w:p>
        </w:tc>
        <w:tc>
          <w:tcPr>
            <w:tcW w:w="1067"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693</w:t>
            </w:r>
          </w:p>
          <w:p w:rsidR="00B578D6" w:rsidRPr="005375B8" w:rsidRDefault="00B578D6" w:rsidP="00997A49">
            <w:pPr>
              <w:contextualSpacing/>
              <w:jc w:val="right"/>
              <w:rPr>
                <w:sz w:val="16"/>
                <w:szCs w:val="16"/>
              </w:rPr>
            </w:pPr>
            <w:r w:rsidRPr="005375B8">
              <w:rPr>
                <w:sz w:val="16"/>
                <w:szCs w:val="16"/>
              </w:rPr>
              <w:t>2,218</w:t>
            </w:r>
          </w:p>
          <w:p w:rsidR="00B578D6" w:rsidRPr="005375B8" w:rsidRDefault="00B578D6" w:rsidP="00997A49">
            <w:pPr>
              <w:contextualSpacing/>
              <w:jc w:val="right"/>
              <w:rPr>
                <w:sz w:val="16"/>
                <w:szCs w:val="16"/>
              </w:rPr>
            </w:pPr>
            <w:r w:rsidRPr="005375B8">
              <w:rPr>
                <w:sz w:val="16"/>
                <w:szCs w:val="16"/>
              </w:rPr>
              <w:t>207</w:t>
            </w:r>
          </w:p>
          <w:p w:rsidR="00B578D6" w:rsidRPr="005375B8" w:rsidRDefault="00B578D6" w:rsidP="00997A49">
            <w:pPr>
              <w:contextualSpacing/>
              <w:jc w:val="right"/>
              <w:rPr>
                <w:sz w:val="16"/>
                <w:szCs w:val="16"/>
              </w:rPr>
            </w:pPr>
            <w:r w:rsidRPr="005375B8">
              <w:rPr>
                <w:sz w:val="16"/>
                <w:szCs w:val="16"/>
              </w:rPr>
              <w:t>207</w:t>
            </w:r>
          </w:p>
        </w:tc>
        <w:tc>
          <w:tcPr>
            <w:tcW w:w="900"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595</w:t>
            </w:r>
          </w:p>
          <w:p w:rsidR="00B578D6" w:rsidRPr="005375B8" w:rsidRDefault="00B578D6" w:rsidP="00997A49">
            <w:pPr>
              <w:contextualSpacing/>
              <w:jc w:val="right"/>
              <w:rPr>
                <w:sz w:val="16"/>
                <w:szCs w:val="16"/>
              </w:rPr>
            </w:pPr>
            <w:r w:rsidRPr="005375B8">
              <w:rPr>
                <w:sz w:val="16"/>
                <w:szCs w:val="16"/>
              </w:rPr>
              <w:t>2,242</w:t>
            </w:r>
          </w:p>
          <w:p w:rsidR="00B578D6" w:rsidRPr="005375B8" w:rsidRDefault="00B578D6" w:rsidP="00997A49">
            <w:pPr>
              <w:contextualSpacing/>
              <w:jc w:val="right"/>
              <w:rPr>
                <w:sz w:val="16"/>
                <w:szCs w:val="16"/>
              </w:rPr>
            </w:pPr>
            <w:r w:rsidRPr="005375B8">
              <w:rPr>
                <w:sz w:val="16"/>
                <w:szCs w:val="16"/>
              </w:rPr>
              <w:t>246</w:t>
            </w:r>
          </w:p>
          <w:p w:rsidR="00B578D6" w:rsidRPr="005375B8" w:rsidRDefault="00B578D6" w:rsidP="00997A49">
            <w:pPr>
              <w:contextualSpacing/>
              <w:jc w:val="right"/>
              <w:rPr>
                <w:sz w:val="16"/>
                <w:szCs w:val="16"/>
              </w:rPr>
            </w:pPr>
            <w:r w:rsidRPr="005375B8">
              <w:rPr>
                <w:sz w:val="16"/>
                <w:szCs w:val="16"/>
              </w:rPr>
              <w:t>208</w:t>
            </w:r>
          </w:p>
        </w:tc>
        <w:tc>
          <w:tcPr>
            <w:tcW w:w="1016" w:type="dxa"/>
            <w:noWrap/>
            <w:vAlign w:val="center"/>
          </w:tcPr>
          <w:p w:rsidR="00B578D6" w:rsidRPr="005375B8" w:rsidRDefault="00B578D6"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395</w:t>
            </w:r>
          </w:p>
          <w:p w:rsidR="00B578D6" w:rsidRPr="005375B8" w:rsidRDefault="00B578D6" w:rsidP="00997A49">
            <w:pPr>
              <w:contextualSpacing/>
              <w:jc w:val="right"/>
              <w:rPr>
                <w:sz w:val="16"/>
                <w:szCs w:val="16"/>
              </w:rPr>
            </w:pPr>
            <w:r w:rsidRPr="005375B8">
              <w:rPr>
                <w:sz w:val="16"/>
                <w:szCs w:val="16"/>
              </w:rPr>
              <w:t>2,136</w:t>
            </w:r>
          </w:p>
          <w:p w:rsidR="00B578D6" w:rsidRPr="005375B8" w:rsidRDefault="00B578D6" w:rsidP="00997A49">
            <w:pPr>
              <w:contextualSpacing/>
              <w:jc w:val="right"/>
              <w:rPr>
                <w:sz w:val="16"/>
                <w:szCs w:val="16"/>
              </w:rPr>
            </w:pPr>
            <w:r w:rsidRPr="005375B8">
              <w:rPr>
                <w:sz w:val="16"/>
                <w:szCs w:val="16"/>
              </w:rPr>
              <w:t>270</w:t>
            </w:r>
          </w:p>
          <w:p w:rsidR="00B578D6" w:rsidRPr="005375B8" w:rsidRDefault="00B578D6" w:rsidP="00997A49">
            <w:pPr>
              <w:contextualSpacing/>
              <w:jc w:val="right"/>
              <w:rPr>
                <w:sz w:val="16"/>
                <w:szCs w:val="16"/>
              </w:rPr>
            </w:pPr>
            <w:r w:rsidRPr="005375B8">
              <w:rPr>
                <w:sz w:val="16"/>
                <w:szCs w:val="16"/>
              </w:rPr>
              <w:t>222</w:t>
            </w:r>
          </w:p>
        </w:tc>
        <w:tc>
          <w:tcPr>
            <w:tcW w:w="891" w:type="dxa"/>
            <w:vAlign w:val="center"/>
          </w:tcPr>
          <w:p w:rsidR="00B578D6" w:rsidRPr="005375B8" w:rsidRDefault="00B578D6"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424</w:t>
            </w:r>
          </w:p>
          <w:p w:rsidR="00B578D6" w:rsidRPr="005375B8" w:rsidRDefault="00B578D6" w:rsidP="00997A49">
            <w:pPr>
              <w:contextualSpacing/>
              <w:jc w:val="right"/>
              <w:rPr>
                <w:sz w:val="16"/>
                <w:szCs w:val="16"/>
              </w:rPr>
            </w:pPr>
            <w:r w:rsidRPr="005375B8">
              <w:rPr>
                <w:sz w:val="16"/>
                <w:szCs w:val="16"/>
              </w:rPr>
              <w:t>2,163</w:t>
            </w:r>
          </w:p>
          <w:p w:rsidR="00B578D6" w:rsidRPr="005375B8" w:rsidRDefault="00B578D6" w:rsidP="00997A49">
            <w:pPr>
              <w:contextualSpacing/>
              <w:jc w:val="right"/>
              <w:rPr>
                <w:sz w:val="16"/>
                <w:szCs w:val="16"/>
              </w:rPr>
            </w:pPr>
            <w:r w:rsidRPr="005375B8">
              <w:rPr>
                <w:sz w:val="16"/>
                <w:szCs w:val="16"/>
              </w:rPr>
              <w:t>245</w:t>
            </w:r>
          </w:p>
          <w:p w:rsidR="00B578D6" w:rsidRPr="005375B8" w:rsidRDefault="00B578D6" w:rsidP="00997A49">
            <w:pPr>
              <w:contextualSpacing/>
              <w:jc w:val="right"/>
              <w:rPr>
                <w:sz w:val="16"/>
                <w:szCs w:val="16"/>
              </w:rPr>
            </w:pPr>
            <w:r w:rsidRPr="005375B8">
              <w:rPr>
                <w:sz w:val="16"/>
                <w:szCs w:val="16"/>
              </w:rPr>
              <w:t>248</w:t>
            </w:r>
          </w:p>
        </w:tc>
        <w:tc>
          <w:tcPr>
            <w:tcW w:w="1076"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Pr>
                <w:sz w:val="16"/>
                <w:szCs w:val="16"/>
              </w:rPr>
              <w:t>812</w:t>
            </w: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Pr>
                <w:sz w:val="16"/>
                <w:szCs w:val="16"/>
              </w:rPr>
              <w:t>338</w:t>
            </w:r>
          </w:p>
          <w:p w:rsidR="00B578D6" w:rsidRPr="005375B8" w:rsidRDefault="00B578D6" w:rsidP="00997A49">
            <w:pPr>
              <w:contextualSpacing/>
              <w:jc w:val="right"/>
              <w:rPr>
                <w:sz w:val="16"/>
                <w:szCs w:val="16"/>
              </w:rPr>
            </w:pPr>
            <w:r>
              <w:rPr>
                <w:sz w:val="16"/>
                <w:szCs w:val="16"/>
              </w:rPr>
              <w:t>245</w:t>
            </w:r>
          </w:p>
        </w:tc>
        <w:tc>
          <w:tcPr>
            <w:tcW w:w="803"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sidRPr="005375B8">
              <w:rPr>
                <w:sz w:val="16"/>
                <w:szCs w:val="16"/>
              </w:rPr>
              <w:t>N/A</w:t>
            </w:r>
          </w:p>
          <w:p w:rsidR="00B578D6" w:rsidRPr="005375B8" w:rsidRDefault="00B578D6" w:rsidP="00997A49">
            <w:pPr>
              <w:contextualSpacing/>
              <w:jc w:val="right"/>
              <w:rPr>
                <w:sz w:val="16"/>
                <w:szCs w:val="16"/>
              </w:rPr>
            </w:pPr>
            <w:r w:rsidRPr="005375B8">
              <w:rPr>
                <w:sz w:val="16"/>
                <w:szCs w:val="16"/>
              </w:rPr>
              <w:t>N/A</w:t>
            </w:r>
          </w:p>
        </w:tc>
        <w:tc>
          <w:tcPr>
            <w:tcW w:w="833" w:type="dxa"/>
            <w:vAlign w:val="center"/>
          </w:tcPr>
          <w:p w:rsidR="00B578D6" w:rsidRPr="005663C4" w:rsidRDefault="00B578D6" w:rsidP="00997A49">
            <w:pPr>
              <w:contextualSpacing/>
              <w:jc w:val="right"/>
              <w:rPr>
                <w:sz w:val="16"/>
                <w:szCs w:val="16"/>
              </w:rPr>
            </w:pPr>
          </w:p>
          <w:p w:rsidR="00B578D6" w:rsidRPr="005663C4" w:rsidRDefault="00B578D6" w:rsidP="00997A49">
            <w:pPr>
              <w:contextualSpacing/>
              <w:jc w:val="right"/>
              <w:rPr>
                <w:sz w:val="16"/>
                <w:szCs w:val="16"/>
              </w:rPr>
            </w:pPr>
            <w:r w:rsidRPr="005663C4">
              <w:rPr>
                <w:sz w:val="16"/>
                <w:szCs w:val="16"/>
              </w:rPr>
              <w:t>N/A</w:t>
            </w:r>
          </w:p>
          <w:p w:rsidR="00B578D6" w:rsidRPr="005663C4" w:rsidRDefault="00B578D6" w:rsidP="00997A49">
            <w:pPr>
              <w:contextualSpacing/>
              <w:jc w:val="right"/>
              <w:rPr>
                <w:sz w:val="16"/>
                <w:szCs w:val="16"/>
              </w:rPr>
            </w:pPr>
            <w:r w:rsidRPr="005663C4">
              <w:rPr>
                <w:sz w:val="16"/>
                <w:szCs w:val="16"/>
              </w:rPr>
              <w:t>N/A</w:t>
            </w:r>
          </w:p>
          <w:p w:rsidR="00B578D6" w:rsidRPr="005663C4" w:rsidRDefault="00B578D6" w:rsidP="00997A49">
            <w:pPr>
              <w:contextualSpacing/>
              <w:jc w:val="right"/>
              <w:rPr>
                <w:sz w:val="16"/>
                <w:szCs w:val="16"/>
              </w:rPr>
            </w:pPr>
            <w:r w:rsidRPr="005663C4">
              <w:rPr>
                <w:sz w:val="16"/>
                <w:szCs w:val="16"/>
              </w:rPr>
              <w:t>N/A</w:t>
            </w:r>
          </w:p>
          <w:p w:rsidR="00B578D6" w:rsidRPr="005663C4" w:rsidRDefault="00B578D6" w:rsidP="00997A49">
            <w:pPr>
              <w:contextualSpacing/>
              <w:jc w:val="right"/>
              <w:rPr>
                <w:sz w:val="16"/>
                <w:szCs w:val="16"/>
              </w:rPr>
            </w:pPr>
            <w:r w:rsidRPr="005663C4">
              <w:rPr>
                <w:sz w:val="16"/>
                <w:szCs w:val="16"/>
              </w:rPr>
              <w:t>N/A</w:t>
            </w:r>
          </w:p>
        </w:tc>
      </w:tr>
      <w:tr w:rsidR="00B578D6" w:rsidRPr="005375B8" w:rsidTr="00997A49">
        <w:trPr>
          <w:trHeight w:val="350"/>
        </w:trPr>
        <w:tc>
          <w:tcPr>
            <w:tcW w:w="1728" w:type="dxa"/>
            <w:vAlign w:val="center"/>
          </w:tcPr>
          <w:p w:rsidR="00B578D6" w:rsidRPr="005375B8" w:rsidRDefault="00B578D6" w:rsidP="00997A49">
            <w:pPr>
              <w:contextualSpacing/>
              <w:rPr>
                <w:b/>
                <w:bCs/>
                <w:sz w:val="16"/>
                <w:szCs w:val="16"/>
              </w:rPr>
            </w:pPr>
            <w:r w:rsidRPr="005375B8">
              <w:rPr>
                <w:b/>
                <w:bCs/>
                <w:sz w:val="16"/>
                <w:szCs w:val="16"/>
              </w:rPr>
              <w:t xml:space="preserve">Efficiency Measure </w:t>
            </w:r>
          </w:p>
        </w:tc>
        <w:tc>
          <w:tcPr>
            <w:tcW w:w="2848" w:type="dxa"/>
            <w:noWrap/>
            <w:vAlign w:val="center"/>
          </w:tcPr>
          <w:p w:rsidR="00B578D6" w:rsidRPr="005375B8" w:rsidRDefault="00B578D6" w:rsidP="00997A49">
            <w:pPr>
              <w:pStyle w:val="BodyText2"/>
              <w:tabs>
                <w:tab w:val="left" w:pos="279"/>
              </w:tabs>
              <w:contextualSpacing/>
              <w:rPr>
                <w:sz w:val="16"/>
                <w:szCs w:val="16"/>
              </w:rPr>
            </w:pPr>
            <w:r w:rsidRPr="005375B8">
              <w:rPr>
                <w:sz w:val="16"/>
                <w:szCs w:val="16"/>
              </w:rPr>
              <w:t>% of FBI OCDETF Investigations with links to CPOT-linked DTOs</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885"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N/A</w:t>
            </w:r>
          </w:p>
        </w:tc>
        <w:tc>
          <w:tcPr>
            <w:tcW w:w="977" w:type="dxa"/>
            <w:noWrap/>
            <w:vAlign w:val="center"/>
          </w:tcPr>
          <w:p w:rsidR="00B578D6" w:rsidRPr="005375B8" w:rsidRDefault="00B578D6" w:rsidP="00997A49">
            <w:pPr>
              <w:tabs>
                <w:tab w:val="left" w:pos="-1440"/>
              </w:tabs>
              <w:contextualSpacing/>
              <w:jc w:val="right"/>
              <w:rPr>
                <w:sz w:val="16"/>
                <w:szCs w:val="16"/>
              </w:rPr>
            </w:pPr>
            <w:r w:rsidRPr="005375B8">
              <w:rPr>
                <w:sz w:val="16"/>
                <w:szCs w:val="16"/>
              </w:rPr>
              <w:t>11%</w:t>
            </w:r>
          </w:p>
        </w:tc>
        <w:tc>
          <w:tcPr>
            <w:tcW w:w="898" w:type="dxa"/>
            <w:noWrap/>
            <w:vAlign w:val="center"/>
          </w:tcPr>
          <w:p w:rsidR="00B578D6" w:rsidRPr="005375B8" w:rsidRDefault="00B578D6" w:rsidP="00997A49">
            <w:pPr>
              <w:contextualSpacing/>
              <w:jc w:val="right"/>
              <w:rPr>
                <w:sz w:val="16"/>
                <w:szCs w:val="16"/>
              </w:rPr>
            </w:pPr>
            <w:r w:rsidRPr="005375B8">
              <w:rPr>
                <w:sz w:val="16"/>
                <w:szCs w:val="16"/>
              </w:rPr>
              <w:t>13%</w:t>
            </w:r>
          </w:p>
        </w:tc>
        <w:tc>
          <w:tcPr>
            <w:tcW w:w="1067" w:type="dxa"/>
            <w:vAlign w:val="center"/>
          </w:tcPr>
          <w:p w:rsidR="00B578D6" w:rsidRPr="005375B8" w:rsidRDefault="00B578D6" w:rsidP="00997A49">
            <w:pPr>
              <w:contextualSpacing/>
              <w:jc w:val="right"/>
              <w:rPr>
                <w:sz w:val="16"/>
                <w:szCs w:val="16"/>
              </w:rPr>
            </w:pPr>
            <w:r w:rsidRPr="005375B8">
              <w:rPr>
                <w:sz w:val="16"/>
                <w:szCs w:val="16"/>
              </w:rPr>
              <w:t>14%</w:t>
            </w:r>
          </w:p>
        </w:tc>
        <w:tc>
          <w:tcPr>
            <w:tcW w:w="900" w:type="dxa"/>
            <w:noWrap/>
            <w:vAlign w:val="center"/>
          </w:tcPr>
          <w:p w:rsidR="00B578D6" w:rsidRPr="005375B8" w:rsidRDefault="00B578D6" w:rsidP="00997A49">
            <w:pPr>
              <w:contextualSpacing/>
              <w:jc w:val="right"/>
              <w:rPr>
                <w:sz w:val="16"/>
                <w:szCs w:val="16"/>
              </w:rPr>
            </w:pPr>
            <w:r w:rsidRPr="005375B8">
              <w:rPr>
                <w:sz w:val="16"/>
                <w:szCs w:val="16"/>
              </w:rPr>
              <w:t>15.47%</w:t>
            </w:r>
          </w:p>
        </w:tc>
        <w:tc>
          <w:tcPr>
            <w:tcW w:w="1016" w:type="dxa"/>
            <w:noWrap/>
            <w:vAlign w:val="center"/>
          </w:tcPr>
          <w:p w:rsidR="00B578D6" w:rsidRPr="005375B8" w:rsidRDefault="00B578D6" w:rsidP="00997A49">
            <w:pPr>
              <w:contextualSpacing/>
              <w:jc w:val="right"/>
              <w:rPr>
                <w:sz w:val="16"/>
                <w:szCs w:val="16"/>
              </w:rPr>
            </w:pPr>
            <w:r w:rsidRPr="005375B8">
              <w:rPr>
                <w:sz w:val="16"/>
                <w:szCs w:val="16"/>
              </w:rPr>
              <w:t>14%</w:t>
            </w:r>
          </w:p>
        </w:tc>
        <w:tc>
          <w:tcPr>
            <w:tcW w:w="891" w:type="dxa"/>
            <w:vAlign w:val="center"/>
          </w:tcPr>
          <w:p w:rsidR="00B578D6" w:rsidRPr="005375B8" w:rsidRDefault="00B578D6" w:rsidP="00997A49">
            <w:pPr>
              <w:contextualSpacing/>
              <w:jc w:val="right"/>
              <w:rPr>
                <w:sz w:val="16"/>
                <w:szCs w:val="16"/>
              </w:rPr>
            </w:pPr>
            <w:r w:rsidRPr="005375B8">
              <w:rPr>
                <w:sz w:val="16"/>
                <w:szCs w:val="16"/>
              </w:rPr>
              <w:t>15.89%</w:t>
            </w:r>
          </w:p>
        </w:tc>
        <w:tc>
          <w:tcPr>
            <w:tcW w:w="1076" w:type="dxa"/>
            <w:vAlign w:val="center"/>
          </w:tcPr>
          <w:p w:rsidR="00B578D6" w:rsidRPr="005375B8" w:rsidRDefault="00B578D6" w:rsidP="00997A49">
            <w:pPr>
              <w:contextualSpacing/>
              <w:jc w:val="right"/>
              <w:rPr>
                <w:sz w:val="16"/>
                <w:szCs w:val="16"/>
              </w:rPr>
            </w:pPr>
            <w:r w:rsidRPr="00F53EF4">
              <w:rPr>
                <w:sz w:val="16"/>
                <w:szCs w:val="16"/>
              </w:rPr>
              <w:t>16.35%</w:t>
            </w:r>
          </w:p>
        </w:tc>
        <w:tc>
          <w:tcPr>
            <w:tcW w:w="803" w:type="dxa"/>
            <w:vAlign w:val="center"/>
          </w:tcPr>
          <w:p w:rsidR="00B578D6" w:rsidRPr="005375B8" w:rsidRDefault="00B578D6" w:rsidP="00997A49">
            <w:pPr>
              <w:contextualSpacing/>
              <w:jc w:val="right"/>
              <w:rPr>
                <w:sz w:val="16"/>
                <w:szCs w:val="16"/>
              </w:rPr>
            </w:pPr>
            <w:r w:rsidRPr="005375B8">
              <w:rPr>
                <w:sz w:val="16"/>
                <w:szCs w:val="16"/>
              </w:rPr>
              <w:t>12%</w:t>
            </w:r>
          </w:p>
        </w:tc>
        <w:tc>
          <w:tcPr>
            <w:tcW w:w="833" w:type="dxa"/>
            <w:vAlign w:val="center"/>
          </w:tcPr>
          <w:p w:rsidR="00B578D6" w:rsidRPr="005663C4" w:rsidRDefault="00B578D6" w:rsidP="00997A49">
            <w:pPr>
              <w:contextualSpacing/>
              <w:jc w:val="right"/>
              <w:rPr>
                <w:sz w:val="16"/>
                <w:szCs w:val="16"/>
              </w:rPr>
            </w:pPr>
            <w:r>
              <w:rPr>
                <w:sz w:val="16"/>
                <w:szCs w:val="16"/>
              </w:rPr>
              <w:t>12</w:t>
            </w:r>
            <w:r w:rsidRPr="005663C4">
              <w:rPr>
                <w:sz w:val="16"/>
                <w:szCs w:val="16"/>
              </w:rPr>
              <w:t>%</w:t>
            </w:r>
          </w:p>
        </w:tc>
      </w:tr>
      <w:tr w:rsidR="00B578D6" w:rsidRPr="005375B8" w:rsidTr="00997A49">
        <w:trPr>
          <w:trHeight w:val="413"/>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pStyle w:val="BodyText2"/>
              <w:tabs>
                <w:tab w:val="left" w:pos="279"/>
              </w:tabs>
              <w:contextualSpacing/>
              <w:rPr>
                <w:sz w:val="16"/>
                <w:szCs w:val="16"/>
              </w:rPr>
            </w:pPr>
            <w:r w:rsidRPr="005375B8">
              <w:rPr>
                <w:sz w:val="16"/>
                <w:szCs w:val="16"/>
              </w:rPr>
              <w:t xml:space="preserve">CPOT-Linked DTOs </w:t>
            </w:r>
          </w:p>
          <w:p w:rsidR="00B578D6" w:rsidRPr="005375B8" w:rsidRDefault="00B578D6" w:rsidP="00997A49">
            <w:pPr>
              <w:pStyle w:val="BodyText2"/>
              <w:numPr>
                <w:ilvl w:val="0"/>
                <w:numId w:val="52"/>
              </w:numPr>
              <w:tabs>
                <w:tab w:val="clear" w:pos="360"/>
                <w:tab w:val="left" w:pos="99"/>
              </w:tabs>
              <w:contextualSpacing/>
              <w:rPr>
                <w:sz w:val="16"/>
                <w:szCs w:val="16"/>
              </w:rPr>
            </w:pPr>
            <w:r w:rsidRPr="005375B8">
              <w:rPr>
                <w:sz w:val="16"/>
                <w:szCs w:val="16"/>
              </w:rPr>
              <w:t>Disruptions</w:t>
            </w:r>
          </w:p>
          <w:p w:rsidR="00B578D6" w:rsidRPr="005375B8" w:rsidRDefault="00B578D6" w:rsidP="00997A49">
            <w:pPr>
              <w:pStyle w:val="BodyText2"/>
              <w:numPr>
                <w:ilvl w:val="0"/>
                <w:numId w:val="52"/>
              </w:numPr>
              <w:tabs>
                <w:tab w:val="clear" w:pos="360"/>
                <w:tab w:val="left" w:pos="99"/>
              </w:tabs>
              <w:contextualSpacing/>
              <w:rPr>
                <w:sz w:val="16"/>
                <w:szCs w:val="16"/>
              </w:rPr>
            </w:pPr>
            <w:proofErr w:type="spellStart"/>
            <w:r w:rsidRPr="005375B8">
              <w:rPr>
                <w:sz w:val="16"/>
                <w:szCs w:val="16"/>
              </w:rPr>
              <w:t>Dismantlements</w:t>
            </w:r>
            <w:proofErr w:type="spellEnd"/>
          </w:p>
        </w:tc>
        <w:tc>
          <w:tcPr>
            <w:tcW w:w="885"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41</w:t>
            </w:r>
          </w:p>
          <w:p w:rsidR="00B578D6" w:rsidRPr="005375B8" w:rsidRDefault="00B578D6" w:rsidP="00997A49">
            <w:pPr>
              <w:contextualSpacing/>
              <w:jc w:val="right"/>
              <w:rPr>
                <w:sz w:val="16"/>
                <w:szCs w:val="16"/>
              </w:rPr>
            </w:pPr>
            <w:r w:rsidRPr="005375B8">
              <w:rPr>
                <w:sz w:val="16"/>
                <w:szCs w:val="16"/>
              </w:rPr>
              <w:t>15</w:t>
            </w:r>
          </w:p>
        </w:tc>
        <w:tc>
          <w:tcPr>
            <w:tcW w:w="885"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27</w:t>
            </w:r>
          </w:p>
          <w:p w:rsidR="00B578D6" w:rsidRPr="005375B8" w:rsidRDefault="00B578D6" w:rsidP="00997A49">
            <w:pPr>
              <w:contextualSpacing/>
              <w:jc w:val="right"/>
              <w:rPr>
                <w:sz w:val="16"/>
                <w:szCs w:val="16"/>
              </w:rPr>
            </w:pPr>
            <w:r w:rsidRPr="005375B8">
              <w:rPr>
                <w:sz w:val="16"/>
                <w:szCs w:val="16"/>
              </w:rPr>
              <w:t>12</w:t>
            </w:r>
          </w:p>
        </w:tc>
        <w:tc>
          <w:tcPr>
            <w:tcW w:w="977"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25</w:t>
            </w:r>
          </w:p>
          <w:p w:rsidR="00B578D6" w:rsidRPr="005375B8" w:rsidRDefault="00B578D6" w:rsidP="00997A49">
            <w:pPr>
              <w:contextualSpacing/>
              <w:jc w:val="right"/>
              <w:rPr>
                <w:sz w:val="16"/>
                <w:szCs w:val="16"/>
              </w:rPr>
            </w:pPr>
            <w:r w:rsidRPr="005375B8">
              <w:rPr>
                <w:sz w:val="16"/>
                <w:szCs w:val="16"/>
              </w:rPr>
              <w:t>18</w:t>
            </w:r>
          </w:p>
        </w:tc>
        <w:tc>
          <w:tcPr>
            <w:tcW w:w="898"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36</w:t>
            </w:r>
          </w:p>
          <w:p w:rsidR="00B578D6" w:rsidRPr="005375B8" w:rsidRDefault="00B578D6" w:rsidP="00997A49">
            <w:pPr>
              <w:contextualSpacing/>
              <w:jc w:val="right"/>
              <w:rPr>
                <w:sz w:val="16"/>
                <w:szCs w:val="16"/>
              </w:rPr>
            </w:pPr>
            <w:r w:rsidRPr="005375B8">
              <w:rPr>
                <w:sz w:val="16"/>
                <w:szCs w:val="16"/>
              </w:rPr>
              <w:t>17</w:t>
            </w:r>
          </w:p>
        </w:tc>
        <w:tc>
          <w:tcPr>
            <w:tcW w:w="1067"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45</w:t>
            </w:r>
          </w:p>
          <w:p w:rsidR="00B578D6" w:rsidRPr="005375B8" w:rsidRDefault="00B578D6" w:rsidP="00997A49">
            <w:pPr>
              <w:contextualSpacing/>
              <w:jc w:val="right"/>
              <w:rPr>
                <w:sz w:val="16"/>
                <w:szCs w:val="16"/>
              </w:rPr>
            </w:pPr>
            <w:r w:rsidRPr="005375B8">
              <w:rPr>
                <w:sz w:val="16"/>
                <w:szCs w:val="16"/>
              </w:rPr>
              <w:t>15</w:t>
            </w:r>
          </w:p>
        </w:tc>
        <w:tc>
          <w:tcPr>
            <w:tcW w:w="900"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50</w:t>
            </w:r>
          </w:p>
          <w:p w:rsidR="00B578D6" w:rsidRPr="005375B8" w:rsidRDefault="00B578D6" w:rsidP="00997A49">
            <w:pPr>
              <w:contextualSpacing/>
              <w:jc w:val="right"/>
              <w:rPr>
                <w:sz w:val="16"/>
                <w:szCs w:val="16"/>
              </w:rPr>
            </w:pPr>
            <w:r w:rsidRPr="005375B8">
              <w:rPr>
                <w:sz w:val="16"/>
                <w:szCs w:val="16"/>
              </w:rPr>
              <w:t>18</w:t>
            </w:r>
          </w:p>
        </w:tc>
        <w:tc>
          <w:tcPr>
            <w:tcW w:w="1016" w:type="dxa"/>
            <w:noWrap/>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35</w:t>
            </w:r>
          </w:p>
          <w:p w:rsidR="00B578D6" w:rsidRPr="005375B8" w:rsidRDefault="00B578D6" w:rsidP="00997A49">
            <w:pPr>
              <w:contextualSpacing/>
              <w:jc w:val="right"/>
              <w:rPr>
                <w:sz w:val="16"/>
                <w:szCs w:val="16"/>
              </w:rPr>
            </w:pPr>
            <w:r w:rsidRPr="005375B8">
              <w:rPr>
                <w:sz w:val="16"/>
                <w:szCs w:val="16"/>
              </w:rPr>
              <w:t>20</w:t>
            </w:r>
          </w:p>
        </w:tc>
        <w:tc>
          <w:tcPr>
            <w:tcW w:w="891"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40</w:t>
            </w:r>
          </w:p>
          <w:p w:rsidR="00B578D6" w:rsidRPr="005375B8" w:rsidRDefault="00B578D6" w:rsidP="00997A49">
            <w:pPr>
              <w:contextualSpacing/>
              <w:jc w:val="right"/>
              <w:rPr>
                <w:sz w:val="16"/>
                <w:szCs w:val="16"/>
              </w:rPr>
            </w:pPr>
            <w:r w:rsidRPr="005375B8">
              <w:rPr>
                <w:sz w:val="16"/>
                <w:szCs w:val="16"/>
              </w:rPr>
              <w:t>12</w:t>
            </w:r>
          </w:p>
        </w:tc>
        <w:tc>
          <w:tcPr>
            <w:tcW w:w="1076"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Pr>
                <w:sz w:val="16"/>
                <w:szCs w:val="16"/>
              </w:rPr>
              <w:t>50</w:t>
            </w:r>
          </w:p>
          <w:p w:rsidR="00B578D6" w:rsidRPr="005375B8" w:rsidRDefault="00B578D6" w:rsidP="00997A49">
            <w:pPr>
              <w:contextualSpacing/>
              <w:jc w:val="right"/>
              <w:rPr>
                <w:sz w:val="16"/>
                <w:szCs w:val="16"/>
              </w:rPr>
            </w:pPr>
            <w:r>
              <w:rPr>
                <w:sz w:val="16"/>
                <w:szCs w:val="16"/>
              </w:rPr>
              <w:t>22</w:t>
            </w:r>
          </w:p>
        </w:tc>
        <w:tc>
          <w:tcPr>
            <w:tcW w:w="803" w:type="dxa"/>
            <w:vAlign w:val="center"/>
          </w:tcPr>
          <w:p w:rsidR="00997A49" w:rsidRDefault="00997A49" w:rsidP="00997A49">
            <w:pPr>
              <w:contextualSpacing/>
              <w:jc w:val="right"/>
              <w:rPr>
                <w:sz w:val="16"/>
                <w:szCs w:val="16"/>
              </w:rPr>
            </w:pPr>
          </w:p>
          <w:p w:rsidR="00B578D6" w:rsidRPr="005375B8" w:rsidRDefault="00B578D6" w:rsidP="00997A49">
            <w:pPr>
              <w:contextualSpacing/>
              <w:jc w:val="right"/>
              <w:rPr>
                <w:sz w:val="16"/>
                <w:szCs w:val="16"/>
              </w:rPr>
            </w:pPr>
            <w:r w:rsidRPr="005375B8">
              <w:rPr>
                <w:sz w:val="16"/>
                <w:szCs w:val="16"/>
              </w:rPr>
              <w:t>30</w:t>
            </w:r>
          </w:p>
          <w:p w:rsidR="00B578D6" w:rsidRPr="005375B8" w:rsidRDefault="00B578D6" w:rsidP="00997A49">
            <w:pPr>
              <w:contextualSpacing/>
              <w:jc w:val="right"/>
              <w:rPr>
                <w:sz w:val="16"/>
                <w:szCs w:val="16"/>
              </w:rPr>
            </w:pPr>
            <w:r w:rsidRPr="005375B8">
              <w:rPr>
                <w:sz w:val="16"/>
                <w:szCs w:val="16"/>
              </w:rPr>
              <w:t>15</w:t>
            </w:r>
          </w:p>
        </w:tc>
        <w:tc>
          <w:tcPr>
            <w:tcW w:w="833" w:type="dxa"/>
            <w:vAlign w:val="center"/>
          </w:tcPr>
          <w:p w:rsidR="00997A49" w:rsidRDefault="00997A49" w:rsidP="00997A49">
            <w:pPr>
              <w:contextualSpacing/>
              <w:jc w:val="right"/>
              <w:rPr>
                <w:sz w:val="16"/>
                <w:szCs w:val="16"/>
              </w:rPr>
            </w:pPr>
          </w:p>
          <w:p w:rsidR="00B578D6" w:rsidRPr="005663C4" w:rsidRDefault="00B578D6" w:rsidP="00997A49">
            <w:pPr>
              <w:contextualSpacing/>
              <w:jc w:val="right"/>
              <w:rPr>
                <w:sz w:val="16"/>
                <w:szCs w:val="16"/>
              </w:rPr>
            </w:pPr>
            <w:r>
              <w:rPr>
                <w:sz w:val="16"/>
                <w:szCs w:val="16"/>
              </w:rPr>
              <w:t>30</w:t>
            </w:r>
          </w:p>
          <w:p w:rsidR="00B578D6" w:rsidRPr="005663C4" w:rsidRDefault="00B578D6" w:rsidP="00997A49">
            <w:pPr>
              <w:contextualSpacing/>
              <w:jc w:val="right"/>
              <w:rPr>
                <w:sz w:val="16"/>
                <w:szCs w:val="16"/>
              </w:rPr>
            </w:pPr>
            <w:r>
              <w:rPr>
                <w:sz w:val="16"/>
                <w:szCs w:val="16"/>
              </w:rPr>
              <w:t>15</w:t>
            </w:r>
          </w:p>
        </w:tc>
      </w:tr>
      <w:tr w:rsidR="00B578D6" w:rsidRPr="005375B8" w:rsidTr="00997A49">
        <w:trPr>
          <w:trHeight w:val="287"/>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pStyle w:val="BodyText2"/>
              <w:contextualSpacing/>
              <w:rPr>
                <w:sz w:val="16"/>
                <w:szCs w:val="16"/>
              </w:rPr>
            </w:pPr>
            <w:r w:rsidRPr="005375B8">
              <w:rPr>
                <w:sz w:val="16"/>
                <w:szCs w:val="16"/>
              </w:rPr>
              <w:t xml:space="preserve">Number of Organized Criminal Enterprise </w:t>
            </w:r>
            <w:proofErr w:type="spellStart"/>
            <w:r w:rsidRPr="005375B8">
              <w:rPr>
                <w:sz w:val="16"/>
                <w:szCs w:val="16"/>
              </w:rPr>
              <w:t>Dismantlements</w:t>
            </w:r>
            <w:proofErr w:type="spellEnd"/>
          </w:p>
        </w:tc>
        <w:tc>
          <w:tcPr>
            <w:tcW w:w="885" w:type="dxa"/>
            <w:noWrap/>
            <w:vAlign w:val="center"/>
          </w:tcPr>
          <w:p w:rsidR="00B578D6" w:rsidRPr="005375B8" w:rsidRDefault="00B578D6" w:rsidP="00997A49">
            <w:pPr>
              <w:contextualSpacing/>
              <w:jc w:val="right"/>
              <w:rPr>
                <w:sz w:val="16"/>
                <w:szCs w:val="16"/>
              </w:rPr>
            </w:pPr>
            <w:r w:rsidRPr="005375B8">
              <w:rPr>
                <w:sz w:val="16"/>
                <w:szCs w:val="16"/>
              </w:rPr>
              <w:t>17</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29</w:t>
            </w:r>
          </w:p>
        </w:tc>
        <w:tc>
          <w:tcPr>
            <w:tcW w:w="977" w:type="dxa"/>
            <w:noWrap/>
            <w:vAlign w:val="center"/>
          </w:tcPr>
          <w:p w:rsidR="00B578D6" w:rsidRPr="005375B8" w:rsidRDefault="00B578D6" w:rsidP="00997A49">
            <w:pPr>
              <w:contextualSpacing/>
              <w:jc w:val="right"/>
              <w:rPr>
                <w:sz w:val="16"/>
                <w:szCs w:val="16"/>
              </w:rPr>
            </w:pPr>
            <w:r w:rsidRPr="005375B8">
              <w:rPr>
                <w:sz w:val="16"/>
                <w:szCs w:val="16"/>
              </w:rPr>
              <w:t>34</w:t>
            </w:r>
          </w:p>
        </w:tc>
        <w:tc>
          <w:tcPr>
            <w:tcW w:w="898" w:type="dxa"/>
            <w:noWrap/>
            <w:vAlign w:val="center"/>
          </w:tcPr>
          <w:p w:rsidR="00B578D6" w:rsidRPr="005375B8" w:rsidRDefault="00B578D6" w:rsidP="00997A49">
            <w:pPr>
              <w:contextualSpacing/>
              <w:jc w:val="right"/>
              <w:rPr>
                <w:sz w:val="16"/>
                <w:szCs w:val="16"/>
              </w:rPr>
            </w:pPr>
            <w:r w:rsidRPr="005375B8">
              <w:rPr>
                <w:sz w:val="16"/>
                <w:szCs w:val="16"/>
              </w:rPr>
              <w:t>36</w:t>
            </w:r>
          </w:p>
        </w:tc>
        <w:tc>
          <w:tcPr>
            <w:tcW w:w="1067" w:type="dxa"/>
            <w:vAlign w:val="center"/>
          </w:tcPr>
          <w:p w:rsidR="00B578D6" w:rsidRPr="005375B8" w:rsidRDefault="00B578D6" w:rsidP="00997A49">
            <w:pPr>
              <w:contextualSpacing/>
              <w:jc w:val="right"/>
              <w:rPr>
                <w:sz w:val="16"/>
                <w:szCs w:val="16"/>
              </w:rPr>
            </w:pPr>
            <w:r w:rsidRPr="005375B8">
              <w:rPr>
                <w:sz w:val="16"/>
                <w:szCs w:val="16"/>
              </w:rPr>
              <w:t>43</w:t>
            </w:r>
          </w:p>
        </w:tc>
        <w:tc>
          <w:tcPr>
            <w:tcW w:w="900" w:type="dxa"/>
            <w:noWrap/>
            <w:vAlign w:val="center"/>
          </w:tcPr>
          <w:p w:rsidR="00B578D6" w:rsidRPr="005375B8" w:rsidRDefault="00B578D6" w:rsidP="00997A49">
            <w:pPr>
              <w:contextualSpacing/>
              <w:jc w:val="right"/>
              <w:rPr>
                <w:sz w:val="16"/>
                <w:szCs w:val="16"/>
              </w:rPr>
            </w:pPr>
            <w:r w:rsidRPr="005375B8">
              <w:rPr>
                <w:sz w:val="16"/>
                <w:szCs w:val="16"/>
              </w:rPr>
              <w:t>38</w:t>
            </w:r>
          </w:p>
        </w:tc>
        <w:tc>
          <w:tcPr>
            <w:tcW w:w="1016" w:type="dxa"/>
            <w:noWrap/>
            <w:vAlign w:val="center"/>
          </w:tcPr>
          <w:p w:rsidR="00B578D6" w:rsidRPr="005375B8" w:rsidRDefault="00B578D6" w:rsidP="00997A49">
            <w:pPr>
              <w:contextualSpacing/>
              <w:jc w:val="right"/>
              <w:rPr>
                <w:sz w:val="16"/>
                <w:szCs w:val="16"/>
              </w:rPr>
            </w:pPr>
            <w:r w:rsidRPr="005375B8">
              <w:rPr>
                <w:sz w:val="16"/>
                <w:szCs w:val="16"/>
              </w:rPr>
              <w:t>43</w:t>
            </w:r>
          </w:p>
        </w:tc>
        <w:tc>
          <w:tcPr>
            <w:tcW w:w="891" w:type="dxa"/>
            <w:vAlign w:val="center"/>
          </w:tcPr>
          <w:p w:rsidR="00B578D6" w:rsidRPr="005375B8" w:rsidRDefault="00B578D6" w:rsidP="00997A49">
            <w:pPr>
              <w:contextualSpacing/>
              <w:jc w:val="right"/>
              <w:rPr>
                <w:sz w:val="16"/>
                <w:szCs w:val="16"/>
              </w:rPr>
            </w:pPr>
            <w:r w:rsidRPr="005375B8">
              <w:rPr>
                <w:sz w:val="16"/>
                <w:szCs w:val="16"/>
              </w:rPr>
              <w:t>39</w:t>
            </w:r>
          </w:p>
        </w:tc>
        <w:tc>
          <w:tcPr>
            <w:tcW w:w="1076" w:type="dxa"/>
            <w:vAlign w:val="center"/>
          </w:tcPr>
          <w:p w:rsidR="00B578D6" w:rsidRPr="005375B8" w:rsidRDefault="00B578D6" w:rsidP="00997A49">
            <w:pPr>
              <w:contextualSpacing/>
              <w:jc w:val="right"/>
              <w:rPr>
                <w:sz w:val="16"/>
                <w:szCs w:val="16"/>
              </w:rPr>
            </w:pPr>
            <w:r w:rsidRPr="005375B8">
              <w:rPr>
                <w:sz w:val="16"/>
                <w:szCs w:val="16"/>
              </w:rPr>
              <w:t>3</w:t>
            </w:r>
            <w:r>
              <w:rPr>
                <w:sz w:val="16"/>
                <w:szCs w:val="16"/>
              </w:rPr>
              <w:t>9</w:t>
            </w:r>
          </w:p>
        </w:tc>
        <w:tc>
          <w:tcPr>
            <w:tcW w:w="803" w:type="dxa"/>
            <w:vAlign w:val="center"/>
          </w:tcPr>
          <w:p w:rsidR="00B578D6" w:rsidRPr="005375B8" w:rsidRDefault="00B578D6" w:rsidP="00997A49">
            <w:pPr>
              <w:contextualSpacing/>
              <w:jc w:val="right"/>
              <w:rPr>
                <w:sz w:val="16"/>
                <w:szCs w:val="16"/>
              </w:rPr>
            </w:pPr>
            <w:r w:rsidRPr="005375B8">
              <w:rPr>
                <w:sz w:val="16"/>
                <w:szCs w:val="16"/>
              </w:rPr>
              <w:t>37</w:t>
            </w:r>
          </w:p>
        </w:tc>
        <w:tc>
          <w:tcPr>
            <w:tcW w:w="833" w:type="dxa"/>
            <w:vAlign w:val="center"/>
          </w:tcPr>
          <w:p w:rsidR="00B578D6" w:rsidRPr="005663C4" w:rsidRDefault="00B578D6" w:rsidP="00997A49">
            <w:pPr>
              <w:contextualSpacing/>
              <w:jc w:val="right"/>
              <w:rPr>
                <w:sz w:val="16"/>
                <w:szCs w:val="16"/>
              </w:rPr>
            </w:pPr>
            <w:r>
              <w:rPr>
                <w:sz w:val="16"/>
                <w:szCs w:val="16"/>
              </w:rPr>
              <w:t>38</w:t>
            </w:r>
          </w:p>
        </w:tc>
      </w:tr>
      <w:tr w:rsidR="00B578D6" w:rsidRPr="005375B8" w:rsidTr="00997A49">
        <w:trPr>
          <w:trHeight w:val="350"/>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pStyle w:val="BodyText2"/>
              <w:contextualSpacing/>
              <w:rPr>
                <w:sz w:val="16"/>
                <w:szCs w:val="16"/>
              </w:rPr>
            </w:pPr>
            <w:r w:rsidRPr="005375B8">
              <w:rPr>
                <w:sz w:val="16"/>
                <w:szCs w:val="16"/>
              </w:rPr>
              <w:t xml:space="preserve">Number of Gang/Criminal Enterprise </w:t>
            </w:r>
            <w:proofErr w:type="spellStart"/>
            <w:r w:rsidRPr="005375B8">
              <w:rPr>
                <w:sz w:val="16"/>
                <w:szCs w:val="16"/>
              </w:rPr>
              <w:t>Dismantlements</w:t>
            </w:r>
            <w:proofErr w:type="spellEnd"/>
          </w:p>
        </w:tc>
        <w:tc>
          <w:tcPr>
            <w:tcW w:w="885" w:type="dxa"/>
            <w:noWrap/>
            <w:vAlign w:val="center"/>
          </w:tcPr>
          <w:p w:rsidR="00B578D6" w:rsidRPr="005375B8" w:rsidRDefault="00B578D6" w:rsidP="00997A49">
            <w:pPr>
              <w:contextualSpacing/>
              <w:jc w:val="right"/>
              <w:rPr>
                <w:sz w:val="16"/>
                <w:szCs w:val="16"/>
              </w:rPr>
            </w:pPr>
            <w:r w:rsidRPr="005375B8">
              <w:rPr>
                <w:sz w:val="16"/>
                <w:szCs w:val="16"/>
              </w:rPr>
              <w:t>138</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112</w:t>
            </w:r>
          </w:p>
        </w:tc>
        <w:tc>
          <w:tcPr>
            <w:tcW w:w="977" w:type="dxa"/>
            <w:noWrap/>
            <w:vAlign w:val="center"/>
          </w:tcPr>
          <w:p w:rsidR="00B578D6" w:rsidRPr="005375B8" w:rsidRDefault="00B578D6" w:rsidP="00997A49">
            <w:pPr>
              <w:contextualSpacing/>
              <w:jc w:val="right"/>
              <w:rPr>
                <w:sz w:val="16"/>
                <w:szCs w:val="16"/>
              </w:rPr>
            </w:pPr>
            <w:r w:rsidRPr="005375B8">
              <w:rPr>
                <w:sz w:val="16"/>
                <w:szCs w:val="16"/>
              </w:rPr>
              <w:t>138</w:t>
            </w:r>
          </w:p>
        </w:tc>
        <w:tc>
          <w:tcPr>
            <w:tcW w:w="898" w:type="dxa"/>
            <w:noWrap/>
            <w:vAlign w:val="center"/>
          </w:tcPr>
          <w:p w:rsidR="00B578D6" w:rsidRPr="005375B8" w:rsidRDefault="00B578D6" w:rsidP="00997A49">
            <w:pPr>
              <w:contextualSpacing/>
              <w:jc w:val="right"/>
              <w:rPr>
                <w:sz w:val="16"/>
                <w:szCs w:val="16"/>
              </w:rPr>
            </w:pPr>
            <w:r w:rsidRPr="005375B8">
              <w:rPr>
                <w:sz w:val="16"/>
                <w:szCs w:val="16"/>
              </w:rPr>
              <w:t>119</w:t>
            </w:r>
          </w:p>
        </w:tc>
        <w:tc>
          <w:tcPr>
            <w:tcW w:w="1067" w:type="dxa"/>
            <w:vAlign w:val="center"/>
          </w:tcPr>
          <w:p w:rsidR="00B578D6" w:rsidRPr="005375B8" w:rsidRDefault="00B578D6" w:rsidP="00997A49">
            <w:pPr>
              <w:contextualSpacing/>
              <w:jc w:val="right"/>
              <w:rPr>
                <w:sz w:val="16"/>
                <w:szCs w:val="16"/>
              </w:rPr>
            </w:pPr>
            <w:r w:rsidRPr="005375B8">
              <w:rPr>
                <w:sz w:val="16"/>
                <w:szCs w:val="16"/>
              </w:rPr>
              <w:t>144</w:t>
            </w:r>
          </w:p>
        </w:tc>
        <w:tc>
          <w:tcPr>
            <w:tcW w:w="900" w:type="dxa"/>
            <w:noWrap/>
            <w:vAlign w:val="center"/>
          </w:tcPr>
          <w:p w:rsidR="00B578D6" w:rsidRPr="005375B8" w:rsidRDefault="00B578D6" w:rsidP="00997A49">
            <w:pPr>
              <w:contextualSpacing/>
              <w:jc w:val="right"/>
              <w:rPr>
                <w:sz w:val="16"/>
                <w:szCs w:val="16"/>
              </w:rPr>
            </w:pPr>
            <w:r w:rsidRPr="005375B8">
              <w:rPr>
                <w:sz w:val="16"/>
                <w:szCs w:val="16"/>
              </w:rPr>
              <w:t>114</w:t>
            </w:r>
          </w:p>
        </w:tc>
        <w:tc>
          <w:tcPr>
            <w:tcW w:w="1016" w:type="dxa"/>
            <w:noWrap/>
            <w:vAlign w:val="center"/>
          </w:tcPr>
          <w:p w:rsidR="00B578D6" w:rsidRPr="005375B8" w:rsidRDefault="00B578D6" w:rsidP="00997A49">
            <w:pPr>
              <w:contextualSpacing/>
              <w:jc w:val="right"/>
              <w:rPr>
                <w:sz w:val="16"/>
                <w:szCs w:val="16"/>
              </w:rPr>
            </w:pPr>
            <w:r w:rsidRPr="005375B8">
              <w:rPr>
                <w:sz w:val="16"/>
                <w:szCs w:val="16"/>
              </w:rPr>
              <w:t>135</w:t>
            </w:r>
          </w:p>
        </w:tc>
        <w:tc>
          <w:tcPr>
            <w:tcW w:w="891" w:type="dxa"/>
            <w:vAlign w:val="center"/>
          </w:tcPr>
          <w:p w:rsidR="00B578D6" w:rsidRPr="005375B8" w:rsidRDefault="00B578D6" w:rsidP="00997A49">
            <w:pPr>
              <w:contextualSpacing/>
              <w:jc w:val="right"/>
              <w:rPr>
                <w:sz w:val="16"/>
                <w:szCs w:val="16"/>
              </w:rPr>
            </w:pPr>
            <w:r w:rsidRPr="005375B8">
              <w:rPr>
                <w:sz w:val="16"/>
                <w:szCs w:val="16"/>
              </w:rPr>
              <w:t>124</w:t>
            </w:r>
          </w:p>
        </w:tc>
        <w:tc>
          <w:tcPr>
            <w:tcW w:w="1076" w:type="dxa"/>
            <w:vAlign w:val="center"/>
          </w:tcPr>
          <w:p w:rsidR="00B578D6" w:rsidRPr="005375B8" w:rsidRDefault="00B578D6" w:rsidP="00997A49">
            <w:pPr>
              <w:contextualSpacing/>
              <w:jc w:val="right"/>
              <w:rPr>
                <w:sz w:val="16"/>
                <w:szCs w:val="16"/>
              </w:rPr>
            </w:pPr>
            <w:r>
              <w:rPr>
                <w:sz w:val="16"/>
                <w:szCs w:val="16"/>
              </w:rPr>
              <w:t>165</w:t>
            </w:r>
          </w:p>
        </w:tc>
        <w:tc>
          <w:tcPr>
            <w:tcW w:w="803" w:type="dxa"/>
            <w:vAlign w:val="center"/>
          </w:tcPr>
          <w:p w:rsidR="00B578D6" w:rsidRPr="005375B8" w:rsidRDefault="00B578D6" w:rsidP="00997A49">
            <w:pPr>
              <w:contextualSpacing/>
              <w:jc w:val="right"/>
              <w:rPr>
                <w:sz w:val="16"/>
                <w:szCs w:val="16"/>
              </w:rPr>
            </w:pPr>
            <w:r w:rsidRPr="005375B8">
              <w:rPr>
                <w:sz w:val="16"/>
                <w:szCs w:val="16"/>
              </w:rPr>
              <w:t>99</w:t>
            </w:r>
          </w:p>
        </w:tc>
        <w:tc>
          <w:tcPr>
            <w:tcW w:w="833" w:type="dxa"/>
            <w:vAlign w:val="center"/>
          </w:tcPr>
          <w:p w:rsidR="00B578D6" w:rsidRPr="005663C4" w:rsidRDefault="00B578D6" w:rsidP="00997A49">
            <w:pPr>
              <w:contextualSpacing/>
              <w:jc w:val="right"/>
              <w:rPr>
                <w:sz w:val="16"/>
                <w:szCs w:val="16"/>
              </w:rPr>
            </w:pPr>
            <w:r>
              <w:rPr>
                <w:sz w:val="16"/>
                <w:szCs w:val="16"/>
              </w:rPr>
              <w:t>74</w:t>
            </w:r>
          </w:p>
        </w:tc>
      </w:tr>
      <w:tr w:rsidR="00B578D6" w:rsidRPr="005375B8" w:rsidTr="00997A49">
        <w:trPr>
          <w:trHeight w:val="350"/>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pStyle w:val="BodyText2"/>
              <w:contextualSpacing/>
              <w:rPr>
                <w:sz w:val="16"/>
                <w:szCs w:val="16"/>
              </w:rPr>
            </w:pPr>
            <w:r w:rsidRPr="005375B8">
              <w:rPr>
                <w:sz w:val="16"/>
                <w:szCs w:val="16"/>
              </w:rPr>
              <w:t>Number of Agents serving on Violent Crime Task Forces [Priority Goal indicator]</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977"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98"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1067" w:type="dxa"/>
            <w:vAlign w:val="center"/>
          </w:tcPr>
          <w:p w:rsidR="00B578D6" w:rsidRPr="005375B8" w:rsidRDefault="00B578D6" w:rsidP="00997A49">
            <w:pPr>
              <w:contextualSpacing/>
              <w:jc w:val="right"/>
              <w:rPr>
                <w:sz w:val="16"/>
                <w:szCs w:val="16"/>
              </w:rPr>
            </w:pPr>
            <w:r w:rsidRPr="005375B8">
              <w:rPr>
                <w:sz w:val="16"/>
                <w:szCs w:val="16"/>
              </w:rPr>
              <w:t>N/A</w:t>
            </w:r>
          </w:p>
        </w:tc>
        <w:tc>
          <w:tcPr>
            <w:tcW w:w="900"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1016"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91" w:type="dxa"/>
            <w:vAlign w:val="center"/>
          </w:tcPr>
          <w:p w:rsidR="00B578D6" w:rsidRPr="005375B8" w:rsidRDefault="00B578D6" w:rsidP="00997A49">
            <w:pPr>
              <w:contextualSpacing/>
              <w:jc w:val="right"/>
              <w:rPr>
                <w:sz w:val="16"/>
                <w:szCs w:val="16"/>
              </w:rPr>
            </w:pPr>
            <w:r w:rsidRPr="005375B8">
              <w:rPr>
                <w:sz w:val="16"/>
                <w:szCs w:val="16"/>
              </w:rPr>
              <w:t>N/A</w:t>
            </w:r>
          </w:p>
        </w:tc>
        <w:tc>
          <w:tcPr>
            <w:tcW w:w="1076" w:type="dxa"/>
            <w:vAlign w:val="center"/>
          </w:tcPr>
          <w:p w:rsidR="00B578D6" w:rsidRPr="005375B8" w:rsidRDefault="00B578D6" w:rsidP="00997A49">
            <w:pPr>
              <w:contextualSpacing/>
              <w:jc w:val="right"/>
              <w:rPr>
                <w:sz w:val="16"/>
                <w:szCs w:val="16"/>
              </w:rPr>
            </w:pPr>
            <w:r>
              <w:rPr>
                <w:sz w:val="16"/>
                <w:szCs w:val="16"/>
              </w:rPr>
              <w:t>1050</w:t>
            </w:r>
          </w:p>
        </w:tc>
        <w:tc>
          <w:tcPr>
            <w:tcW w:w="803" w:type="dxa"/>
            <w:vAlign w:val="center"/>
          </w:tcPr>
          <w:p w:rsidR="00B578D6" w:rsidRPr="005375B8" w:rsidRDefault="00B578D6" w:rsidP="00997A49">
            <w:pPr>
              <w:contextualSpacing/>
              <w:jc w:val="right"/>
              <w:rPr>
                <w:sz w:val="16"/>
                <w:szCs w:val="16"/>
              </w:rPr>
            </w:pPr>
            <w:r w:rsidRPr="005375B8">
              <w:rPr>
                <w:sz w:val="16"/>
                <w:szCs w:val="16"/>
              </w:rPr>
              <w:t>1,012</w:t>
            </w:r>
          </w:p>
        </w:tc>
        <w:tc>
          <w:tcPr>
            <w:tcW w:w="833" w:type="dxa"/>
            <w:vAlign w:val="center"/>
          </w:tcPr>
          <w:p w:rsidR="00B578D6" w:rsidRPr="005663C4" w:rsidRDefault="00B578D6" w:rsidP="00997A49">
            <w:pPr>
              <w:contextualSpacing/>
              <w:jc w:val="right"/>
              <w:rPr>
                <w:sz w:val="16"/>
                <w:szCs w:val="16"/>
              </w:rPr>
            </w:pPr>
            <w:r w:rsidRPr="005663C4">
              <w:rPr>
                <w:sz w:val="16"/>
                <w:szCs w:val="16"/>
              </w:rPr>
              <w:t>1,042</w:t>
            </w:r>
          </w:p>
        </w:tc>
      </w:tr>
      <w:tr w:rsidR="00B578D6" w:rsidRPr="005375B8" w:rsidTr="00997A49">
        <w:trPr>
          <w:trHeight w:val="350"/>
        </w:trPr>
        <w:tc>
          <w:tcPr>
            <w:tcW w:w="1728" w:type="dxa"/>
            <w:vAlign w:val="center"/>
          </w:tcPr>
          <w:p w:rsidR="00B578D6" w:rsidRPr="005375B8" w:rsidRDefault="00B578D6" w:rsidP="00997A49">
            <w:pPr>
              <w:contextualSpacing/>
              <w:rPr>
                <w:b/>
                <w:bCs/>
                <w:sz w:val="16"/>
                <w:szCs w:val="16"/>
              </w:rPr>
            </w:pPr>
            <w:r w:rsidRPr="005375B8">
              <w:rPr>
                <w:b/>
                <w:bCs/>
                <w:sz w:val="16"/>
                <w:szCs w:val="16"/>
              </w:rPr>
              <w:t>Performance Measure</w:t>
            </w:r>
          </w:p>
        </w:tc>
        <w:tc>
          <w:tcPr>
            <w:tcW w:w="2848" w:type="dxa"/>
            <w:noWrap/>
            <w:vAlign w:val="center"/>
          </w:tcPr>
          <w:p w:rsidR="00B578D6" w:rsidRPr="005375B8" w:rsidRDefault="00B578D6" w:rsidP="00997A49">
            <w:pPr>
              <w:pStyle w:val="BodyText2"/>
              <w:contextualSpacing/>
              <w:rPr>
                <w:sz w:val="16"/>
                <w:szCs w:val="16"/>
              </w:rPr>
            </w:pPr>
            <w:r w:rsidRPr="005375B8">
              <w:rPr>
                <w:sz w:val="16"/>
                <w:szCs w:val="16"/>
              </w:rPr>
              <w:t>Average length of sentence</w:t>
            </w:r>
            <w:r>
              <w:rPr>
                <w:sz w:val="16"/>
                <w:szCs w:val="16"/>
              </w:rPr>
              <w:t xml:space="preserve"> in months</w:t>
            </w:r>
            <w:r w:rsidRPr="005375B8">
              <w:rPr>
                <w:sz w:val="16"/>
                <w:szCs w:val="16"/>
              </w:rPr>
              <w:t>: Violent Crime [Priority Goal indicator]</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85"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977"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98"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1067" w:type="dxa"/>
            <w:vAlign w:val="center"/>
          </w:tcPr>
          <w:p w:rsidR="00B578D6" w:rsidRPr="005375B8" w:rsidRDefault="00B578D6" w:rsidP="00997A49">
            <w:pPr>
              <w:contextualSpacing/>
              <w:jc w:val="right"/>
              <w:rPr>
                <w:sz w:val="16"/>
                <w:szCs w:val="16"/>
              </w:rPr>
            </w:pPr>
            <w:r w:rsidRPr="005375B8">
              <w:rPr>
                <w:sz w:val="16"/>
                <w:szCs w:val="16"/>
              </w:rPr>
              <w:t>N/A</w:t>
            </w:r>
          </w:p>
        </w:tc>
        <w:tc>
          <w:tcPr>
            <w:tcW w:w="900"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1016" w:type="dxa"/>
            <w:noWrap/>
            <w:vAlign w:val="center"/>
          </w:tcPr>
          <w:p w:rsidR="00B578D6" w:rsidRPr="005375B8" w:rsidRDefault="00B578D6" w:rsidP="00997A49">
            <w:pPr>
              <w:contextualSpacing/>
              <w:jc w:val="right"/>
              <w:rPr>
                <w:sz w:val="16"/>
                <w:szCs w:val="16"/>
              </w:rPr>
            </w:pPr>
            <w:r w:rsidRPr="005375B8">
              <w:rPr>
                <w:sz w:val="16"/>
                <w:szCs w:val="16"/>
              </w:rPr>
              <w:t>N/A</w:t>
            </w:r>
          </w:p>
        </w:tc>
        <w:tc>
          <w:tcPr>
            <w:tcW w:w="891" w:type="dxa"/>
            <w:vAlign w:val="center"/>
          </w:tcPr>
          <w:p w:rsidR="00B578D6" w:rsidRPr="005375B8" w:rsidRDefault="00B578D6" w:rsidP="00997A49">
            <w:pPr>
              <w:contextualSpacing/>
              <w:jc w:val="right"/>
              <w:rPr>
                <w:sz w:val="16"/>
                <w:szCs w:val="16"/>
              </w:rPr>
            </w:pPr>
            <w:r w:rsidRPr="005375B8">
              <w:rPr>
                <w:sz w:val="16"/>
                <w:szCs w:val="16"/>
              </w:rPr>
              <w:t>N/A</w:t>
            </w:r>
          </w:p>
        </w:tc>
        <w:tc>
          <w:tcPr>
            <w:tcW w:w="1076" w:type="dxa"/>
            <w:vAlign w:val="center"/>
          </w:tcPr>
          <w:p w:rsidR="00B578D6" w:rsidRPr="005375B8" w:rsidRDefault="00B578D6" w:rsidP="00997A49">
            <w:pPr>
              <w:contextualSpacing/>
              <w:jc w:val="right"/>
              <w:rPr>
                <w:sz w:val="16"/>
                <w:szCs w:val="16"/>
              </w:rPr>
            </w:pPr>
            <w:r>
              <w:rPr>
                <w:sz w:val="16"/>
                <w:szCs w:val="16"/>
              </w:rPr>
              <w:t>72</w:t>
            </w:r>
          </w:p>
        </w:tc>
        <w:tc>
          <w:tcPr>
            <w:tcW w:w="803" w:type="dxa"/>
            <w:vAlign w:val="center"/>
          </w:tcPr>
          <w:p w:rsidR="00B578D6" w:rsidRPr="005375B8" w:rsidRDefault="00B578D6" w:rsidP="00997A49">
            <w:pPr>
              <w:contextualSpacing/>
              <w:jc w:val="right"/>
              <w:rPr>
                <w:sz w:val="16"/>
                <w:szCs w:val="16"/>
              </w:rPr>
            </w:pPr>
            <w:r w:rsidRPr="005375B8">
              <w:rPr>
                <w:sz w:val="16"/>
                <w:szCs w:val="16"/>
              </w:rPr>
              <w:t>100</w:t>
            </w:r>
          </w:p>
        </w:tc>
        <w:tc>
          <w:tcPr>
            <w:tcW w:w="833" w:type="dxa"/>
            <w:vAlign w:val="center"/>
          </w:tcPr>
          <w:p w:rsidR="00B578D6" w:rsidRPr="005663C4" w:rsidRDefault="00B578D6" w:rsidP="00997A49">
            <w:pPr>
              <w:contextualSpacing/>
              <w:jc w:val="right"/>
              <w:rPr>
                <w:sz w:val="16"/>
                <w:szCs w:val="16"/>
              </w:rPr>
            </w:pPr>
            <w:r w:rsidRPr="005663C4">
              <w:rPr>
                <w:sz w:val="16"/>
                <w:szCs w:val="16"/>
              </w:rPr>
              <w:t>100</w:t>
            </w:r>
          </w:p>
        </w:tc>
      </w:tr>
    </w:tbl>
    <w:p w:rsidR="00B578D6" w:rsidRPr="00B578D6" w:rsidRDefault="00B578D6" w:rsidP="007471A8">
      <w:pPr>
        <w:contextualSpacing/>
      </w:pPr>
    </w:p>
    <w:p w:rsidR="00B578D6" w:rsidRPr="00B578D6" w:rsidRDefault="00B578D6" w:rsidP="007471A8">
      <w:pPr>
        <w:contextualSpacing/>
      </w:pPr>
    </w:p>
    <w:p w:rsidR="00B578D6" w:rsidRPr="00B578D6" w:rsidRDefault="00B578D6" w:rsidP="007471A8">
      <w:pPr>
        <w:contextualSpacing/>
      </w:pPr>
    </w:p>
    <w:p w:rsidR="00630F6F" w:rsidRDefault="00630F6F" w:rsidP="007471A8">
      <w:pPr>
        <w:contextualSpacing/>
        <w:rPr>
          <w:b/>
        </w:rPr>
        <w:sectPr w:rsidR="00630F6F" w:rsidSect="0036067B">
          <w:pgSz w:w="15840" w:h="12240" w:orient="landscape"/>
          <w:pgMar w:top="1080" w:right="1080" w:bottom="1080" w:left="1080" w:header="432" w:footer="432" w:gutter="0"/>
          <w:cols w:space="720"/>
          <w:docGrid w:linePitch="360"/>
        </w:sectPr>
      </w:pPr>
    </w:p>
    <w:p w:rsidR="00B92FC4" w:rsidRDefault="00B92FC4" w:rsidP="007471A8">
      <w:pPr>
        <w:contextualSpacing/>
        <w:rPr>
          <w:b/>
          <w:bCs/>
          <w:u w:val="single"/>
        </w:rPr>
      </w:pPr>
      <w:r w:rsidRPr="004D5BB4">
        <w:rPr>
          <w:b/>
          <w:bCs/>
          <w:u w:val="single"/>
        </w:rPr>
        <w:lastRenderedPageBreak/>
        <w:t>White-Collar Crime</w:t>
      </w:r>
    </w:p>
    <w:p w:rsidR="00B92FC4" w:rsidRDefault="00B92FC4" w:rsidP="007471A8">
      <w:pPr>
        <w:contextualSpacing/>
        <w:rPr>
          <w:b/>
          <w:bCs/>
        </w:rPr>
      </w:pPr>
      <w:r w:rsidRPr="004D5BB4">
        <w:rPr>
          <w:b/>
          <w:bCs/>
        </w:rPr>
        <w:t xml:space="preserve">a. Performance Plan </w:t>
      </w:r>
      <w:r w:rsidRPr="00904B18">
        <w:rPr>
          <w:b/>
          <w:bCs/>
        </w:rPr>
        <w:t>and Report for Outcomes</w:t>
      </w:r>
    </w:p>
    <w:p w:rsidR="00B92FC4" w:rsidRDefault="00B92FC4" w:rsidP="007471A8">
      <w:pPr>
        <w:contextualSpacing/>
      </w:pPr>
      <w:r>
        <w:t>The</w:t>
      </w:r>
      <w:r w:rsidRPr="005837B9">
        <w:t xml:space="preserve"> White-Collar Crime (WCC) program uses </w:t>
      </w:r>
      <w:r>
        <w:t xml:space="preserve">a suite of </w:t>
      </w:r>
      <w:r w:rsidRPr="005837B9">
        <w:t>performance measures that concentrate on priority programs such as Mortgage Fraud, as well as traditional accomplishment data such as convictions and pre-trial diversions and the level of recoveries, restitutions, and fines generated by the WCC program.</w:t>
      </w:r>
    </w:p>
    <w:p w:rsidR="00B92FC4" w:rsidRDefault="00B92FC4" w:rsidP="007471A8">
      <w:pPr>
        <w:contextualSpacing/>
      </w:pPr>
    </w:p>
    <w:p w:rsidR="00B92FC4" w:rsidRPr="00904B18" w:rsidRDefault="00B92FC4" w:rsidP="007471A8">
      <w:pPr>
        <w:contextualSpacing/>
      </w:pPr>
      <w:r w:rsidRPr="00FA2DE4">
        <w:rPr>
          <w:b/>
          <w:bCs/>
          <w:i/>
          <w:iCs/>
        </w:rPr>
        <w:t>Performance Measure:</w:t>
      </w:r>
      <w:r w:rsidRPr="00FA2DE4">
        <w:rPr>
          <w:i/>
          <w:iCs/>
        </w:rPr>
        <w:t xml:space="preserve"> </w:t>
      </w:r>
      <w:r w:rsidRPr="00FA2DE4">
        <w:t xml:space="preserve">Number of Criminal </w:t>
      </w:r>
      <w:r>
        <w:t>Organizations</w:t>
      </w:r>
      <w:r w:rsidRPr="00FA2DE4">
        <w:t xml:space="preserve"> Engaging in White-Collar Crimes Dismantled.</w:t>
      </w:r>
    </w:p>
    <w:p w:rsidR="00B92FC4" w:rsidRPr="00904B18" w:rsidRDefault="00C5224D" w:rsidP="007471A8">
      <w:pPr>
        <w:contextualSpacing/>
      </w:pPr>
      <w:r>
        <w:rPr>
          <w:noProof/>
        </w:rPr>
        <w:pict>
          <v:shape id="_x0000_s1061" type="#_x0000_t202" style="position:absolute;margin-left:1666.35pt;margin-top:3.2pt;width:241.35pt;height:180pt;z-index:-251631616;mso-wrap-distance-top:7.2pt;mso-wrap-distance-bottom:7.2pt;mso-position-horizontal:right" filled="f" fillcolor="yellow" strokecolor="#969696">
            <v:textbox style="mso-next-textbox:#_x0000_s1061">
              <w:txbxContent>
                <w:p w:rsidR="00561262" w:rsidRDefault="00561262" w:rsidP="00B92FC4">
                  <w:pPr>
                    <w:jc w:val="both"/>
                    <w:rPr>
                      <w:b/>
                      <w:sz w:val="16"/>
                    </w:rPr>
                  </w:pPr>
                  <w:r>
                    <w:rPr>
                      <w:b/>
                      <w:noProof/>
                      <w:sz w:val="16"/>
                    </w:rPr>
                    <w:drawing>
                      <wp:inline distT="0" distB="0" distL="0" distR="0">
                        <wp:extent cx="3095625" cy="2219325"/>
                        <wp:effectExtent l="0" t="0" r="0" b="0"/>
                        <wp:docPr id="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61262" w:rsidRDefault="00561262" w:rsidP="00B92FC4"/>
              </w:txbxContent>
            </v:textbox>
            <w10:wrap type="square"/>
          </v:shape>
        </w:pict>
      </w:r>
    </w:p>
    <w:p w:rsidR="00B92FC4" w:rsidRDefault="00B92FC4" w:rsidP="00245AC3">
      <w:pPr>
        <w:tabs>
          <w:tab w:val="left" w:pos="2160"/>
        </w:tabs>
        <w:contextualSpacing/>
        <w:rPr>
          <w:b/>
          <w:bCs/>
          <w:i/>
          <w:iCs/>
        </w:rPr>
      </w:pPr>
      <w:r>
        <w:rPr>
          <w:b/>
          <w:bCs/>
          <w:i/>
          <w:iCs/>
        </w:rPr>
        <w:t xml:space="preserve">FY 2011 Target: </w:t>
      </w:r>
      <w:r w:rsidR="00245AC3">
        <w:rPr>
          <w:b/>
          <w:bCs/>
          <w:i/>
          <w:iCs/>
        </w:rPr>
        <w:tab/>
      </w:r>
      <w:r w:rsidRPr="00AD5B2A">
        <w:rPr>
          <w:bCs/>
          <w:iCs/>
        </w:rPr>
        <w:t>250</w:t>
      </w:r>
    </w:p>
    <w:p w:rsidR="00B92FC4" w:rsidRDefault="00B92FC4" w:rsidP="00245AC3">
      <w:pPr>
        <w:tabs>
          <w:tab w:val="left" w:pos="2160"/>
        </w:tabs>
        <w:contextualSpacing/>
        <w:rPr>
          <w:b/>
          <w:bCs/>
          <w:i/>
          <w:iCs/>
        </w:rPr>
      </w:pPr>
      <w:r>
        <w:rPr>
          <w:b/>
          <w:bCs/>
          <w:i/>
          <w:iCs/>
        </w:rPr>
        <w:t xml:space="preserve">FY 2011 Actual: </w:t>
      </w:r>
      <w:r w:rsidR="00245AC3">
        <w:rPr>
          <w:b/>
          <w:bCs/>
          <w:i/>
          <w:iCs/>
        </w:rPr>
        <w:tab/>
      </w:r>
      <w:r w:rsidRPr="00AD5B2A">
        <w:rPr>
          <w:bCs/>
          <w:iCs/>
        </w:rPr>
        <w:t>366</w:t>
      </w:r>
    </w:p>
    <w:p w:rsidR="00B92FC4" w:rsidRDefault="00B92FC4" w:rsidP="007471A8">
      <w:pPr>
        <w:ind w:left="720"/>
        <w:contextualSpacing/>
        <w:rPr>
          <w:b/>
          <w:bCs/>
          <w:i/>
          <w:iCs/>
        </w:rPr>
      </w:pPr>
    </w:p>
    <w:p w:rsidR="00B92FC4" w:rsidRPr="00342BFF" w:rsidRDefault="00B92FC4" w:rsidP="007471A8">
      <w:pPr>
        <w:contextualSpacing/>
      </w:pPr>
      <w:r w:rsidRPr="006A160B">
        <w:rPr>
          <w:b/>
          <w:bCs/>
          <w:i/>
          <w:iCs/>
        </w:rPr>
        <w:t>Discussion:</w:t>
      </w:r>
      <w:r w:rsidRPr="006A160B">
        <w:t xml:space="preserve"> The FBI established the FY 2013 target based on past performance and the increased activity of WCC enterprises, particularly in Health</w:t>
      </w:r>
      <w:r>
        <w:t xml:space="preserve"> C</w:t>
      </w:r>
      <w:r w:rsidRPr="006A160B">
        <w:t>are Fraud and Mortgage Fraud. Securities, corporate and mortgage fraud investigations are frequently long</w:t>
      </w:r>
      <w:r>
        <w:t>-</w:t>
      </w:r>
      <w:r w:rsidRPr="006A160B">
        <w:t>term and resource</w:t>
      </w:r>
      <w:r>
        <w:t>-</w:t>
      </w:r>
      <w:r w:rsidRPr="006A160B">
        <w:t>intensive. The impacts of resources received in one year are often not realized until several years later.  Further, accomplishments in WCC can reach peaks at times when long</w:t>
      </w:r>
      <w:r>
        <w:t>-</w:t>
      </w:r>
      <w:r w:rsidRPr="006A160B">
        <w:t>term cases initiated in prior years come to conclusion.</w:t>
      </w:r>
    </w:p>
    <w:p w:rsidR="00B92FC4" w:rsidRDefault="00B92FC4" w:rsidP="007471A8">
      <w:pPr>
        <w:ind w:left="720"/>
        <w:contextualSpacing/>
        <w:rPr>
          <w:b/>
          <w:i/>
        </w:rPr>
      </w:pPr>
    </w:p>
    <w:p w:rsidR="00B92FC4" w:rsidRDefault="00B92FC4" w:rsidP="00245AC3">
      <w:pPr>
        <w:tabs>
          <w:tab w:val="left" w:pos="2160"/>
        </w:tabs>
        <w:contextualSpacing/>
        <w:rPr>
          <w:b/>
          <w:bCs/>
          <w:i/>
          <w:iCs/>
        </w:rPr>
      </w:pPr>
      <w:r>
        <w:rPr>
          <w:b/>
          <w:bCs/>
          <w:i/>
          <w:iCs/>
        </w:rPr>
        <w:t xml:space="preserve">FY 2012 Target: </w:t>
      </w:r>
      <w:r w:rsidR="00245AC3">
        <w:rPr>
          <w:b/>
          <w:bCs/>
          <w:i/>
          <w:iCs/>
        </w:rPr>
        <w:tab/>
      </w:r>
      <w:r w:rsidRPr="00AD5B2A">
        <w:rPr>
          <w:bCs/>
          <w:iCs/>
        </w:rPr>
        <w:t>360</w:t>
      </w:r>
    </w:p>
    <w:p w:rsidR="00B92FC4" w:rsidRDefault="00B92FC4" w:rsidP="00245AC3">
      <w:pPr>
        <w:tabs>
          <w:tab w:val="left" w:pos="2160"/>
        </w:tabs>
        <w:contextualSpacing/>
      </w:pPr>
      <w:r w:rsidRPr="00904B18">
        <w:rPr>
          <w:b/>
          <w:bCs/>
          <w:i/>
          <w:iCs/>
        </w:rPr>
        <w:t>FY 20</w:t>
      </w:r>
      <w:r>
        <w:rPr>
          <w:b/>
          <w:bCs/>
          <w:i/>
          <w:iCs/>
        </w:rPr>
        <w:t>13</w:t>
      </w:r>
      <w:r w:rsidRPr="00904B18">
        <w:rPr>
          <w:b/>
          <w:bCs/>
          <w:i/>
          <w:iCs/>
        </w:rPr>
        <w:t xml:space="preserve"> Target:</w:t>
      </w:r>
      <w:r>
        <w:t xml:space="preserve"> </w:t>
      </w:r>
      <w:r w:rsidR="00245AC3">
        <w:tab/>
      </w:r>
      <w:r>
        <w:t>360</w:t>
      </w:r>
    </w:p>
    <w:p w:rsidR="00B92FC4" w:rsidRDefault="00B92FC4" w:rsidP="007471A8">
      <w:pPr>
        <w:ind w:left="720"/>
        <w:contextualSpacing/>
        <w:rPr>
          <w:b/>
          <w:i/>
        </w:rPr>
      </w:pPr>
    </w:p>
    <w:p w:rsidR="00B92FC4" w:rsidRPr="00904B18" w:rsidRDefault="00B92FC4" w:rsidP="007471A8">
      <w:pPr>
        <w:contextualSpacing/>
      </w:pPr>
      <w:r w:rsidRPr="00B96B5C">
        <w:rPr>
          <w:b/>
          <w:bCs/>
          <w:i/>
          <w:iCs/>
        </w:rPr>
        <w:t>Efficiency Measure:</w:t>
      </w:r>
      <w:r w:rsidRPr="00B96B5C">
        <w:rPr>
          <w:i/>
          <w:iCs/>
        </w:rPr>
        <w:t xml:space="preserve">  </w:t>
      </w:r>
      <w:r w:rsidRPr="00B96B5C">
        <w:t>Percentage of Major Mortgage Fraud Investigations to all Pending Mortgage Fraud Investigations</w:t>
      </w:r>
    </w:p>
    <w:p w:rsidR="00B92FC4" w:rsidRPr="00904B18" w:rsidRDefault="00C5224D" w:rsidP="007471A8">
      <w:pPr>
        <w:contextualSpacing/>
      </w:pPr>
      <w:r>
        <w:rPr>
          <w:noProof/>
        </w:rPr>
        <w:pict>
          <v:shape id="_x0000_s1060" type="#_x0000_t202" style="position:absolute;margin-left:1631.5pt;margin-top:2.55pt;width:234pt;height:199.2pt;z-index:-251632640;mso-wrap-distance-top:7.2pt;mso-wrap-distance-bottom:7.2pt;mso-position-horizontal:right" strokecolor="#969696">
            <v:textbox style="mso-next-textbox:#_x0000_s1060">
              <w:txbxContent>
                <w:p w:rsidR="00561262" w:rsidRDefault="00561262" w:rsidP="00B92FC4">
                  <w:pPr>
                    <w:spacing w:line="360" w:lineRule="auto"/>
                    <w:jc w:val="both"/>
                    <w:rPr>
                      <w:b/>
                      <w:sz w:val="16"/>
                    </w:rPr>
                  </w:pPr>
                  <w:r>
                    <w:rPr>
                      <w:b/>
                      <w:noProof/>
                      <w:sz w:val="16"/>
                    </w:rPr>
                    <w:drawing>
                      <wp:inline distT="0" distB="0" distL="0" distR="0">
                        <wp:extent cx="2876550" cy="2438400"/>
                        <wp:effectExtent l="0" t="0" r="0" b="0"/>
                        <wp:docPr id="3"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1262" w:rsidRDefault="00561262" w:rsidP="00B92FC4"/>
              </w:txbxContent>
            </v:textbox>
            <w10:wrap type="square"/>
          </v:shape>
        </w:pict>
      </w:r>
    </w:p>
    <w:p w:rsidR="00B92FC4" w:rsidRDefault="00B92FC4" w:rsidP="00245AC3">
      <w:pPr>
        <w:tabs>
          <w:tab w:val="left" w:pos="2160"/>
        </w:tabs>
        <w:contextualSpacing/>
        <w:rPr>
          <w:b/>
          <w:bCs/>
          <w:i/>
          <w:iCs/>
        </w:rPr>
      </w:pPr>
      <w:r>
        <w:rPr>
          <w:b/>
          <w:bCs/>
          <w:i/>
          <w:iCs/>
        </w:rPr>
        <w:t>FY 2011 Target:</w:t>
      </w:r>
      <w:r w:rsidR="00245AC3">
        <w:rPr>
          <w:b/>
          <w:bCs/>
          <w:i/>
          <w:iCs/>
        </w:rPr>
        <w:tab/>
      </w:r>
      <w:r w:rsidRPr="00521813">
        <w:rPr>
          <w:bCs/>
          <w:iCs/>
        </w:rPr>
        <w:t>70%</w:t>
      </w:r>
    </w:p>
    <w:p w:rsidR="00B92FC4" w:rsidRDefault="00B92FC4" w:rsidP="00245AC3">
      <w:pPr>
        <w:tabs>
          <w:tab w:val="left" w:pos="2160"/>
        </w:tabs>
        <w:contextualSpacing/>
        <w:rPr>
          <w:b/>
          <w:bCs/>
          <w:i/>
          <w:iCs/>
        </w:rPr>
      </w:pPr>
      <w:r>
        <w:rPr>
          <w:b/>
          <w:bCs/>
          <w:i/>
          <w:iCs/>
        </w:rPr>
        <w:t xml:space="preserve">FY 2011 Actual: </w:t>
      </w:r>
      <w:r w:rsidR="00245AC3">
        <w:rPr>
          <w:b/>
          <w:bCs/>
          <w:i/>
          <w:iCs/>
        </w:rPr>
        <w:tab/>
      </w:r>
      <w:r w:rsidRPr="00521813">
        <w:rPr>
          <w:bCs/>
          <w:iCs/>
        </w:rPr>
        <w:t>71%</w:t>
      </w:r>
    </w:p>
    <w:p w:rsidR="00B92FC4" w:rsidRDefault="00B92FC4" w:rsidP="007471A8">
      <w:pPr>
        <w:ind w:left="720"/>
        <w:contextualSpacing/>
        <w:rPr>
          <w:b/>
          <w:bCs/>
          <w:i/>
          <w:iCs/>
        </w:rPr>
      </w:pPr>
    </w:p>
    <w:p w:rsidR="00B92FC4" w:rsidRDefault="00B92FC4" w:rsidP="007471A8">
      <w:pPr>
        <w:contextualSpacing/>
        <w:rPr>
          <w:rFonts w:eastAsia="Arial Unicode MS"/>
          <w:lang w:eastAsia="zh-CN"/>
        </w:rPr>
      </w:pPr>
      <w:r w:rsidRPr="00904B18">
        <w:rPr>
          <w:b/>
          <w:bCs/>
          <w:i/>
          <w:iCs/>
        </w:rPr>
        <w:t>Discussion</w:t>
      </w:r>
      <w:r w:rsidRPr="00C91E30">
        <w:rPr>
          <w:b/>
          <w:bCs/>
          <w:i/>
          <w:iCs/>
        </w:rPr>
        <w:t>:</w:t>
      </w:r>
      <w:r w:rsidRPr="00C91E30">
        <w:t xml:space="preserve">  </w:t>
      </w:r>
      <w:r w:rsidRPr="00BD28FD">
        <w:rPr>
          <w:rFonts w:eastAsia="Arial Unicode MS"/>
          <w:lang w:eastAsia="zh-CN"/>
        </w:rPr>
        <w:t xml:space="preserve">The nature of the mortgage fraud threat and recent trends indicate that high loss schemes, schemes involving industry insiders and the sophisticated criminal enterprises will persist into FY 2013.  </w:t>
      </w:r>
      <w:r>
        <w:rPr>
          <w:rFonts w:eastAsia="Arial Unicode MS"/>
          <w:lang w:eastAsia="zh-CN"/>
        </w:rPr>
        <w:t>The FBI’s long-</w:t>
      </w:r>
      <w:r w:rsidRPr="00BD28FD">
        <w:rPr>
          <w:rFonts w:eastAsia="Arial Unicode MS"/>
          <w:lang w:eastAsia="zh-CN"/>
        </w:rPr>
        <w:t xml:space="preserve">term objective is to lower the incidence of mortgage fraud through detection, deterrence, and investigation so that the FBI can concentrate on neutralizing current and emerging financial threats, as well as financial industry fraud schemes </w:t>
      </w:r>
      <w:r>
        <w:rPr>
          <w:rFonts w:eastAsia="Arial Unicode MS"/>
          <w:lang w:eastAsia="zh-CN"/>
        </w:rPr>
        <w:t>that</w:t>
      </w:r>
      <w:r w:rsidRPr="00BD28FD">
        <w:rPr>
          <w:rFonts w:eastAsia="Arial Unicode MS"/>
          <w:lang w:eastAsia="zh-CN"/>
        </w:rPr>
        <w:t xml:space="preserve"> target our </w:t>
      </w:r>
      <w:r>
        <w:rPr>
          <w:rFonts w:eastAsia="Arial Unicode MS"/>
          <w:lang w:eastAsia="zh-CN"/>
        </w:rPr>
        <w:t>N</w:t>
      </w:r>
      <w:r w:rsidRPr="00BD28FD">
        <w:rPr>
          <w:rFonts w:eastAsia="Arial Unicode MS"/>
          <w:lang w:eastAsia="zh-CN"/>
        </w:rPr>
        <w:t>ation’s financial institutions.</w:t>
      </w:r>
      <w:r>
        <w:rPr>
          <w:rFonts w:eastAsia="Arial Unicode MS"/>
          <w:lang w:eastAsia="zh-CN"/>
        </w:rPr>
        <w:t xml:space="preserve"> </w:t>
      </w:r>
    </w:p>
    <w:p w:rsidR="00B92FC4" w:rsidRDefault="00B92FC4" w:rsidP="007471A8">
      <w:pPr>
        <w:contextualSpacing/>
        <w:rPr>
          <w:b/>
          <w:bCs/>
        </w:rPr>
      </w:pPr>
    </w:p>
    <w:p w:rsidR="00B92FC4" w:rsidRDefault="00B92FC4" w:rsidP="00245AC3">
      <w:pPr>
        <w:tabs>
          <w:tab w:val="left" w:pos="2160"/>
        </w:tabs>
        <w:contextualSpacing/>
        <w:rPr>
          <w:b/>
          <w:bCs/>
          <w:i/>
          <w:iCs/>
        </w:rPr>
      </w:pPr>
      <w:r>
        <w:rPr>
          <w:b/>
          <w:bCs/>
          <w:i/>
          <w:iCs/>
        </w:rPr>
        <w:t>FY 2012 Target</w:t>
      </w:r>
      <w:r w:rsidR="00245AC3">
        <w:rPr>
          <w:b/>
          <w:bCs/>
          <w:i/>
          <w:iCs/>
        </w:rPr>
        <w:tab/>
      </w:r>
      <w:r w:rsidRPr="00521813">
        <w:rPr>
          <w:bCs/>
          <w:iCs/>
        </w:rPr>
        <w:t>71%</w:t>
      </w:r>
    </w:p>
    <w:p w:rsidR="00B92FC4" w:rsidRDefault="00B92FC4" w:rsidP="00245AC3">
      <w:pPr>
        <w:tabs>
          <w:tab w:val="left" w:pos="2160"/>
        </w:tabs>
        <w:contextualSpacing/>
        <w:rPr>
          <w:b/>
          <w:bCs/>
        </w:rPr>
      </w:pPr>
      <w:r w:rsidRPr="00904B18">
        <w:rPr>
          <w:b/>
          <w:bCs/>
          <w:i/>
          <w:iCs/>
        </w:rPr>
        <w:t>FY 20</w:t>
      </w:r>
      <w:r>
        <w:rPr>
          <w:b/>
          <w:bCs/>
          <w:i/>
          <w:iCs/>
        </w:rPr>
        <w:t>13</w:t>
      </w:r>
      <w:r w:rsidRPr="00904B18">
        <w:rPr>
          <w:b/>
          <w:bCs/>
          <w:i/>
          <w:iCs/>
        </w:rPr>
        <w:t xml:space="preserve"> Target:</w:t>
      </w:r>
      <w:r w:rsidR="00245AC3">
        <w:tab/>
      </w:r>
      <w:r>
        <w:t>71</w:t>
      </w:r>
      <w:r w:rsidRPr="00904B18">
        <w:t>%</w:t>
      </w:r>
    </w:p>
    <w:p w:rsidR="000906AA" w:rsidRDefault="000906AA">
      <w:pPr>
        <w:rPr>
          <w:b/>
          <w:bCs/>
        </w:rPr>
      </w:pPr>
      <w:r>
        <w:rPr>
          <w:b/>
          <w:bCs/>
        </w:rPr>
        <w:br w:type="page"/>
      </w:r>
    </w:p>
    <w:p w:rsidR="00B92FC4" w:rsidRPr="00C47A5D" w:rsidRDefault="00B92FC4" w:rsidP="007471A8">
      <w:pPr>
        <w:contextualSpacing/>
        <w:rPr>
          <w:b/>
          <w:bCs/>
        </w:rPr>
      </w:pPr>
      <w:r w:rsidRPr="00C47A5D">
        <w:rPr>
          <w:b/>
          <w:bCs/>
        </w:rPr>
        <w:lastRenderedPageBreak/>
        <w:t>b. Strategies to Accomplish Outcomes</w:t>
      </w:r>
    </w:p>
    <w:p w:rsidR="00B92FC4" w:rsidRDefault="00B92FC4" w:rsidP="007471A8">
      <w:pPr>
        <w:contextualSpacing/>
      </w:pPr>
      <w:r w:rsidRPr="00F53EF4">
        <w:t>In FY 2013, the FBI will continue to pursue corporate fraud, securities fraud, mortgage fraud</w:t>
      </w:r>
      <w:r>
        <w:t>,</w:t>
      </w:r>
      <w:r w:rsidRPr="00F53EF4">
        <w:t xml:space="preserve"> </w:t>
      </w:r>
      <w:proofErr w:type="gramStart"/>
      <w:r w:rsidRPr="00F53EF4">
        <w:t>other</w:t>
      </w:r>
      <w:proofErr w:type="gramEnd"/>
      <w:r w:rsidRPr="00F53EF4">
        <w:t xml:space="preserve"> types of financial institution fraud, health care fraud, money laundering, and insurance fraud, which </w:t>
      </w:r>
      <w:r>
        <w:t xml:space="preserve">all </w:t>
      </w:r>
      <w:r w:rsidRPr="00F53EF4">
        <w:t xml:space="preserve">threaten to undermine our Nation's financial </w:t>
      </w:r>
      <w:proofErr w:type="spellStart"/>
      <w:r>
        <w:t>infratructure</w:t>
      </w:r>
      <w:proofErr w:type="spellEnd"/>
      <w:r w:rsidRPr="00F53EF4">
        <w:t>.  The FBI will aggressively leverage the money laundering and asset forfeiture statutes to ensure that fraudulently obtained funds are located and proper restitution is made to the victims of fraud.  The enforcement strategy is a coordinated approach whereby the FBI will continue to work with other federal agencies to identify and target fraud schemes by successfully investigating, prosecuting, and obtaining judgments and settlements.</w:t>
      </w:r>
    </w:p>
    <w:p w:rsidR="00B92FC4" w:rsidRDefault="00B92FC4" w:rsidP="007471A8">
      <w:pPr>
        <w:contextualSpacing/>
      </w:pPr>
    </w:p>
    <w:p w:rsidR="00B92FC4" w:rsidRPr="00587E2F" w:rsidRDefault="00B92FC4" w:rsidP="007471A8">
      <w:pPr>
        <w:contextualSpacing/>
        <w:rPr>
          <w:b/>
        </w:rPr>
      </w:pPr>
      <w:r w:rsidRPr="007A2BCB">
        <w:rPr>
          <w:b/>
          <w:u w:val="single"/>
        </w:rPr>
        <w:t>Innocent</w:t>
      </w:r>
      <w:r w:rsidRPr="00587E2F">
        <w:rPr>
          <w:b/>
          <w:u w:val="single"/>
        </w:rPr>
        <w:t xml:space="preserve"> Images National Initiative</w:t>
      </w:r>
    </w:p>
    <w:p w:rsidR="00B92FC4" w:rsidRPr="00587E2F" w:rsidRDefault="00B92FC4" w:rsidP="007471A8">
      <w:pPr>
        <w:contextualSpacing/>
        <w:rPr>
          <w:b/>
        </w:rPr>
      </w:pPr>
      <w:r w:rsidRPr="004D5BB4">
        <w:rPr>
          <w:b/>
          <w:bCs/>
        </w:rPr>
        <w:t xml:space="preserve">a. Performance Plan </w:t>
      </w:r>
      <w:r w:rsidRPr="00904B18">
        <w:rPr>
          <w:b/>
          <w:bCs/>
        </w:rPr>
        <w:t>and Report for Outcomes</w:t>
      </w:r>
    </w:p>
    <w:p w:rsidR="00B92FC4" w:rsidRPr="00326A5F" w:rsidRDefault="00B92FC4" w:rsidP="007471A8">
      <w:pPr>
        <w:contextualSpacing/>
        <w:rPr>
          <w:bCs/>
        </w:rPr>
      </w:pPr>
      <w:r w:rsidRPr="00097271">
        <w:t xml:space="preserve">The Innocent Images National Initiative uses the following performance measure to track its progress in combating the exploitation of children through the Internet.  </w:t>
      </w:r>
      <w:r w:rsidRPr="00097271">
        <w:rPr>
          <w:bCs/>
        </w:rPr>
        <w:t xml:space="preserve">The FBI will continue to make efforts to apprehend those who commit sexual exploitation offenses against children, </w:t>
      </w:r>
      <w:r w:rsidRPr="00326A5F">
        <w:rPr>
          <w:bCs/>
        </w:rPr>
        <w:t xml:space="preserve">including those who traffic in child pornography.  </w:t>
      </w:r>
    </w:p>
    <w:p w:rsidR="00B92FC4" w:rsidRDefault="00B92FC4" w:rsidP="007471A8">
      <w:pPr>
        <w:contextualSpacing/>
        <w:rPr>
          <w:b/>
          <w:bCs/>
          <w:i/>
        </w:rPr>
      </w:pPr>
    </w:p>
    <w:p w:rsidR="00B92FC4" w:rsidRDefault="00C5224D" w:rsidP="007471A8">
      <w:pPr>
        <w:contextualSpacing/>
      </w:pPr>
      <w:r>
        <w:rPr>
          <w:noProof/>
        </w:rPr>
        <w:pict>
          <v:shape id="_x0000_s1059" type="#_x0000_t202" style="position:absolute;margin-left:291.95pt;margin-top:23.25pt;width:223.35pt;height:180pt;z-index:-251633664;mso-wrap-distance-top:14.4pt;mso-wrap-distance-bottom:7.2pt" wrapcoords="-72 -90 -72 21510 21672 21510 21672 -90 -72 -90" strokecolor="#969696">
            <v:textbox style="mso-next-textbox:#_x0000_s1059">
              <w:txbxContent>
                <w:p w:rsidR="00561262" w:rsidRPr="00952EAD" w:rsidRDefault="00561262" w:rsidP="00B92FC4">
                  <w:pPr>
                    <w:rPr>
                      <w:b/>
                      <w:sz w:val="16"/>
                    </w:rPr>
                  </w:pPr>
                  <w:r>
                    <w:rPr>
                      <w:noProof/>
                    </w:rPr>
                    <w:drawing>
                      <wp:inline distT="0" distB="0" distL="0" distR="0">
                        <wp:extent cx="2638425" cy="2228850"/>
                        <wp:effectExtent l="0" t="0" r="0" b="0"/>
                        <wp:docPr id="6"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1262" w:rsidRDefault="00561262" w:rsidP="00B92FC4">
                  <w:pPr>
                    <w:jc w:val="both"/>
                  </w:pPr>
                </w:p>
              </w:txbxContent>
            </v:textbox>
            <w10:wrap type="tight"/>
          </v:shape>
        </w:pict>
      </w:r>
      <w:r w:rsidR="00B92FC4" w:rsidRPr="00326A5F">
        <w:rPr>
          <w:b/>
          <w:i/>
        </w:rPr>
        <w:t xml:space="preserve">Performance Measure: </w:t>
      </w:r>
      <w:r w:rsidR="00B92FC4" w:rsidRPr="00326A5F">
        <w:t xml:space="preserve"> Number of children depicted in child pornography that are identified by the FBI.</w:t>
      </w:r>
    </w:p>
    <w:p w:rsidR="00B92FC4" w:rsidRDefault="00B92FC4" w:rsidP="007471A8">
      <w:pPr>
        <w:contextualSpacing/>
        <w:rPr>
          <w:i/>
          <w:iCs/>
        </w:rPr>
      </w:pPr>
    </w:p>
    <w:p w:rsidR="00B92FC4" w:rsidRPr="00D85916" w:rsidRDefault="00B92FC4" w:rsidP="007471A8">
      <w:pPr>
        <w:contextualSpacing/>
        <w:rPr>
          <w:i/>
          <w:iCs/>
        </w:rPr>
      </w:pPr>
      <w:r w:rsidRPr="00CC1B51">
        <w:rPr>
          <w:i/>
          <w:iCs/>
        </w:rPr>
        <w:t>N</w:t>
      </w:r>
      <w:r w:rsidRPr="00D85916">
        <w:rPr>
          <w:i/>
          <w:iCs/>
        </w:rPr>
        <w:t>ote:  FY 2006 data in chart are incomplete: data were only collected for part of that year.</w:t>
      </w:r>
    </w:p>
    <w:p w:rsidR="00B92FC4" w:rsidRDefault="00B92FC4" w:rsidP="007471A8">
      <w:pPr>
        <w:contextualSpacing/>
      </w:pPr>
    </w:p>
    <w:p w:rsidR="00B92FC4" w:rsidRDefault="00B92FC4" w:rsidP="00245AC3">
      <w:pPr>
        <w:tabs>
          <w:tab w:val="left" w:pos="2160"/>
        </w:tabs>
        <w:contextualSpacing/>
        <w:rPr>
          <w:b/>
          <w:bCs/>
          <w:i/>
          <w:iCs/>
        </w:rPr>
      </w:pPr>
      <w:r>
        <w:rPr>
          <w:b/>
          <w:bCs/>
          <w:i/>
          <w:iCs/>
        </w:rPr>
        <w:t xml:space="preserve">FY 2011 Target: </w:t>
      </w:r>
      <w:r w:rsidR="00245AC3">
        <w:rPr>
          <w:b/>
          <w:bCs/>
          <w:i/>
          <w:iCs/>
        </w:rPr>
        <w:tab/>
      </w:r>
      <w:r w:rsidRPr="00521813">
        <w:rPr>
          <w:bCs/>
          <w:iCs/>
        </w:rPr>
        <w:t>140</w:t>
      </w:r>
    </w:p>
    <w:p w:rsidR="00B92FC4" w:rsidRDefault="00B92FC4" w:rsidP="00245AC3">
      <w:pPr>
        <w:tabs>
          <w:tab w:val="left" w:pos="2160"/>
        </w:tabs>
        <w:contextualSpacing/>
        <w:rPr>
          <w:b/>
          <w:bCs/>
          <w:i/>
          <w:iCs/>
        </w:rPr>
      </w:pPr>
      <w:r>
        <w:rPr>
          <w:b/>
          <w:bCs/>
          <w:i/>
          <w:iCs/>
        </w:rPr>
        <w:t xml:space="preserve">FY 2011 Actual: </w:t>
      </w:r>
      <w:r w:rsidR="00245AC3">
        <w:rPr>
          <w:b/>
          <w:bCs/>
          <w:i/>
          <w:iCs/>
        </w:rPr>
        <w:tab/>
      </w:r>
      <w:r w:rsidRPr="00521813">
        <w:rPr>
          <w:bCs/>
          <w:iCs/>
        </w:rPr>
        <w:t>240</w:t>
      </w:r>
    </w:p>
    <w:p w:rsidR="00B92FC4" w:rsidRDefault="00B92FC4" w:rsidP="007471A8">
      <w:pPr>
        <w:contextualSpacing/>
      </w:pPr>
    </w:p>
    <w:p w:rsidR="00B92FC4" w:rsidRPr="0057755D" w:rsidRDefault="00B92FC4" w:rsidP="007471A8">
      <w:pPr>
        <w:contextualSpacing/>
      </w:pPr>
      <w:r w:rsidRPr="0057755D">
        <w:rPr>
          <w:b/>
          <w:bCs/>
          <w:i/>
          <w:iCs/>
        </w:rPr>
        <w:t>Discussion:</w:t>
      </w:r>
      <w:r>
        <w:rPr>
          <w:b/>
          <w:bCs/>
          <w:i/>
          <w:iCs/>
        </w:rPr>
        <w:t xml:space="preserve"> </w:t>
      </w:r>
      <w:r w:rsidRPr="00B54E0C">
        <w:t>The FBI exceeded its</w:t>
      </w:r>
      <w:r>
        <w:t xml:space="preserve"> FY 2011</w:t>
      </w:r>
      <w:r w:rsidRPr="00B54E0C">
        <w:t xml:space="preserve"> target for this measure.  Even as data limitations, such as the FBI</w:t>
      </w:r>
      <w:r>
        <w:t>’s</w:t>
      </w:r>
      <w:r w:rsidRPr="00B54E0C">
        <w:t xml:space="preserve"> </w:t>
      </w:r>
      <w:r>
        <w:t>inability to</w:t>
      </w:r>
      <w:r w:rsidRPr="00B54E0C">
        <w:t xml:space="preserve"> directly control the number of children identified at any given time through investigative techniques, still exist and continue to have an effect on this performance measure, the FBI was able to significantly surpass its target.  The FBI continues to take definitive action to negate any of the aforementioned limitations through its continued collaboration with the National Center for Missing &amp; Exploited Children’s (NCMEC) Child Victim Identification Program (CVIP), and </w:t>
      </w:r>
      <w:proofErr w:type="spellStart"/>
      <w:r w:rsidRPr="00B54E0C">
        <w:t>CyberTipline</w:t>
      </w:r>
      <w:proofErr w:type="spellEnd"/>
      <w:r w:rsidRPr="00B54E0C">
        <w:t>, as well as successful FBI initiatives such as, the Innocent Images International Task Force (IIITF) and the Endangered Child Alert Program (ECAP).</w:t>
      </w:r>
    </w:p>
    <w:p w:rsidR="00B92FC4" w:rsidRDefault="00B92FC4" w:rsidP="007471A8">
      <w:pPr>
        <w:ind w:left="720"/>
        <w:contextualSpacing/>
        <w:rPr>
          <w:b/>
          <w:bCs/>
          <w:i/>
          <w:iCs/>
        </w:rPr>
      </w:pPr>
    </w:p>
    <w:p w:rsidR="00B92FC4" w:rsidRDefault="00B92FC4" w:rsidP="00245AC3">
      <w:pPr>
        <w:tabs>
          <w:tab w:val="left" w:pos="2160"/>
        </w:tabs>
        <w:contextualSpacing/>
        <w:rPr>
          <w:b/>
          <w:bCs/>
          <w:i/>
          <w:iCs/>
        </w:rPr>
      </w:pPr>
      <w:r>
        <w:rPr>
          <w:b/>
          <w:bCs/>
          <w:i/>
          <w:iCs/>
        </w:rPr>
        <w:t>FY 2012 Target:</w:t>
      </w:r>
      <w:r w:rsidR="00245AC3">
        <w:rPr>
          <w:b/>
          <w:bCs/>
          <w:i/>
          <w:iCs/>
        </w:rPr>
        <w:tab/>
      </w:r>
      <w:r w:rsidRPr="00521813">
        <w:rPr>
          <w:bCs/>
          <w:iCs/>
        </w:rPr>
        <w:t>155</w:t>
      </w:r>
    </w:p>
    <w:p w:rsidR="00B92FC4" w:rsidRDefault="00B92FC4" w:rsidP="00245AC3">
      <w:pPr>
        <w:tabs>
          <w:tab w:val="left" w:pos="2160"/>
        </w:tabs>
        <w:contextualSpacing/>
      </w:pPr>
      <w:r w:rsidRPr="0057755D">
        <w:rPr>
          <w:b/>
          <w:bCs/>
          <w:i/>
          <w:iCs/>
        </w:rPr>
        <w:t>FY 201</w:t>
      </w:r>
      <w:r>
        <w:rPr>
          <w:b/>
          <w:bCs/>
          <w:i/>
          <w:iCs/>
        </w:rPr>
        <w:t>3</w:t>
      </w:r>
      <w:r w:rsidRPr="0057755D">
        <w:rPr>
          <w:b/>
          <w:bCs/>
          <w:i/>
          <w:iCs/>
        </w:rPr>
        <w:t xml:space="preserve"> Target:</w:t>
      </w:r>
      <w:r w:rsidR="00245AC3">
        <w:tab/>
      </w:r>
      <w:r>
        <w:t>200</w:t>
      </w:r>
    </w:p>
    <w:p w:rsidR="00B92FC4" w:rsidRPr="0057755D" w:rsidRDefault="00B92FC4" w:rsidP="007471A8">
      <w:pPr>
        <w:ind w:left="720"/>
        <w:contextualSpacing/>
        <w:rPr>
          <w:b/>
          <w:bCs/>
          <w:i/>
          <w:iCs/>
        </w:rPr>
      </w:pPr>
    </w:p>
    <w:p w:rsidR="00B92FC4" w:rsidRDefault="00B92FC4" w:rsidP="007471A8">
      <w:pPr>
        <w:contextualSpacing/>
      </w:pPr>
      <w:r w:rsidRPr="00C47A5D">
        <w:rPr>
          <w:b/>
          <w:bCs/>
        </w:rPr>
        <w:t>b. Strategies to Accomplish Outcomes</w:t>
      </w:r>
    </w:p>
    <w:p w:rsidR="00B92FC4" w:rsidRDefault="00B92FC4"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3C2D45">
        <w:t>In its effort to thwart the online exploitation of children, the FBI’s first priority is those investigations involving organizations, e-groups, or enterprises that exploit children for profit.  The second priority is cases involving travelers; the third priority is the producers, distributors, and possessors of child pornography.  These priorities will be addressed by expanding current Undercover Operations (UCOs) and undercover techniques to target and identify sexual predators and enterprises.  The FBI also will develop and implement proactive initiatives designed to identify child victims and prevent exploitation before it can occur.</w:t>
      </w:r>
    </w:p>
    <w:p w:rsidR="00B92FC4" w:rsidRDefault="00B92FC4"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p>
    <w:p w:rsidR="00B92FC4" w:rsidRPr="00B92FC4" w:rsidRDefault="00B92FC4" w:rsidP="007471A8">
      <w:pPr>
        <w:pStyle w:val="BodyText"/>
        <w:contextualSpacing/>
        <w:rPr>
          <w:b/>
          <w:iCs/>
          <w:szCs w:val="24"/>
        </w:rPr>
      </w:pPr>
      <w:r w:rsidRPr="00B92FC4">
        <w:rPr>
          <w:b/>
          <w:iCs/>
          <w:szCs w:val="24"/>
        </w:rPr>
        <w:lastRenderedPageBreak/>
        <w:t>c. Priority Goals</w:t>
      </w:r>
    </w:p>
    <w:p w:rsidR="00B92FC4" w:rsidRDefault="00B92FC4" w:rsidP="007471A8">
      <w:pPr>
        <w:shd w:val="clear" w:color="auto" w:fill="FFFFFF"/>
        <w:contextualSpacing/>
        <w:rPr>
          <w:color w:val="000000"/>
        </w:rPr>
      </w:pPr>
      <w:r>
        <w:rPr>
          <w:iCs/>
        </w:rPr>
        <w:t>The FBI contributes to the</w:t>
      </w:r>
      <w:r>
        <w:t xml:space="preserve"> </w:t>
      </w:r>
      <w:r>
        <w:rPr>
          <w:iCs/>
        </w:rPr>
        <w:t xml:space="preserve">Vulnerable People Priority Goal 4, which aims to </w:t>
      </w:r>
      <w:r>
        <w:rPr>
          <w:bCs/>
        </w:rPr>
        <w:t>protect those most in need of help</w:t>
      </w:r>
      <w:r>
        <w:t xml:space="preserve"> - with special emphasis on child exploitation and civil rights. By September 30, 2013, working with state and local law enforcement agencies, the FBI will increase protection of potential victims from abuse and exploitation by achieving a 5</w:t>
      </w:r>
      <w:r w:rsidR="00C90C45">
        <w:t xml:space="preserve"> percent</w:t>
      </w:r>
      <w:r>
        <w:t xml:space="preserve"> increase in </w:t>
      </w:r>
      <w:r>
        <w:rPr>
          <w:color w:val="000000"/>
        </w:rPr>
        <w:t xml:space="preserve">investigations concerning non-compliant sex offenders, sexual exploitation of children, human trafficking; investigations concerning sexual exploitation of children and human trafficking; and </w:t>
      </w:r>
      <w:r>
        <w:t>a 5</w:t>
      </w:r>
      <w:r w:rsidR="00C90C45">
        <w:t xml:space="preserve"> percent</w:t>
      </w:r>
      <w:r>
        <w:t xml:space="preserve"> </w:t>
      </w:r>
      <w:r w:rsidR="00466B66">
        <w:t xml:space="preserve">increase </w:t>
      </w:r>
      <w:r>
        <w:t>in the n</w:t>
      </w:r>
      <w:r w:rsidRPr="000D0A58">
        <w:t>umber of children depicted in child pornography that are identified by the FBI</w:t>
      </w:r>
      <w:r>
        <w:rPr>
          <w:color w:val="000000"/>
        </w:rPr>
        <w:t xml:space="preserve">. </w:t>
      </w:r>
      <w:r>
        <w:rPr>
          <w:iCs/>
        </w:rPr>
        <w:t>The FBI’s progress will be reported quarterly.</w:t>
      </w:r>
    </w:p>
    <w:p w:rsidR="00B92FC4" w:rsidRDefault="00B92FC4" w:rsidP="007471A8">
      <w:pPr>
        <w:contextualSpacing/>
        <w:rPr>
          <w:b/>
          <w:u w:val="single"/>
        </w:rPr>
      </w:pPr>
    </w:p>
    <w:p w:rsidR="00B92FC4" w:rsidRDefault="00B92FC4" w:rsidP="007471A8">
      <w:pPr>
        <w:contextualSpacing/>
        <w:rPr>
          <w:b/>
          <w:u w:val="single"/>
        </w:rPr>
      </w:pPr>
      <w:r w:rsidRPr="00587E2F">
        <w:rPr>
          <w:b/>
          <w:u w:val="single"/>
        </w:rPr>
        <w:t>Internet Fraud</w:t>
      </w:r>
    </w:p>
    <w:p w:rsidR="00B92FC4" w:rsidRPr="00587E2F" w:rsidRDefault="00B92FC4" w:rsidP="007471A8">
      <w:pPr>
        <w:contextualSpacing/>
        <w:rPr>
          <w:b/>
        </w:rPr>
      </w:pPr>
      <w:r w:rsidRPr="004D5BB4">
        <w:rPr>
          <w:b/>
          <w:bCs/>
        </w:rPr>
        <w:t xml:space="preserve">a. Performance Plan </w:t>
      </w:r>
      <w:r w:rsidRPr="00904B18">
        <w:rPr>
          <w:b/>
          <w:bCs/>
        </w:rPr>
        <w:t>and Report for Outcomes</w:t>
      </w:r>
    </w:p>
    <w:p w:rsidR="00B92FC4" w:rsidRPr="00097271" w:rsidRDefault="00B92FC4" w:rsidP="007471A8">
      <w:pPr>
        <w:autoSpaceDE w:val="0"/>
        <w:autoSpaceDN w:val="0"/>
        <w:adjustRightInd w:val="0"/>
        <w:contextualSpacing/>
        <w:rPr>
          <w:rFonts w:eastAsia="SimSun"/>
          <w:color w:val="000000"/>
          <w:lang w:eastAsia="zh-CN"/>
        </w:rPr>
      </w:pPr>
      <w:r w:rsidRPr="00097271">
        <w:rPr>
          <w:rFonts w:eastAsia="SimSun"/>
          <w:color w:val="000000"/>
          <w:lang w:eastAsia="zh-CN"/>
        </w:rPr>
        <w:t>The FBI and National White Collar Crime Center partnered in May 2000 to create the Internet Crime Complaint Center (IC3), a national repository for receipt and exchange of consumer, federal, and industry Internet crimes data.  The IC3 allows for an enhanced capability for intelligence development to assist in these multi-divisional investigations.  The FBI uses the IC3 data to develop law enforcement referrals focusing on Internet crimes with significant financial impact, large numbers of victims and/or social impact on Internet users.  Periodically, the FBI synchronizes nationwide takedowns (i.e., arrests, seizures, search warrants, indictments) to target the most significant perpetrators of on-line schemes and draw attention to identified crime problems.</w:t>
      </w:r>
    </w:p>
    <w:p w:rsidR="00B92FC4" w:rsidRDefault="00B92FC4" w:rsidP="007471A8">
      <w:pPr>
        <w:contextualSpacing/>
        <w:rPr>
          <w:b/>
          <w:bCs/>
          <w:i/>
          <w:iCs/>
        </w:rPr>
      </w:pPr>
    </w:p>
    <w:p w:rsidR="00B92FC4" w:rsidRDefault="00B92FC4" w:rsidP="007471A8">
      <w:pPr>
        <w:contextualSpacing/>
      </w:pPr>
      <w:r w:rsidRPr="00326A5F">
        <w:rPr>
          <w:b/>
          <w:i/>
        </w:rPr>
        <w:t xml:space="preserve">Performance Measure: </w:t>
      </w:r>
      <w:r w:rsidRPr="00326A5F">
        <w:t xml:space="preserve"> Number of convictions for Internet fraud [New measure]</w:t>
      </w:r>
    </w:p>
    <w:p w:rsidR="00B92FC4" w:rsidRDefault="00B92FC4" w:rsidP="007471A8">
      <w:pPr>
        <w:contextualSpacing/>
      </w:pPr>
    </w:p>
    <w:p w:rsidR="00B92FC4" w:rsidRDefault="00B92FC4" w:rsidP="007471A8">
      <w:pPr>
        <w:contextualSpacing/>
      </w:pPr>
      <w:r w:rsidRPr="00EB13D2">
        <w:t xml:space="preserve">In accordance with </w:t>
      </w:r>
      <w:r>
        <w:t>DOJ</w:t>
      </w:r>
      <w:r w:rsidRPr="00EB13D2">
        <w:t xml:space="preserve"> guidance, targeted levels of performance are not projected for this indicator.</w:t>
      </w:r>
    </w:p>
    <w:p w:rsidR="00B92FC4" w:rsidRDefault="00B92FC4" w:rsidP="007471A8">
      <w:pPr>
        <w:ind w:left="720"/>
        <w:contextualSpacing/>
      </w:pPr>
    </w:p>
    <w:p w:rsidR="00B92FC4" w:rsidRPr="007A2BCB" w:rsidRDefault="00B92FC4" w:rsidP="007471A8">
      <w:pPr>
        <w:contextualSpacing/>
      </w:pPr>
      <w:r w:rsidRPr="004D5BB4">
        <w:rPr>
          <w:b/>
          <w:bCs/>
          <w:i/>
          <w:iCs/>
        </w:rPr>
        <w:t xml:space="preserve">Discussion: </w:t>
      </w:r>
      <w:r>
        <w:t>As this is a new measure, quarterly data will begin to be collected and reported in FY 2012.</w:t>
      </w:r>
    </w:p>
    <w:p w:rsidR="00B92FC4" w:rsidRDefault="00B92FC4" w:rsidP="007471A8">
      <w:pPr>
        <w:contextualSpacing/>
      </w:pPr>
    </w:p>
    <w:p w:rsidR="00B92FC4" w:rsidRDefault="00B92FC4"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rPr>
      </w:pPr>
      <w:r w:rsidRPr="004D5BB4">
        <w:rPr>
          <w:b/>
          <w:bCs/>
        </w:rPr>
        <w:t>b. Strategies to Accomplish Outcomes</w:t>
      </w:r>
    </w:p>
    <w:p w:rsidR="00B92FC4" w:rsidRPr="007D12E4" w:rsidRDefault="00B92FC4"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3C2D45">
        <w:t xml:space="preserve">The FBI will continue to aggressively pursue criminals that pose a threat to the national information infrastructure and, in the course of such endeavors, commit fraud.  In cases that the Internet is but an instrumentality of a traditional fraud scheme, the FBI’s Cyber Program will continue to pursue the most egregious, high-impact, and sophisticated non-intrusion schemes with an international nexus.  </w:t>
      </w:r>
    </w:p>
    <w:p w:rsidR="00B92FC4" w:rsidRDefault="00B92FC4" w:rsidP="007471A8">
      <w:pPr>
        <w:contextualSpacing/>
      </w:pPr>
    </w:p>
    <w:p w:rsidR="00B92FC4" w:rsidRDefault="00B92FC4" w:rsidP="007471A8">
      <w:pPr>
        <w:contextualSpacing/>
        <w:rPr>
          <w:b/>
        </w:rPr>
      </w:pPr>
      <w:r w:rsidRPr="00E94E5C">
        <w:rPr>
          <w:b/>
          <w:u w:val="single"/>
        </w:rPr>
        <w:t>Gang/Criminal Enterprises - Consolidated Priority Organization Targets (CPOT)</w:t>
      </w:r>
    </w:p>
    <w:p w:rsidR="00B92FC4" w:rsidRDefault="00C5224D" w:rsidP="007471A8">
      <w:pPr>
        <w:contextualSpacing/>
      </w:pPr>
      <w:r>
        <w:rPr>
          <w:noProof/>
        </w:rPr>
        <w:pict>
          <v:shape id="_x0000_s1065" type="#_x0000_t202" style="position:absolute;margin-left:1567.1pt;margin-top:21.45pt;width:223.35pt;height:180pt;z-index:251688960;mso-wrap-distance-top:14.4pt;mso-wrap-distance-bottom:7.2pt;mso-position-horizontal:right" strokecolor="#969696">
            <v:textbox style="mso-next-textbox:#_x0000_s1065">
              <w:txbxContent>
                <w:p w:rsidR="00561262" w:rsidRPr="00952EAD" w:rsidRDefault="00561262" w:rsidP="00B92FC4">
                  <w:pPr>
                    <w:rPr>
                      <w:b/>
                      <w:sz w:val="16"/>
                    </w:rPr>
                  </w:pPr>
                  <w:r>
                    <w:rPr>
                      <w:noProof/>
                    </w:rPr>
                    <w:drawing>
                      <wp:inline distT="0" distB="0" distL="0" distR="0">
                        <wp:extent cx="2609850" cy="2228850"/>
                        <wp:effectExtent l="0" t="0" r="0" b="0"/>
                        <wp:docPr id="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1262" w:rsidRDefault="00561262" w:rsidP="00B92FC4">
                  <w:pPr>
                    <w:jc w:val="both"/>
                  </w:pPr>
                </w:p>
              </w:txbxContent>
            </v:textbox>
            <w10:wrap type="square"/>
          </v:shape>
        </w:pict>
      </w:r>
      <w:r w:rsidR="00B92FC4" w:rsidRPr="004D5BB4">
        <w:rPr>
          <w:b/>
          <w:bCs/>
        </w:rPr>
        <w:t xml:space="preserve">a. Performance Plan </w:t>
      </w:r>
      <w:r w:rsidR="00B92FC4" w:rsidRPr="00904B18">
        <w:rPr>
          <w:b/>
          <w:bCs/>
        </w:rPr>
        <w:t>and Report for Outcomes</w:t>
      </w:r>
      <w:r w:rsidR="00B92FC4" w:rsidRPr="004D5BB4">
        <w:t xml:space="preserve"> </w:t>
      </w:r>
    </w:p>
    <w:p w:rsidR="00B92FC4" w:rsidRDefault="00B92FC4" w:rsidP="007471A8">
      <w:pPr>
        <w:contextualSpacing/>
      </w:pPr>
      <w:r w:rsidRPr="00A8420C">
        <w:t xml:space="preserve">DOJ </w:t>
      </w:r>
      <w:r>
        <w:t>maintains</w:t>
      </w:r>
      <w:r w:rsidRPr="00A8420C">
        <w:t xml:space="preserve"> a single national list of major drug trafficking and money laundering organizations.  This list of targets, known as the CPOT list, reflects the most significant international narcotic supply and related money laundering organizations, poly-drug traffickers, clandestine drug manufacturers and producers, and major drug transporters supplying the U.S.  </w:t>
      </w:r>
    </w:p>
    <w:p w:rsidR="00B92FC4" w:rsidRDefault="00B92FC4" w:rsidP="007471A8">
      <w:pPr>
        <w:contextualSpacing/>
        <w:rPr>
          <w:b/>
          <w:i/>
        </w:rPr>
      </w:pPr>
    </w:p>
    <w:p w:rsidR="00B92FC4" w:rsidRPr="00B13D76" w:rsidRDefault="00B92FC4" w:rsidP="007471A8">
      <w:pPr>
        <w:contextualSpacing/>
      </w:pPr>
      <w:r w:rsidRPr="00F53EF4">
        <w:rPr>
          <w:b/>
          <w:i/>
        </w:rPr>
        <w:t xml:space="preserve">Performance Measure:  </w:t>
      </w:r>
      <w:r w:rsidRPr="00F53EF4">
        <w:rPr>
          <w:bCs/>
          <w:iCs/>
        </w:rPr>
        <w:t>Percentage of FBI OCDETF Investigations with Links to CPOT-linked Drug Trafficking Organizations (DTOs)</w:t>
      </w:r>
    </w:p>
    <w:p w:rsidR="00B92FC4" w:rsidRDefault="00B92FC4" w:rsidP="007471A8">
      <w:pPr>
        <w:autoSpaceDE w:val="0"/>
        <w:autoSpaceDN w:val="0"/>
        <w:adjustRightInd w:val="0"/>
        <w:contextualSpacing/>
        <w:rPr>
          <w:b/>
          <w:bCs/>
          <w:i/>
          <w:iCs/>
        </w:rPr>
      </w:pPr>
    </w:p>
    <w:p w:rsidR="00B92FC4" w:rsidRDefault="00B92FC4" w:rsidP="00245AC3">
      <w:pPr>
        <w:tabs>
          <w:tab w:val="left" w:pos="2160"/>
        </w:tabs>
        <w:autoSpaceDE w:val="0"/>
        <w:autoSpaceDN w:val="0"/>
        <w:adjustRightInd w:val="0"/>
        <w:contextualSpacing/>
        <w:rPr>
          <w:b/>
          <w:bCs/>
          <w:i/>
          <w:iCs/>
        </w:rPr>
      </w:pPr>
      <w:r>
        <w:rPr>
          <w:b/>
          <w:bCs/>
          <w:i/>
          <w:iCs/>
        </w:rPr>
        <w:t xml:space="preserve">FY 2011 Target: </w:t>
      </w:r>
      <w:r w:rsidR="00245AC3">
        <w:rPr>
          <w:b/>
          <w:bCs/>
          <w:i/>
          <w:iCs/>
        </w:rPr>
        <w:tab/>
      </w:r>
      <w:r w:rsidRPr="00AA5D2C">
        <w:rPr>
          <w:bCs/>
          <w:iCs/>
        </w:rPr>
        <w:t>12%</w:t>
      </w:r>
    </w:p>
    <w:p w:rsidR="00B92FC4" w:rsidRDefault="00B92FC4" w:rsidP="00245AC3">
      <w:pPr>
        <w:tabs>
          <w:tab w:val="left" w:pos="2160"/>
        </w:tabs>
        <w:autoSpaceDE w:val="0"/>
        <w:autoSpaceDN w:val="0"/>
        <w:adjustRightInd w:val="0"/>
        <w:contextualSpacing/>
        <w:rPr>
          <w:b/>
          <w:bCs/>
          <w:i/>
          <w:iCs/>
        </w:rPr>
      </w:pPr>
      <w:r>
        <w:rPr>
          <w:b/>
          <w:bCs/>
          <w:i/>
          <w:iCs/>
        </w:rPr>
        <w:t xml:space="preserve">FY 2011 Actual: </w:t>
      </w:r>
      <w:r w:rsidR="00245AC3">
        <w:rPr>
          <w:b/>
          <w:bCs/>
          <w:i/>
          <w:iCs/>
        </w:rPr>
        <w:tab/>
      </w:r>
      <w:r w:rsidRPr="00AA5D2C">
        <w:rPr>
          <w:bCs/>
          <w:iCs/>
        </w:rPr>
        <w:t>16.35%</w:t>
      </w:r>
    </w:p>
    <w:p w:rsidR="00B92FC4" w:rsidRDefault="00B92FC4" w:rsidP="007471A8">
      <w:pPr>
        <w:autoSpaceDE w:val="0"/>
        <w:autoSpaceDN w:val="0"/>
        <w:adjustRightInd w:val="0"/>
        <w:contextualSpacing/>
        <w:rPr>
          <w:rFonts w:eastAsia="SimSun"/>
          <w:lang w:eastAsia="zh-CN"/>
        </w:rPr>
      </w:pPr>
      <w:r w:rsidRPr="00B13D76">
        <w:rPr>
          <w:b/>
          <w:bCs/>
          <w:i/>
          <w:iCs/>
        </w:rPr>
        <w:lastRenderedPageBreak/>
        <w:t>Discussion:</w:t>
      </w:r>
      <w:r>
        <w:t xml:space="preserve"> </w:t>
      </w:r>
      <w:r w:rsidRPr="006A160B">
        <w:rPr>
          <w:rFonts w:eastAsia="SimSun"/>
          <w:lang w:eastAsia="zh-CN"/>
        </w:rPr>
        <w:t xml:space="preserve">CPOT-linked DTOs are identified </w:t>
      </w:r>
      <w:r>
        <w:rPr>
          <w:rFonts w:eastAsia="SimSun"/>
          <w:lang w:eastAsia="zh-CN"/>
        </w:rPr>
        <w:t>t</w:t>
      </w:r>
      <w:r w:rsidRPr="006A160B">
        <w:rPr>
          <w:rFonts w:eastAsia="SimSun"/>
          <w:lang w:eastAsia="zh-CN"/>
        </w:rPr>
        <w:t xml:space="preserve">hrough involved complex and coordinated intelligence, </w:t>
      </w:r>
      <w:r>
        <w:rPr>
          <w:rFonts w:eastAsia="SimSun"/>
          <w:lang w:eastAsia="zh-CN"/>
        </w:rPr>
        <w:t xml:space="preserve">as well as </w:t>
      </w:r>
      <w:r w:rsidRPr="006A160B">
        <w:rPr>
          <w:rFonts w:eastAsia="SimSun"/>
          <w:lang w:eastAsia="zh-CN"/>
        </w:rPr>
        <w:t xml:space="preserve">analyzing drug investigative data and related financial data.  Resources are focused on CPOT-linked organizations </w:t>
      </w:r>
      <w:r>
        <w:rPr>
          <w:rFonts w:eastAsia="SimSun"/>
          <w:lang w:eastAsia="zh-CN"/>
        </w:rPr>
        <w:t>that</w:t>
      </w:r>
      <w:r w:rsidRPr="006A160B">
        <w:rPr>
          <w:rFonts w:eastAsia="SimSun"/>
          <w:lang w:eastAsia="zh-CN"/>
        </w:rPr>
        <w:t xml:space="preserve"> traffic in narcotics and launder illicit proceeds. Resources, expertise and unique investigative capabilities are utilized to target their infrastructure.</w:t>
      </w:r>
    </w:p>
    <w:p w:rsidR="00B92FC4" w:rsidRDefault="00B92FC4" w:rsidP="007471A8">
      <w:pPr>
        <w:autoSpaceDE w:val="0"/>
        <w:autoSpaceDN w:val="0"/>
        <w:adjustRightInd w:val="0"/>
        <w:contextualSpacing/>
      </w:pPr>
    </w:p>
    <w:p w:rsidR="00B92FC4" w:rsidRDefault="00B92FC4" w:rsidP="00245AC3">
      <w:pPr>
        <w:tabs>
          <w:tab w:val="left" w:pos="2160"/>
        </w:tabs>
        <w:autoSpaceDE w:val="0"/>
        <w:autoSpaceDN w:val="0"/>
        <w:adjustRightInd w:val="0"/>
        <w:contextualSpacing/>
        <w:rPr>
          <w:b/>
          <w:bCs/>
          <w:i/>
          <w:iCs/>
        </w:rPr>
      </w:pPr>
      <w:r>
        <w:rPr>
          <w:b/>
          <w:bCs/>
          <w:i/>
          <w:iCs/>
        </w:rPr>
        <w:t xml:space="preserve">FY 2012 Target:  </w:t>
      </w:r>
      <w:r w:rsidR="00245AC3">
        <w:rPr>
          <w:b/>
          <w:bCs/>
          <w:i/>
          <w:iCs/>
        </w:rPr>
        <w:tab/>
      </w:r>
      <w:r w:rsidRPr="00AA5D2C">
        <w:rPr>
          <w:bCs/>
          <w:iCs/>
        </w:rPr>
        <w:t>12%</w:t>
      </w:r>
    </w:p>
    <w:p w:rsidR="00B92FC4" w:rsidRPr="00B13D76" w:rsidRDefault="00B92FC4" w:rsidP="00245AC3">
      <w:pPr>
        <w:tabs>
          <w:tab w:val="left" w:pos="2160"/>
        </w:tabs>
        <w:autoSpaceDE w:val="0"/>
        <w:autoSpaceDN w:val="0"/>
        <w:adjustRightInd w:val="0"/>
        <w:contextualSpacing/>
        <w:rPr>
          <w:sz w:val="12"/>
          <w:szCs w:val="12"/>
        </w:rPr>
      </w:pPr>
      <w:r>
        <w:rPr>
          <w:b/>
          <w:bCs/>
          <w:i/>
          <w:iCs/>
        </w:rPr>
        <w:t>FY 2013</w:t>
      </w:r>
      <w:r w:rsidRPr="00B13D76">
        <w:rPr>
          <w:b/>
          <w:bCs/>
          <w:i/>
          <w:iCs/>
        </w:rPr>
        <w:t xml:space="preserve"> Target: </w:t>
      </w:r>
      <w:r w:rsidRPr="00B13D76">
        <w:t xml:space="preserve"> </w:t>
      </w:r>
      <w:r w:rsidR="00245AC3">
        <w:tab/>
      </w:r>
      <w:r>
        <w:t>12</w:t>
      </w:r>
      <w:r w:rsidRPr="00B13D76">
        <w:t>%</w:t>
      </w:r>
      <w:r w:rsidRPr="00B13D76">
        <w:rPr>
          <w:sz w:val="12"/>
          <w:szCs w:val="12"/>
        </w:rPr>
        <w:t xml:space="preserve"> </w:t>
      </w:r>
    </w:p>
    <w:p w:rsidR="00B92FC4" w:rsidRDefault="00B92FC4" w:rsidP="007471A8">
      <w:pPr>
        <w:autoSpaceDE w:val="0"/>
        <w:autoSpaceDN w:val="0"/>
        <w:adjustRightInd w:val="0"/>
        <w:contextualSpacing/>
      </w:pPr>
    </w:p>
    <w:p w:rsidR="00B92FC4" w:rsidRDefault="00C5224D" w:rsidP="007471A8">
      <w:pPr>
        <w:contextualSpacing/>
      </w:pPr>
      <w:r>
        <w:rPr>
          <w:noProof/>
        </w:rPr>
        <w:pict>
          <v:shape id="_x0000_s1062" type="#_x0000_t202" style="position:absolute;margin-left:286.2pt;margin-top:1.35pt;width:223.35pt;height:174.95pt;z-index:251685888;mso-wrap-distance-top:7.2pt;mso-wrap-distance-bottom:7.2pt" strokecolor="#969696">
            <v:textbox style="mso-next-textbox:#_x0000_s1062">
              <w:txbxContent>
                <w:p w:rsidR="00561262" w:rsidRDefault="00561262" w:rsidP="00B92FC4">
                  <w:pPr>
                    <w:jc w:val="both"/>
                    <w:rPr>
                      <w:b/>
                      <w:sz w:val="16"/>
                    </w:rPr>
                  </w:pPr>
                  <w:r>
                    <w:rPr>
                      <w:b/>
                      <w:noProof/>
                      <w:sz w:val="16"/>
                    </w:rPr>
                    <w:drawing>
                      <wp:inline distT="0" distB="0" distL="0" distR="0">
                        <wp:extent cx="2714625" cy="2076450"/>
                        <wp:effectExtent l="0" t="0" r="0" b="0"/>
                        <wp:docPr id="10"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1262" w:rsidRDefault="00561262" w:rsidP="00B92FC4"/>
              </w:txbxContent>
            </v:textbox>
            <w10:wrap type="square"/>
          </v:shape>
        </w:pict>
      </w:r>
      <w:r w:rsidR="00B92FC4" w:rsidRPr="000D0741">
        <w:rPr>
          <w:b/>
          <w:i/>
        </w:rPr>
        <w:t xml:space="preserve">Performance Measure:  </w:t>
      </w:r>
      <w:r w:rsidR="00B92FC4" w:rsidRPr="000D0741">
        <w:t>CPOT-linked DTOs Disrupted</w:t>
      </w:r>
    </w:p>
    <w:p w:rsidR="00B92FC4" w:rsidRDefault="00B92FC4" w:rsidP="007471A8">
      <w:pPr>
        <w:contextualSpacing/>
      </w:pPr>
    </w:p>
    <w:p w:rsidR="00B92FC4" w:rsidRDefault="00B92FC4" w:rsidP="00245AC3">
      <w:pPr>
        <w:tabs>
          <w:tab w:val="left" w:pos="2160"/>
        </w:tabs>
        <w:contextualSpacing/>
        <w:rPr>
          <w:b/>
          <w:bCs/>
          <w:i/>
          <w:iCs/>
        </w:rPr>
      </w:pPr>
      <w:r>
        <w:rPr>
          <w:b/>
          <w:bCs/>
          <w:i/>
          <w:iCs/>
        </w:rPr>
        <w:t xml:space="preserve">FY 2011 Target: </w:t>
      </w:r>
      <w:r w:rsidR="00245AC3">
        <w:rPr>
          <w:b/>
          <w:bCs/>
          <w:i/>
          <w:iCs/>
        </w:rPr>
        <w:tab/>
      </w:r>
      <w:r w:rsidRPr="00AA5D2C">
        <w:t>30</w:t>
      </w:r>
    </w:p>
    <w:p w:rsidR="00B92FC4" w:rsidRDefault="00B92FC4" w:rsidP="00245AC3">
      <w:pPr>
        <w:tabs>
          <w:tab w:val="left" w:pos="2160"/>
        </w:tabs>
        <w:contextualSpacing/>
        <w:rPr>
          <w:b/>
          <w:bCs/>
          <w:i/>
          <w:iCs/>
        </w:rPr>
      </w:pPr>
      <w:r>
        <w:rPr>
          <w:b/>
          <w:bCs/>
          <w:i/>
          <w:iCs/>
        </w:rPr>
        <w:t xml:space="preserve">FY 2011 Actual: </w:t>
      </w:r>
      <w:r w:rsidR="00245AC3">
        <w:rPr>
          <w:b/>
          <w:bCs/>
          <w:i/>
          <w:iCs/>
        </w:rPr>
        <w:tab/>
      </w:r>
      <w:r w:rsidRPr="00AA5D2C">
        <w:rPr>
          <w:bCs/>
          <w:iCs/>
        </w:rPr>
        <w:t>50</w:t>
      </w:r>
    </w:p>
    <w:p w:rsidR="00B92FC4" w:rsidRDefault="00B92FC4" w:rsidP="007471A8">
      <w:pPr>
        <w:ind w:left="720"/>
        <w:contextualSpacing/>
      </w:pPr>
    </w:p>
    <w:p w:rsidR="00B92FC4" w:rsidRDefault="00B92FC4" w:rsidP="007471A8">
      <w:pPr>
        <w:autoSpaceDE w:val="0"/>
        <w:autoSpaceDN w:val="0"/>
        <w:adjustRightInd w:val="0"/>
        <w:contextualSpacing/>
        <w:rPr>
          <w:rFonts w:eastAsia="SimSun"/>
          <w:lang w:eastAsia="zh-CN"/>
        </w:rPr>
      </w:pPr>
      <w:r w:rsidRPr="00393796">
        <w:rPr>
          <w:b/>
          <w:bCs/>
          <w:i/>
          <w:iCs/>
        </w:rPr>
        <w:t>Discussion:</w:t>
      </w:r>
      <w:r w:rsidRPr="00EA0375">
        <w:rPr>
          <w:rFonts w:eastAsia="SimSun"/>
          <w:lang w:eastAsia="zh-CN"/>
        </w:rPr>
        <w:t xml:space="preserve"> </w:t>
      </w:r>
      <w:r w:rsidRPr="000D1EBA">
        <w:rPr>
          <w:rFonts w:eastAsia="SimSun"/>
          <w:lang w:eastAsia="zh-CN"/>
        </w:rPr>
        <w:t xml:space="preserve">CPOT-linked DTOs are disrupted through complex and coordinated intelligence-driven investigations, and through analysis of drug investigative data and related financial data. These efforts effectively alter the operations of major trafficking organizations.  </w:t>
      </w:r>
    </w:p>
    <w:p w:rsidR="00B92FC4" w:rsidRDefault="00B92FC4" w:rsidP="007471A8">
      <w:pPr>
        <w:contextualSpacing/>
      </w:pPr>
    </w:p>
    <w:p w:rsidR="00B92FC4" w:rsidRDefault="00B92FC4" w:rsidP="00245AC3">
      <w:pPr>
        <w:tabs>
          <w:tab w:val="left" w:pos="2160"/>
        </w:tabs>
        <w:contextualSpacing/>
        <w:rPr>
          <w:b/>
          <w:bCs/>
          <w:i/>
          <w:iCs/>
        </w:rPr>
      </w:pPr>
      <w:r>
        <w:rPr>
          <w:b/>
          <w:bCs/>
          <w:i/>
          <w:iCs/>
        </w:rPr>
        <w:t xml:space="preserve">FY 2012 Target:  </w:t>
      </w:r>
      <w:r w:rsidR="00245AC3">
        <w:rPr>
          <w:b/>
          <w:bCs/>
          <w:i/>
          <w:iCs/>
        </w:rPr>
        <w:tab/>
      </w:r>
      <w:r w:rsidRPr="00AA5D2C">
        <w:rPr>
          <w:bCs/>
          <w:iCs/>
        </w:rPr>
        <w:t>30</w:t>
      </w:r>
    </w:p>
    <w:p w:rsidR="00B92FC4" w:rsidRDefault="00B92FC4" w:rsidP="00245AC3">
      <w:pPr>
        <w:tabs>
          <w:tab w:val="left" w:pos="2160"/>
        </w:tabs>
        <w:contextualSpacing/>
      </w:pPr>
      <w:r w:rsidRPr="005F0D79">
        <w:rPr>
          <w:b/>
          <w:bCs/>
          <w:i/>
          <w:iCs/>
        </w:rPr>
        <w:t>FY 20</w:t>
      </w:r>
      <w:r>
        <w:rPr>
          <w:b/>
          <w:bCs/>
          <w:i/>
          <w:iCs/>
        </w:rPr>
        <w:t>13</w:t>
      </w:r>
      <w:r w:rsidRPr="005F0D79">
        <w:rPr>
          <w:b/>
          <w:bCs/>
          <w:i/>
          <w:iCs/>
        </w:rPr>
        <w:t xml:space="preserve"> Target:  </w:t>
      </w:r>
      <w:r w:rsidR="00245AC3">
        <w:rPr>
          <w:b/>
          <w:bCs/>
          <w:i/>
          <w:iCs/>
        </w:rPr>
        <w:tab/>
      </w:r>
      <w:r>
        <w:t>30</w:t>
      </w:r>
    </w:p>
    <w:p w:rsidR="00B92FC4" w:rsidRDefault="00B92FC4" w:rsidP="007471A8">
      <w:pPr>
        <w:contextualSpacing/>
      </w:pPr>
    </w:p>
    <w:p w:rsidR="00B92FC4" w:rsidRDefault="00B92FC4" w:rsidP="007471A8">
      <w:pPr>
        <w:contextualSpacing/>
      </w:pPr>
      <w:r w:rsidRPr="00F36935">
        <w:rPr>
          <w:b/>
          <w:i/>
        </w:rPr>
        <w:t xml:space="preserve">Performance Measure: </w:t>
      </w:r>
      <w:r w:rsidRPr="00F36935">
        <w:t>CPOT-linked DTOs Dismantled</w:t>
      </w:r>
    </w:p>
    <w:p w:rsidR="00B92FC4" w:rsidRDefault="00C5224D" w:rsidP="007471A8">
      <w:pPr>
        <w:contextualSpacing/>
      </w:pPr>
      <w:r>
        <w:rPr>
          <w:noProof/>
        </w:rPr>
        <w:pict>
          <v:shape id="_x0000_s1063" type="#_x0000_t202" style="position:absolute;margin-left:286.2pt;margin-top:1.15pt;width:223.35pt;height:179.05pt;z-index:251686912;mso-wrap-distance-bottom:7.2pt" filled="f" fillcolor="yellow" strokecolor="#969696">
            <v:textbox style="mso-next-textbox:#_x0000_s1063">
              <w:txbxContent>
                <w:p w:rsidR="00561262" w:rsidRDefault="00561262" w:rsidP="00B92FC4">
                  <w:pPr>
                    <w:jc w:val="both"/>
                    <w:rPr>
                      <w:rFonts w:cs="Arial"/>
                      <w:sz w:val="16"/>
                    </w:rPr>
                  </w:pPr>
                  <w:r>
                    <w:rPr>
                      <w:b/>
                      <w:noProof/>
                      <w:sz w:val="16"/>
                    </w:rPr>
                    <w:drawing>
                      <wp:inline distT="0" distB="0" distL="0" distR="0">
                        <wp:extent cx="2647507" cy="2179675"/>
                        <wp:effectExtent l="0" t="0" r="0" b="0"/>
                        <wp:docPr id="12"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cs="Arial"/>
                      <w:b/>
                      <w:sz w:val="16"/>
                    </w:rPr>
                    <w:t xml:space="preserve"> </w:t>
                  </w:r>
                </w:p>
                <w:p w:rsidR="00561262" w:rsidRDefault="00561262" w:rsidP="00B92FC4">
                  <w:pPr>
                    <w:jc w:val="both"/>
                    <w:rPr>
                      <w:rFonts w:cs="Arial"/>
                    </w:rPr>
                  </w:pPr>
                </w:p>
              </w:txbxContent>
            </v:textbox>
            <w10:wrap type="square"/>
          </v:shape>
        </w:pict>
      </w:r>
    </w:p>
    <w:p w:rsidR="00B92FC4" w:rsidRDefault="00B92FC4" w:rsidP="00245AC3">
      <w:pPr>
        <w:tabs>
          <w:tab w:val="left" w:pos="2160"/>
        </w:tabs>
        <w:contextualSpacing/>
        <w:rPr>
          <w:b/>
          <w:bCs/>
          <w:i/>
          <w:iCs/>
        </w:rPr>
      </w:pPr>
      <w:r>
        <w:rPr>
          <w:b/>
          <w:bCs/>
          <w:i/>
          <w:iCs/>
        </w:rPr>
        <w:t xml:space="preserve">FY 2011 Target: </w:t>
      </w:r>
      <w:r w:rsidR="00245AC3">
        <w:rPr>
          <w:b/>
          <w:bCs/>
          <w:i/>
          <w:iCs/>
        </w:rPr>
        <w:tab/>
      </w:r>
      <w:r w:rsidRPr="00245AC3">
        <w:rPr>
          <w:bCs/>
          <w:iCs/>
        </w:rPr>
        <w:t>15</w:t>
      </w:r>
    </w:p>
    <w:p w:rsidR="00B92FC4" w:rsidRDefault="00B92FC4" w:rsidP="00245AC3">
      <w:pPr>
        <w:tabs>
          <w:tab w:val="left" w:pos="2160"/>
        </w:tabs>
        <w:contextualSpacing/>
        <w:rPr>
          <w:b/>
          <w:bCs/>
          <w:i/>
          <w:iCs/>
        </w:rPr>
      </w:pPr>
      <w:r>
        <w:rPr>
          <w:b/>
          <w:bCs/>
          <w:i/>
          <w:iCs/>
        </w:rPr>
        <w:t xml:space="preserve">FY 2011 Actual: </w:t>
      </w:r>
      <w:r w:rsidR="00245AC3">
        <w:rPr>
          <w:b/>
          <w:bCs/>
          <w:i/>
          <w:iCs/>
        </w:rPr>
        <w:tab/>
      </w:r>
      <w:r w:rsidRPr="00245AC3">
        <w:rPr>
          <w:bCs/>
          <w:iCs/>
        </w:rPr>
        <w:t>22</w:t>
      </w:r>
    </w:p>
    <w:p w:rsidR="00B92FC4" w:rsidRDefault="00B92FC4" w:rsidP="007471A8">
      <w:pPr>
        <w:ind w:left="720"/>
        <w:contextualSpacing/>
        <w:rPr>
          <w:b/>
          <w:bCs/>
          <w:i/>
          <w:iCs/>
        </w:rPr>
      </w:pPr>
    </w:p>
    <w:p w:rsidR="00B92FC4" w:rsidRDefault="00B92FC4" w:rsidP="007471A8">
      <w:pPr>
        <w:autoSpaceDE w:val="0"/>
        <w:autoSpaceDN w:val="0"/>
        <w:adjustRightInd w:val="0"/>
        <w:contextualSpacing/>
        <w:rPr>
          <w:rFonts w:ascii="Courier" w:eastAsia="SimSun" w:hAnsi="Courier" w:cs="Courier"/>
          <w:color w:val="000000"/>
          <w:lang w:eastAsia="zh-CN"/>
        </w:rPr>
      </w:pPr>
      <w:r w:rsidRPr="005F0D79">
        <w:rPr>
          <w:b/>
          <w:bCs/>
          <w:i/>
          <w:iCs/>
        </w:rPr>
        <w:t xml:space="preserve">Discussion: </w:t>
      </w:r>
      <w:r w:rsidRPr="001A0E67">
        <w:rPr>
          <w:rFonts w:eastAsia="SimSun"/>
          <w:color w:val="000000"/>
          <w:lang w:eastAsia="zh-CN"/>
        </w:rPr>
        <w:t xml:space="preserve">The previous target for this measure was not </w:t>
      </w:r>
      <w:r>
        <w:rPr>
          <w:rFonts w:eastAsia="SimSun"/>
          <w:color w:val="000000"/>
          <w:lang w:eastAsia="zh-CN"/>
        </w:rPr>
        <w:t>m</w:t>
      </w:r>
      <w:r w:rsidRPr="001A0E67">
        <w:rPr>
          <w:rFonts w:eastAsia="SimSun"/>
          <w:color w:val="000000"/>
          <w:lang w:eastAsia="zh-CN"/>
        </w:rPr>
        <w:t xml:space="preserve">et </w:t>
      </w:r>
      <w:r>
        <w:rPr>
          <w:rFonts w:eastAsia="SimSun"/>
          <w:color w:val="000000"/>
          <w:lang w:eastAsia="zh-CN"/>
        </w:rPr>
        <w:t>for several reasons.</w:t>
      </w:r>
      <w:r w:rsidRPr="001A0E67">
        <w:rPr>
          <w:rFonts w:eastAsia="SimSun"/>
          <w:color w:val="000000"/>
          <w:lang w:eastAsia="zh-CN"/>
        </w:rPr>
        <w:t xml:space="preserve"> </w:t>
      </w:r>
      <w:r>
        <w:rPr>
          <w:rFonts w:eastAsia="SimSun"/>
          <w:color w:val="000000"/>
          <w:lang w:eastAsia="zh-CN"/>
        </w:rPr>
        <w:t>First, i</w:t>
      </w:r>
      <w:r w:rsidRPr="001A0E67">
        <w:rPr>
          <w:rFonts w:eastAsia="SimSun"/>
          <w:color w:val="000000"/>
          <w:lang w:eastAsia="zh-CN"/>
        </w:rPr>
        <w:t xml:space="preserve">nvestigations of CPOT-level organizations are complex and time-consuming, and the impact of dismantling such a network may not be apparent immediately.  DTOs are typically assessed in the months that follow law enforcement actions to determine if they were truly dismantled and this assessment causes a reporting lag time.  </w:t>
      </w:r>
      <w:r>
        <w:rPr>
          <w:rFonts w:eastAsia="SimSun"/>
          <w:color w:val="000000"/>
          <w:lang w:eastAsia="zh-CN"/>
        </w:rPr>
        <w:t>Second, l</w:t>
      </w:r>
      <w:r w:rsidRPr="001A0E67">
        <w:rPr>
          <w:rFonts w:eastAsia="SimSun"/>
          <w:color w:val="000000"/>
          <w:lang w:eastAsia="zh-CN"/>
        </w:rPr>
        <w:t xml:space="preserve">aw enforcement actions that would dismantle a criminal organization cannot be rushed but must reach a logical juncture at which point a dismantling law enforcement action is appropriate and warranted.  </w:t>
      </w:r>
      <w:r>
        <w:rPr>
          <w:rFonts w:eastAsia="SimSun"/>
          <w:color w:val="000000"/>
          <w:lang w:eastAsia="zh-CN"/>
        </w:rPr>
        <w:t>Third, i</w:t>
      </w:r>
      <w:r w:rsidRPr="001A0E67">
        <w:rPr>
          <w:rFonts w:eastAsia="SimSun"/>
          <w:color w:val="000000"/>
          <w:lang w:eastAsia="zh-CN"/>
        </w:rPr>
        <w:t xml:space="preserve">t is labor intensive to perform the research and analysis associated with validating the CPOT linkage status of a criminal organization, and delays in CPOT linkage verification impact the statistical reporting.  </w:t>
      </w:r>
    </w:p>
    <w:p w:rsidR="00B92FC4" w:rsidRDefault="00B92FC4" w:rsidP="007471A8">
      <w:pPr>
        <w:contextualSpacing/>
        <w:rPr>
          <w:b/>
          <w:bCs/>
        </w:rPr>
      </w:pPr>
    </w:p>
    <w:p w:rsidR="00B92FC4" w:rsidRPr="00AA5D2C" w:rsidRDefault="00B92FC4" w:rsidP="00245AC3">
      <w:pPr>
        <w:tabs>
          <w:tab w:val="left" w:pos="2160"/>
        </w:tabs>
        <w:contextualSpacing/>
        <w:rPr>
          <w:b/>
          <w:bCs/>
          <w:i/>
        </w:rPr>
      </w:pPr>
      <w:r>
        <w:rPr>
          <w:b/>
          <w:bCs/>
          <w:i/>
        </w:rPr>
        <w:t xml:space="preserve">FY 2012 Target: </w:t>
      </w:r>
      <w:r w:rsidR="00245AC3">
        <w:rPr>
          <w:b/>
          <w:bCs/>
          <w:i/>
        </w:rPr>
        <w:tab/>
      </w:r>
      <w:r w:rsidRPr="00AA5D2C">
        <w:rPr>
          <w:bCs/>
        </w:rPr>
        <w:t>15</w:t>
      </w:r>
    </w:p>
    <w:p w:rsidR="00B92FC4" w:rsidRDefault="00B92FC4" w:rsidP="00245AC3">
      <w:pPr>
        <w:tabs>
          <w:tab w:val="left" w:pos="2160"/>
        </w:tabs>
        <w:contextualSpacing/>
      </w:pPr>
      <w:r w:rsidRPr="005F0D79">
        <w:rPr>
          <w:b/>
          <w:bCs/>
          <w:i/>
          <w:iCs/>
        </w:rPr>
        <w:t>FY 20</w:t>
      </w:r>
      <w:r>
        <w:rPr>
          <w:b/>
          <w:bCs/>
          <w:i/>
          <w:iCs/>
        </w:rPr>
        <w:t>13</w:t>
      </w:r>
      <w:r w:rsidRPr="005F0D79">
        <w:rPr>
          <w:b/>
          <w:bCs/>
          <w:i/>
          <w:iCs/>
        </w:rPr>
        <w:t xml:space="preserve"> Target:</w:t>
      </w:r>
      <w:r>
        <w:t xml:space="preserve"> </w:t>
      </w:r>
      <w:r w:rsidR="00245AC3">
        <w:tab/>
      </w:r>
      <w:r>
        <w:t>15</w:t>
      </w:r>
    </w:p>
    <w:p w:rsidR="00B92FC4" w:rsidRDefault="00B92FC4" w:rsidP="007471A8">
      <w:pPr>
        <w:contextualSpacing/>
        <w:rPr>
          <w:b/>
          <w:bCs/>
        </w:rPr>
      </w:pPr>
    </w:p>
    <w:p w:rsidR="00B92FC4" w:rsidRDefault="00B92FC4" w:rsidP="007471A8">
      <w:pPr>
        <w:contextualSpacing/>
        <w:rPr>
          <w:b/>
          <w:bCs/>
        </w:rPr>
      </w:pPr>
      <w:r w:rsidRPr="004D5BB4">
        <w:rPr>
          <w:b/>
          <w:bCs/>
        </w:rPr>
        <w:t>b. Strategies to Accomplish Outcomes</w:t>
      </w:r>
    </w:p>
    <w:p w:rsidR="00B92FC4" w:rsidRDefault="00B92FC4" w:rsidP="007471A8">
      <w:pPr>
        <w:contextualSpacing/>
      </w:pPr>
      <w:r w:rsidRPr="003C2D45">
        <w:t xml:space="preserve">Asian criminal enterprises (ACEs) are involved in criminal violations that include organized crime activities, such as murder, alien smuggling, extortion, loan sharking, illegal gambling, counterfeit currency and credit cards, prostitution, money laundering, drug distribution, and various acts of violence. Loosely knit, flexible, and highly mobile, ACEs have become more sophisticated, diverse, and </w:t>
      </w:r>
      <w:r w:rsidRPr="003C2D45">
        <w:lastRenderedPageBreak/>
        <w:t xml:space="preserve">aggressive in directing their activities, and profiting through legitimate and illegitimate businesses to avoid law enforcement attention and scrutiny.  Russian/Eastern European/Eurasian criminal enterprise groups (ECEs) in the U.S. are engaged in traditional racketeering activity such as extortion, murder, prostitution, and drugs.  Both </w:t>
      </w:r>
      <w:r>
        <w:t>Russian/Eastern European/Eurasian Criminal Enterprises (</w:t>
      </w:r>
      <w:r w:rsidRPr="003C2D45">
        <w:t>ECEs</w:t>
      </w:r>
      <w:r>
        <w:t>)</w:t>
      </w:r>
      <w:r w:rsidRPr="003C2D45">
        <w:t xml:space="preserve"> and Middle Eastern criminal enterprise organizations are also deeply involved in large-scale white-collar crimes, such as gasoline excise tax scams, fraudulent insurance claims, stock fraud, and bank fraud.  The </w:t>
      </w:r>
      <w:r>
        <w:t>FBI’s strategy for</w:t>
      </w:r>
      <w:r w:rsidRPr="003C2D45">
        <w:t xml:space="preserve"> </w:t>
      </w:r>
      <w:r>
        <w:t>c</w:t>
      </w:r>
      <w:r w:rsidRPr="003C2D45">
        <w:t xml:space="preserve">riminal </w:t>
      </w:r>
      <w:r>
        <w:t>organization</w:t>
      </w:r>
      <w:r w:rsidRPr="003C2D45">
        <w:t xml:space="preserve"> </w:t>
      </w:r>
      <w:r>
        <w:t xml:space="preserve">investigations </w:t>
      </w:r>
      <w:r w:rsidRPr="003C2D45">
        <w:t>emphasizes the development and focusing of resources on national targets, the use of the Enterprise Theory of Investigations</w:t>
      </w:r>
      <w:r>
        <w:t xml:space="preserve"> (which focuses investigations on the overall organization in question)</w:t>
      </w:r>
      <w:r w:rsidRPr="003C2D45">
        <w:t xml:space="preserve">, the enhanced use of intelligence, and the exploitation and development of FBI technical capabilities.  </w:t>
      </w:r>
    </w:p>
    <w:p w:rsidR="00B92FC4" w:rsidRDefault="00B92FC4" w:rsidP="007471A8">
      <w:pPr>
        <w:contextualSpacing/>
      </w:pPr>
    </w:p>
    <w:p w:rsidR="00B92FC4" w:rsidRDefault="00B92FC4" w:rsidP="007471A8">
      <w:pPr>
        <w:contextualSpacing/>
      </w:pPr>
      <w:r w:rsidRPr="003C2D45">
        <w:t xml:space="preserve">To address the threat that violent urban gangs pose on a local, regional, national and even international level, the FBI </w:t>
      </w:r>
      <w:r>
        <w:t xml:space="preserve">first </w:t>
      </w:r>
      <w:r w:rsidRPr="003C2D45">
        <w:t xml:space="preserve">established a National Gang Strategy </w:t>
      </w:r>
      <w:r>
        <w:t xml:space="preserve">in the 1990s </w:t>
      </w:r>
      <w:r w:rsidRPr="003C2D45">
        <w:t>to identify the gangs posing the greatest danger to American communities, to combine and coordinate the efforts of the local, state, and federal law enforcement in Violent Gang Safe Streets Task Forces throughout the U.S., and to utilize the same techniques previously used against organized criminal enterprises.  The increasingly violent activity of MS-</w:t>
      </w:r>
      <w:proofErr w:type="gramStart"/>
      <w:r w:rsidRPr="003C2D45">
        <w:t>13,</w:t>
      </w:r>
      <w:proofErr w:type="gramEnd"/>
      <w:r w:rsidRPr="003C2D45">
        <w:t xml:space="preserve"> has prompted an FBI initiative that will assure extensive coordination between all Field Offices involved in the investigation of MS-13 matters.  Additionally, due to a significant number of MS-13 gang members residing in Central America and Mexico, liaison with international law enforcement partners abroad will be a key part of the FBI’s strategy against this gang threat.  In FY 2006, DOJ and DHS established the National Gang Tracking Enforcement Coordination Center (</w:t>
      </w:r>
      <w:proofErr w:type="spellStart"/>
      <w:r w:rsidRPr="003C2D45">
        <w:t>GangTECC</w:t>
      </w:r>
      <w:proofErr w:type="spellEnd"/>
      <w:r w:rsidRPr="003C2D45">
        <w:t xml:space="preserve">), </w:t>
      </w:r>
      <w:r w:rsidRPr="003C2D45">
        <w:rPr>
          <w:rFonts w:eastAsia="SimSun"/>
          <w:lang w:eastAsia="zh-CN"/>
        </w:rPr>
        <w:t xml:space="preserve">now known as Special Operations Division/Operational Section: Gangs (SOD/OSG), </w:t>
      </w:r>
      <w:r w:rsidRPr="003C2D45">
        <w:t>a multi-agency</w:t>
      </w:r>
      <w:r w:rsidRPr="003C2D45">
        <w:rPr>
          <w:b/>
          <w:bCs/>
        </w:rPr>
        <w:t xml:space="preserve"> </w:t>
      </w:r>
      <w:r w:rsidRPr="003C2D45">
        <w:t>initiative</w:t>
      </w:r>
      <w:r w:rsidRPr="003C2D45">
        <w:rPr>
          <w:b/>
          <w:bCs/>
        </w:rPr>
        <w:t xml:space="preserve"> </w:t>
      </w:r>
      <w:r w:rsidRPr="003C2D45">
        <w:t xml:space="preserve">anti-gang enforcement, </w:t>
      </w:r>
      <w:proofErr w:type="spellStart"/>
      <w:r w:rsidRPr="003C2D45">
        <w:t>deconfliction</w:t>
      </w:r>
      <w:proofErr w:type="spellEnd"/>
      <w:r w:rsidRPr="003C2D45">
        <w:t xml:space="preserve">, coordination and targeting center </w:t>
      </w:r>
      <w:r w:rsidRPr="003C2D45">
        <w:rPr>
          <w:rFonts w:eastAsia="SimSun"/>
          <w:lang w:eastAsia="zh-CN"/>
        </w:rPr>
        <w:t>headed by a Director from the DEA and a Deputy Director from the FBI, and</w:t>
      </w:r>
      <w:r w:rsidRPr="003C2D45">
        <w:t xml:space="preserve"> staffed with representatives from ATF, BOP, DEA, FBI, ICE and the USMS.  </w:t>
      </w:r>
    </w:p>
    <w:p w:rsidR="00B92FC4" w:rsidRDefault="00B92FC4" w:rsidP="007471A8">
      <w:pPr>
        <w:contextualSpacing/>
      </w:pPr>
    </w:p>
    <w:p w:rsidR="00B92FC4" w:rsidRPr="003E33A5" w:rsidRDefault="00B92FC4" w:rsidP="007471A8">
      <w:pPr>
        <w:contextualSpacing/>
      </w:pPr>
      <w:r w:rsidRPr="003E33A5">
        <w:t xml:space="preserve">DOJ defines gangs as </w:t>
      </w:r>
      <w:r w:rsidRPr="003E33A5">
        <w:rPr>
          <w:color w:val="000000"/>
        </w:rPr>
        <w:t>association</w:t>
      </w:r>
      <w:r>
        <w:rPr>
          <w:color w:val="000000"/>
        </w:rPr>
        <w:t>s</w:t>
      </w:r>
      <w:r w:rsidRPr="003E33A5">
        <w:rPr>
          <w:color w:val="000000"/>
        </w:rPr>
        <w:t xml:space="preserve"> of three or more individuals</w:t>
      </w:r>
      <w:r>
        <w:rPr>
          <w:color w:val="000000"/>
        </w:rPr>
        <w:t xml:space="preserve"> </w:t>
      </w:r>
      <w:r w:rsidRPr="003E33A5">
        <w:rPr>
          <w:color w:val="000000"/>
        </w:rPr>
        <w:t>whose members collectively identify themselves by adopting a group identity which they use to create an atmosphere of fear or intimidation frequently by employing one or more of the following: a common name, slogan, identifying sign, symbol, tattoo or other physical marking, style or color of clothing, hairst</w:t>
      </w:r>
      <w:r>
        <w:rPr>
          <w:color w:val="000000"/>
        </w:rPr>
        <w:t>yle, hand sign or graffiti. T</w:t>
      </w:r>
      <w:r w:rsidRPr="003E33A5">
        <w:rPr>
          <w:color w:val="000000"/>
        </w:rPr>
        <w:t>he association's purpose, in part, is to engage in criminal activity and the association uses violence or intimidation to furthe</w:t>
      </w:r>
      <w:r>
        <w:rPr>
          <w:color w:val="000000"/>
        </w:rPr>
        <w:t>r its criminal objectives. I</w:t>
      </w:r>
      <w:r w:rsidRPr="003E33A5">
        <w:rPr>
          <w:color w:val="000000"/>
        </w:rPr>
        <w:t xml:space="preserve">ts members engage in criminal </w:t>
      </w:r>
      <w:proofErr w:type="gramStart"/>
      <w:r w:rsidRPr="003E33A5">
        <w:rPr>
          <w:color w:val="000000"/>
        </w:rPr>
        <w:t>activity,</w:t>
      </w:r>
      <w:proofErr w:type="gramEnd"/>
      <w:r w:rsidRPr="003E33A5">
        <w:rPr>
          <w:color w:val="000000"/>
        </w:rPr>
        <w:t xml:space="preserve"> or acts of juvenile delinquency that if commit</w:t>
      </w:r>
      <w:r>
        <w:rPr>
          <w:color w:val="000000"/>
        </w:rPr>
        <w:t>ted by an adult would be crimes</w:t>
      </w:r>
      <w:r w:rsidRPr="003E33A5">
        <w:rPr>
          <w:color w:val="000000"/>
        </w:rPr>
        <w:t xml:space="preserve"> with the intent to enhance or preserve the association's power, reputation</w:t>
      </w:r>
      <w:r>
        <w:rPr>
          <w:color w:val="000000"/>
        </w:rPr>
        <w:t>, or economic resources. The</w:t>
      </w:r>
      <w:r w:rsidRPr="003E33A5">
        <w:rPr>
          <w:color w:val="000000"/>
        </w:rPr>
        <w:t xml:space="preserve"> association may also possess some of the following characteristics: (a) the members employ rules for joining and operating within the association; (b) the members meet on a recurring basis; (c) the association provides physical protection of its members from other criminals and gangs; (d) the association seeks to exercise control over a particular location or region, or it may simply defend its perceived interests against rivals; or (e) the association has an i</w:t>
      </w:r>
      <w:r>
        <w:rPr>
          <w:color w:val="000000"/>
        </w:rPr>
        <w:t xml:space="preserve">dentifiable structure. This </w:t>
      </w:r>
      <w:r w:rsidRPr="003E33A5">
        <w:rPr>
          <w:color w:val="000000"/>
        </w:rPr>
        <w:t>definition is not intended to include traditional organized crime groups such as La Cosa Nostra, groups that fall within the Department's definition of "international organized crime," drug trafficking organizations or terrorist organizations.</w:t>
      </w:r>
    </w:p>
    <w:p w:rsidR="00B92FC4" w:rsidRDefault="00B92FC4" w:rsidP="007471A8">
      <w:pPr>
        <w:contextualSpacing/>
      </w:pPr>
    </w:p>
    <w:p w:rsidR="00B92FC4" w:rsidRPr="0088440D" w:rsidRDefault="00B92FC4" w:rsidP="007471A8">
      <w:pPr>
        <w:contextualSpacing/>
      </w:pPr>
      <w:r>
        <w:t>The</w:t>
      </w:r>
      <w:r w:rsidRPr="003C2D45">
        <w:t xml:space="preserve"> FBI concentrates counter-narcotics resources against DTOs with the most extensive drug networks in the U.S.  As entire drug trafficking networks, from sources of supply through the transporters/distributors are disrupted or dismantled, the availability of drugs within the U.S. will be reduced.  To assess its performance in combating criminal enterprises that engage in drug trafficking, the Gang/Criminal Enterprise Program works in tandem with DEA and the Executive Office for OCDETF to track the number of organizations linked to targets on DOJ’s CPOT list.</w:t>
      </w:r>
    </w:p>
    <w:p w:rsidR="00B92FC4" w:rsidRDefault="00B92FC4" w:rsidP="007471A8">
      <w:pPr>
        <w:contextualSpacing/>
        <w:rPr>
          <w:b/>
          <w:bCs/>
          <w:u w:val="single"/>
        </w:rPr>
      </w:pPr>
    </w:p>
    <w:p w:rsidR="00DC37E8" w:rsidRPr="00B92FC4" w:rsidRDefault="00DC37E8" w:rsidP="007471A8">
      <w:pPr>
        <w:pStyle w:val="BodyText"/>
        <w:contextualSpacing/>
        <w:rPr>
          <w:b/>
          <w:iCs/>
          <w:szCs w:val="24"/>
        </w:rPr>
      </w:pPr>
      <w:r w:rsidRPr="00B92FC4">
        <w:rPr>
          <w:b/>
          <w:iCs/>
          <w:szCs w:val="24"/>
        </w:rPr>
        <w:lastRenderedPageBreak/>
        <w:t>c. Priority Goals</w:t>
      </w:r>
    </w:p>
    <w:p w:rsidR="00DC37E8" w:rsidRDefault="00DC37E8" w:rsidP="007471A8">
      <w:pPr>
        <w:pStyle w:val="NormalWeb"/>
        <w:spacing w:before="0" w:beforeAutospacing="0" w:after="0" w:afterAutospacing="0"/>
        <w:contextualSpacing/>
        <w:rPr>
          <w:iCs/>
        </w:rPr>
      </w:pPr>
      <w:r>
        <w:rPr>
          <w:iCs/>
        </w:rPr>
        <w:t xml:space="preserve">The FBI contributes to the </w:t>
      </w:r>
      <w:r>
        <w:rPr>
          <w:bCs/>
        </w:rPr>
        <w:t xml:space="preserve">Violent Crime </w:t>
      </w:r>
      <w:r>
        <w:rPr>
          <w:iCs/>
        </w:rPr>
        <w:t>Priority Goal 2, which aims to r</w:t>
      </w:r>
      <w:r>
        <w:t>educe gang violence. By September 30, 2013, the FBI will increase coordination on gang investigations among Federal, State, and local law enforcement and increase intelligence products produced in support of Federal, State, and local investigations that are focused on gangs posing a significant threat to communities by 5</w:t>
      </w:r>
      <w:r w:rsidR="00C90C45">
        <w:t xml:space="preserve"> percent</w:t>
      </w:r>
      <w:r>
        <w:t xml:space="preserve">. </w:t>
      </w:r>
      <w:r>
        <w:rPr>
          <w:iCs/>
        </w:rPr>
        <w:t>The FBI’s progress will be reported quarterly.</w:t>
      </w:r>
    </w:p>
    <w:p w:rsidR="00DC37E8" w:rsidRDefault="00DC37E8" w:rsidP="007471A8">
      <w:pPr>
        <w:contextualSpacing/>
        <w:rPr>
          <w:b/>
          <w:bCs/>
          <w:u w:val="single"/>
        </w:rPr>
      </w:pPr>
    </w:p>
    <w:p w:rsidR="00B92FC4" w:rsidRDefault="00B92FC4" w:rsidP="007471A8">
      <w:pPr>
        <w:contextualSpacing/>
        <w:rPr>
          <w:b/>
          <w:bCs/>
          <w:u w:val="single"/>
        </w:rPr>
      </w:pPr>
      <w:r w:rsidRPr="0088440D">
        <w:rPr>
          <w:b/>
          <w:bCs/>
          <w:u w:val="single"/>
        </w:rPr>
        <w:t>Organized Criminal Enterprises &amp; Gangs/Criminal Enterprises</w:t>
      </w:r>
    </w:p>
    <w:p w:rsidR="00B92FC4" w:rsidRDefault="00B92FC4" w:rsidP="007471A8">
      <w:pPr>
        <w:contextualSpacing/>
        <w:rPr>
          <w:b/>
          <w:bCs/>
        </w:rPr>
      </w:pPr>
      <w:r w:rsidRPr="0088440D">
        <w:rPr>
          <w:b/>
          <w:bCs/>
        </w:rPr>
        <w:t>a. Performance Plan and Report for Outcomes</w:t>
      </w:r>
    </w:p>
    <w:p w:rsidR="00B92FC4" w:rsidRDefault="00B92FC4" w:rsidP="007471A8">
      <w:pPr>
        <w:contextualSpacing/>
        <w:rPr>
          <w:u w:val="single"/>
        </w:rPr>
      </w:pPr>
      <w:r w:rsidRPr="00A8420C">
        <w:rPr>
          <w:u w:val="single"/>
        </w:rPr>
        <w:t>Organized Criminal Enterprises</w:t>
      </w:r>
    </w:p>
    <w:p w:rsidR="00B92FC4" w:rsidRPr="0088440D" w:rsidRDefault="00B92FC4" w:rsidP="007471A8">
      <w:pPr>
        <w:contextualSpacing/>
      </w:pPr>
      <w:r>
        <w:t>FBI investigations of criminal enterprises</w:t>
      </w:r>
      <w:r w:rsidRPr="00A8420C">
        <w:t xml:space="preserve"> involved in sustained racketeering activities that are </w:t>
      </w:r>
      <w:r>
        <w:t>focused on those enterprises with ethnic</w:t>
      </w:r>
      <w:r w:rsidRPr="00A8420C">
        <w:t xml:space="preserve"> ties to Asia, Africa, the Middle East, and Europe.  Organized criminal enterprise investigations, through the use of the Racketeering Influenced Corrupt Organization statute, target the entire entity resp</w:t>
      </w:r>
      <w:r>
        <w:t xml:space="preserve">onsible for the crime problem. </w:t>
      </w:r>
      <w:r w:rsidRPr="00A8420C">
        <w:t>Each of these groups is engaged in a myriad of criminal activities.</w:t>
      </w:r>
    </w:p>
    <w:p w:rsidR="00B92FC4" w:rsidRDefault="00B92FC4" w:rsidP="007471A8">
      <w:pPr>
        <w:contextualSpacing/>
        <w:rPr>
          <w:b/>
          <w:bCs/>
          <w:i/>
          <w:iCs/>
        </w:rPr>
      </w:pPr>
    </w:p>
    <w:p w:rsidR="00B92FC4" w:rsidRPr="0088440D" w:rsidRDefault="00B92FC4" w:rsidP="007471A8">
      <w:pPr>
        <w:contextualSpacing/>
      </w:pPr>
      <w:r w:rsidRPr="00F53EF4">
        <w:rPr>
          <w:b/>
          <w:bCs/>
          <w:i/>
          <w:iCs/>
        </w:rPr>
        <w:t>Performance Measure:</w:t>
      </w:r>
      <w:r w:rsidRPr="00F53EF4">
        <w:rPr>
          <w:i/>
          <w:iCs/>
        </w:rPr>
        <w:t xml:space="preserve"> </w:t>
      </w:r>
      <w:r w:rsidRPr="00F53EF4">
        <w:t>Organized Criminal Enterprises Dismantled</w:t>
      </w:r>
    </w:p>
    <w:p w:rsidR="00B92FC4" w:rsidRPr="0088440D" w:rsidRDefault="00C5457C"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b/>
          <w:bCs/>
          <w:i/>
          <w:iCs/>
        </w:rPr>
      </w:pPr>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87630</wp:posOffset>
            </wp:positionV>
            <wp:extent cx="2767330" cy="2018030"/>
            <wp:effectExtent l="19050" t="0" r="13970" b="1270"/>
            <wp:wrapSquare wrapText="bothSides"/>
            <wp:docPr id="5"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B92FC4" w:rsidRDefault="00B92FC4" w:rsidP="00245A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Pr>
          <w:b/>
          <w:bCs/>
          <w:i/>
          <w:iCs/>
        </w:rPr>
        <w:t xml:space="preserve">FY 2011 Target:  </w:t>
      </w:r>
      <w:r w:rsidR="00245AC3">
        <w:rPr>
          <w:b/>
          <w:bCs/>
          <w:i/>
          <w:iCs/>
        </w:rPr>
        <w:tab/>
      </w:r>
      <w:r w:rsidRPr="004B4B8D">
        <w:rPr>
          <w:bCs/>
          <w:iCs/>
        </w:rPr>
        <w:t>37</w:t>
      </w:r>
    </w:p>
    <w:p w:rsidR="00B92FC4" w:rsidRDefault="00B92FC4" w:rsidP="00245A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Pr>
          <w:b/>
          <w:bCs/>
          <w:i/>
          <w:iCs/>
        </w:rPr>
        <w:t xml:space="preserve">FY 2011 Actual:  </w:t>
      </w:r>
      <w:r w:rsidR="00245AC3">
        <w:rPr>
          <w:b/>
          <w:bCs/>
          <w:i/>
          <w:iCs/>
        </w:rPr>
        <w:tab/>
      </w:r>
      <w:r w:rsidRPr="004B4B8D">
        <w:rPr>
          <w:bCs/>
          <w:iCs/>
        </w:rPr>
        <w:t>39</w:t>
      </w:r>
    </w:p>
    <w:p w:rsidR="00B92FC4" w:rsidRPr="0088440D" w:rsidRDefault="00B92FC4"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b/>
          <w:bCs/>
          <w:i/>
          <w:iCs/>
        </w:rPr>
      </w:pPr>
    </w:p>
    <w:p w:rsidR="00B92FC4" w:rsidRDefault="00B92FC4" w:rsidP="007471A8">
      <w:pPr>
        <w:contextualSpacing/>
      </w:pPr>
      <w:r w:rsidRPr="0088440D">
        <w:rPr>
          <w:b/>
          <w:bCs/>
          <w:i/>
          <w:iCs/>
        </w:rPr>
        <w:t>Discussion:</w:t>
      </w:r>
      <w:r>
        <w:t xml:space="preserve"> </w:t>
      </w:r>
      <w:r w:rsidRPr="00910605">
        <w:t>Based on National Intelligence Estimate</w:t>
      </w:r>
      <w:r>
        <w:t>s</w:t>
      </w:r>
      <w:r w:rsidRPr="00910605">
        <w:t xml:space="preserve"> (NIE</w:t>
      </w:r>
      <w:r>
        <w:t>s</w:t>
      </w:r>
      <w:r w:rsidRPr="00910605">
        <w:t xml:space="preserve">) </w:t>
      </w:r>
      <w:r>
        <w:t>and other factors that</w:t>
      </w:r>
      <w:r w:rsidRPr="00910605">
        <w:t xml:space="preserve"> </w:t>
      </w:r>
      <w:r>
        <w:t>gauge</w:t>
      </w:r>
      <w:r w:rsidRPr="00910605">
        <w:t xml:space="preserve"> </w:t>
      </w:r>
      <w:r>
        <w:t>threats posed</w:t>
      </w:r>
      <w:r w:rsidRPr="00910605">
        <w:t xml:space="preserve"> to</w:t>
      </w:r>
      <w:r>
        <w:t xml:space="preserve"> U.S. national security by organize crime, the FBI targets high-</w:t>
      </w:r>
      <w:r w:rsidRPr="00910605">
        <w:t xml:space="preserve">priority organizations </w:t>
      </w:r>
      <w:r>
        <w:t>related to</w:t>
      </w:r>
      <w:r w:rsidRPr="00910605">
        <w:t xml:space="preserve"> </w:t>
      </w:r>
      <w:r>
        <w:t>such</w:t>
      </w:r>
      <w:r w:rsidRPr="00910605">
        <w:t xml:space="preserve"> </w:t>
      </w:r>
      <w:r>
        <w:t>threats</w:t>
      </w:r>
      <w:r w:rsidRPr="00910605">
        <w:t xml:space="preserve">. </w:t>
      </w:r>
    </w:p>
    <w:p w:rsidR="00B92FC4" w:rsidRDefault="00B92FC4" w:rsidP="007471A8">
      <w:pPr>
        <w:contextualSpacing/>
        <w:rPr>
          <w:highlight w:val="yellow"/>
        </w:rPr>
      </w:pPr>
    </w:p>
    <w:p w:rsidR="00B92FC4" w:rsidRPr="0088440D" w:rsidRDefault="00B92FC4" w:rsidP="007471A8">
      <w:pPr>
        <w:contextualSpacing/>
        <w:rPr>
          <w:rFonts w:eastAsia="Arial Unicode MS"/>
          <w:lang w:eastAsia="zh-CN"/>
        </w:rPr>
      </w:pPr>
      <w:r w:rsidRPr="00910605">
        <w:t xml:space="preserve">The OCP anticipates additional collection, the establishment of additional cases, the development of additional confidential human sources, and an increase in IIR production.  FBI efforts also include the initial targeting and operational activities against criminal bosses that support the associated thieves and members of </w:t>
      </w:r>
      <w:r>
        <w:t>high priority organizations</w:t>
      </w:r>
      <w:r w:rsidRPr="00910605">
        <w:t>, and target the financial and communications avenues of the criminal enterprise</w:t>
      </w:r>
      <w:r>
        <w:t>s</w:t>
      </w:r>
      <w:r w:rsidRPr="00910605">
        <w:t xml:space="preserve"> already identified as potential vulnerabilities.</w:t>
      </w:r>
      <w:r w:rsidRPr="0088440D">
        <w:t xml:space="preserve"> </w:t>
      </w:r>
    </w:p>
    <w:p w:rsidR="00B92FC4" w:rsidRDefault="00B92FC4" w:rsidP="007471A8">
      <w:pPr>
        <w:contextualSpacing/>
        <w:rPr>
          <w:u w:val="single"/>
        </w:rPr>
      </w:pPr>
    </w:p>
    <w:p w:rsidR="00B92FC4" w:rsidRDefault="00B92FC4" w:rsidP="00245A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Pr>
          <w:b/>
          <w:bCs/>
          <w:i/>
          <w:iCs/>
        </w:rPr>
        <w:t xml:space="preserve">FY 2012 Target:  </w:t>
      </w:r>
      <w:r w:rsidR="00245AC3">
        <w:rPr>
          <w:b/>
          <w:bCs/>
          <w:i/>
          <w:iCs/>
        </w:rPr>
        <w:tab/>
      </w:r>
      <w:r w:rsidRPr="004B4B8D">
        <w:rPr>
          <w:bCs/>
          <w:iCs/>
        </w:rPr>
        <w:t>37</w:t>
      </w:r>
    </w:p>
    <w:p w:rsidR="00B92FC4" w:rsidRPr="0088440D" w:rsidRDefault="00B92FC4" w:rsidP="00245A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Pr>
          <w:b/>
          <w:bCs/>
          <w:i/>
          <w:iCs/>
        </w:rPr>
        <w:t>FY 2013</w:t>
      </w:r>
      <w:r w:rsidRPr="0088440D">
        <w:rPr>
          <w:b/>
          <w:bCs/>
          <w:i/>
          <w:iCs/>
        </w:rPr>
        <w:t xml:space="preserve"> Target:</w:t>
      </w:r>
      <w:r w:rsidRPr="0088440D">
        <w:t xml:space="preserve">  </w:t>
      </w:r>
      <w:r w:rsidR="00245AC3">
        <w:tab/>
      </w:r>
      <w:r>
        <w:t>38</w:t>
      </w:r>
    </w:p>
    <w:p w:rsidR="00B92FC4" w:rsidRDefault="00B92FC4" w:rsidP="007471A8">
      <w:pPr>
        <w:contextualSpacing/>
        <w:rPr>
          <w:u w:val="single"/>
        </w:rPr>
      </w:pPr>
    </w:p>
    <w:p w:rsidR="00B92FC4" w:rsidRDefault="00B92FC4" w:rsidP="007471A8">
      <w:pPr>
        <w:contextualSpacing/>
        <w:rPr>
          <w:u w:val="single"/>
        </w:rPr>
      </w:pPr>
      <w:r w:rsidRPr="00F96AED">
        <w:rPr>
          <w:u w:val="single"/>
        </w:rPr>
        <w:t>Gang/Criminal Enterprises</w:t>
      </w:r>
    </w:p>
    <w:p w:rsidR="00B92FC4" w:rsidRDefault="00B92FC4" w:rsidP="007471A8">
      <w:pPr>
        <w:contextualSpacing/>
      </w:pPr>
      <w:r w:rsidRPr="00A8420C">
        <w:t>The mission of the FBI’s Gang/Criminal Enterprise Program is to disrupt and dismantle the domestic cells (local, regional, national, and transnational) of criminal enterprises, which pose the greatest threat to the economic and national security of the U.S.  Many of these criminal enterprises have ties to North, Central and South America.</w:t>
      </w:r>
      <w:r w:rsidRPr="00A8420C">
        <w:rPr>
          <w:color w:val="FF0000"/>
        </w:rPr>
        <w:t xml:space="preserve">  </w:t>
      </w:r>
      <w:r w:rsidRPr="00A8420C">
        <w:t xml:space="preserve">This will be accomplished through the FBI’s </w:t>
      </w:r>
      <w:r>
        <w:t>criminal investigations</w:t>
      </w:r>
      <w:r w:rsidRPr="00A8420C">
        <w:t xml:space="preserve">, involvement in the Organized Crime Drug Enforcement Task Force Program (OCDETF), and support and leadership of HIDTA initiatives.  The majority of the FBI’s anti-gang efforts are directed towards the </w:t>
      </w:r>
      <w:r>
        <w:t xml:space="preserve">gangs that the Bureau has </w:t>
      </w:r>
      <w:r w:rsidRPr="00A8420C">
        <w:t>identified</w:t>
      </w:r>
      <w:r>
        <w:t xml:space="preserve"> as presenting priority threats</w:t>
      </w:r>
      <w:r w:rsidRPr="00A8420C">
        <w:t>.  The FBI works closely with local, state, federal, and international law enforcement agencies to accomplish this mission.</w:t>
      </w:r>
      <w:r w:rsidRPr="00F96AED">
        <w:rPr>
          <w:highlight w:val="yellow"/>
        </w:rPr>
        <w:t xml:space="preserve"> </w:t>
      </w:r>
    </w:p>
    <w:p w:rsidR="00B92FC4" w:rsidRDefault="00B92FC4" w:rsidP="007471A8">
      <w:pPr>
        <w:contextualSpacing/>
      </w:pPr>
      <w:r w:rsidDel="0083705E">
        <w:t xml:space="preserve"> </w:t>
      </w:r>
    </w:p>
    <w:p w:rsidR="00B92FC4" w:rsidRPr="00E70AEB" w:rsidRDefault="00B92FC4" w:rsidP="007471A8">
      <w:pPr>
        <w:contextualSpacing/>
      </w:pPr>
      <w:r w:rsidRPr="00444416">
        <w:lastRenderedPageBreak/>
        <w:t>The Gang Targeting and Coordination Center (</w:t>
      </w:r>
      <w:proofErr w:type="spellStart"/>
      <w:r w:rsidRPr="00444416">
        <w:t>GangTECC</w:t>
      </w:r>
      <w:proofErr w:type="spellEnd"/>
      <w:r w:rsidRPr="00444416">
        <w:t xml:space="preserve">) focuses on enhancing gang investigations of all federal agencies by acting as a </w:t>
      </w:r>
      <w:proofErr w:type="spellStart"/>
      <w:r w:rsidRPr="00444416">
        <w:t>deconfliction</w:t>
      </w:r>
      <w:proofErr w:type="spellEnd"/>
      <w:r w:rsidRPr="00444416">
        <w:t xml:space="preserve"> and case coordination center.   </w:t>
      </w:r>
      <w:proofErr w:type="spellStart"/>
      <w:r w:rsidRPr="00444416">
        <w:t>GangTECC</w:t>
      </w:r>
      <w:proofErr w:type="spellEnd"/>
      <w:r w:rsidRPr="00444416">
        <w:t xml:space="preserve"> facilitates operations across agency lines and seeks to dismantle national and trans-national violent gangs.  </w:t>
      </w:r>
    </w:p>
    <w:p w:rsidR="00B92FC4" w:rsidRDefault="00B92FC4" w:rsidP="007471A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rPr>
          <w:b/>
          <w:i/>
        </w:rPr>
      </w:pPr>
    </w:p>
    <w:p w:rsidR="00B92FC4" w:rsidRDefault="00B92FC4" w:rsidP="007471A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pPr>
      <w:r w:rsidRPr="00F53EF4">
        <w:rPr>
          <w:b/>
          <w:i/>
        </w:rPr>
        <w:t>Performance Measure:</w:t>
      </w:r>
      <w:r w:rsidRPr="00F53EF4">
        <w:t xml:space="preserve"> Gang/ Criminal Enterprises Dismantled</w:t>
      </w:r>
    </w:p>
    <w:p w:rsidR="00B92FC4" w:rsidRDefault="00C5224D" w:rsidP="007471A8">
      <w:pPr>
        <w:autoSpaceDE w:val="0"/>
        <w:autoSpaceDN w:val="0"/>
        <w:adjustRightInd w:val="0"/>
        <w:ind w:left="720"/>
        <w:contextualSpacing/>
      </w:pPr>
      <w:r>
        <w:rPr>
          <w:noProof/>
        </w:rPr>
        <w:pict>
          <v:shape id="_x0000_s1064" type="#_x0000_t202" style="position:absolute;left:0;text-align:left;margin-left:1915.85pt;margin-top:9.6pt;width:282.95pt;height:179.7pt;z-index:-251628544;mso-wrap-style:none;mso-wrap-distance-bottom:7.2pt;mso-position-horizontal:right;mso-position-horizontal-relative:margin" wrapcoords="-57 -84 -57 21516 21657 21516 21657 -84 -57 -84" strokecolor="#969696">
            <v:textbox style="mso-next-textbox:#_x0000_s1064;mso-fit-shape-to-text:t">
              <w:txbxContent>
                <w:p w:rsidR="00561262" w:rsidRDefault="00561262" w:rsidP="00B92FC4">
                  <w:pPr>
                    <w:jc w:val="both"/>
                    <w:rPr>
                      <w:rFonts w:cs="Arial"/>
                    </w:rPr>
                  </w:pPr>
                  <w:r>
                    <w:rPr>
                      <w:b/>
                      <w:noProof/>
                      <w:sz w:val="16"/>
                    </w:rPr>
                    <w:drawing>
                      <wp:inline distT="0" distB="0" distL="0" distR="0">
                        <wp:extent cx="3400425" cy="2181225"/>
                        <wp:effectExtent l="0" t="0" r="0" b="0"/>
                        <wp:docPr id="15"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w10:wrap type="tight" anchorx="margin"/>
          </v:shape>
        </w:pict>
      </w:r>
    </w:p>
    <w:p w:rsidR="00B92FC4" w:rsidRDefault="00B92FC4" w:rsidP="007471A8">
      <w:pPr>
        <w:autoSpaceDE w:val="0"/>
        <w:autoSpaceDN w:val="0"/>
        <w:adjustRightInd w:val="0"/>
        <w:contextualSpacing/>
      </w:pPr>
      <w:r>
        <w:t>Note:  This</w:t>
      </w:r>
      <w:r w:rsidRPr="004D5BB4">
        <w:t xml:space="preserve"> measure do</w:t>
      </w:r>
      <w:r>
        <w:t>es</w:t>
      </w:r>
      <w:r w:rsidRPr="004D5BB4">
        <w:t xml:space="preserve"> </w:t>
      </w:r>
      <w:r w:rsidRPr="004D5BB4">
        <w:rPr>
          <w:u w:val="single"/>
        </w:rPr>
        <w:t>not</w:t>
      </w:r>
      <w:r w:rsidRPr="004D5BB4">
        <w:t xml:space="preserve"> include CPOT-linked </w:t>
      </w:r>
      <w:proofErr w:type="spellStart"/>
      <w:r w:rsidRPr="004D5BB4">
        <w:t>dismantlemen</w:t>
      </w:r>
      <w:r>
        <w:t>ts</w:t>
      </w:r>
      <w:proofErr w:type="spellEnd"/>
      <w:r>
        <w:t xml:space="preserve">. </w:t>
      </w:r>
    </w:p>
    <w:p w:rsidR="00B92FC4" w:rsidRDefault="00B92FC4" w:rsidP="007471A8">
      <w:pPr>
        <w:autoSpaceDE w:val="0"/>
        <w:autoSpaceDN w:val="0"/>
        <w:adjustRightInd w:val="0"/>
        <w:ind w:left="720"/>
        <w:contextualSpacing/>
      </w:pPr>
    </w:p>
    <w:p w:rsidR="00B92FC4" w:rsidRDefault="00B92FC4" w:rsidP="007471A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Pr>
          <w:b/>
          <w:bCs/>
          <w:i/>
          <w:iCs/>
        </w:rPr>
        <w:t xml:space="preserve">FY 2011 Target: </w:t>
      </w:r>
      <w:r w:rsidR="00245AC3">
        <w:rPr>
          <w:b/>
          <w:bCs/>
          <w:i/>
          <w:iCs/>
        </w:rPr>
        <w:tab/>
      </w:r>
      <w:r w:rsidRPr="004B4B8D">
        <w:rPr>
          <w:bCs/>
          <w:iCs/>
        </w:rPr>
        <w:t>99</w:t>
      </w:r>
    </w:p>
    <w:p w:rsidR="00B92FC4" w:rsidRDefault="00B92FC4" w:rsidP="007471A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Pr>
          <w:b/>
          <w:bCs/>
          <w:i/>
          <w:iCs/>
        </w:rPr>
        <w:t xml:space="preserve">FY 2011 Actual: </w:t>
      </w:r>
      <w:r w:rsidR="00245AC3">
        <w:rPr>
          <w:b/>
          <w:bCs/>
          <w:i/>
          <w:iCs/>
        </w:rPr>
        <w:tab/>
      </w:r>
      <w:r w:rsidRPr="004B4B8D">
        <w:rPr>
          <w:bCs/>
          <w:iCs/>
        </w:rPr>
        <w:t>165</w:t>
      </w:r>
    </w:p>
    <w:p w:rsidR="00B92FC4" w:rsidRDefault="00B92FC4" w:rsidP="007471A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pPr>
    </w:p>
    <w:p w:rsidR="00B92FC4" w:rsidRDefault="00B92FC4" w:rsidP="007471A8">
      <w:pPr>
        <w:autoSpaceDE w:val="0"/>
        <w:autoSpaceDN w:val="0"/>
        <w:adjustRightInd w:val="0"/>
        <w:contextualSpacing/>
        <w:rPr>
          <w:rFonts w:eastAsia="SimSun"/>
          <w:lang w:eastAsia="zh-CN"/>
        </w:rPr>
      </w:pPr>
      <w:r w:rsidRPr="00CB6810">
        <w:rPr>
          <w:b/>
          <w:bCs/>
          <w:i/>
          <w:iCs/>
        </w:rPr>
        <w:t>Discussion:</w:t>
      </w:r>
      <w:r>
        <w:rPr>
          <w:b/>
          <w:bCs/>
          <w:i/>
          <w:iCs/>
        </w:rPr>
        <w:t xml:space="preserve"> </w:t>
      </w:r>
      <w:r w:rsidRPr="00E42878">
        <w:rPr>
          <w:rFonts w:eastAsia="SimSun"/>
          <w:lang w:eastAsia="zh-CN"/>
        </w:rPr>
        <w:t xml:space="preserve">DTOs are dismantled through complex and coordinated intelligence driven investigations, analysis of drug investigative data and related financial data. These efforts effectively </w:t>
      </w:r>
      <w:r>
        <w:rPr>
          <w:rFonts w:eastAsia="SimSun"/>
          <w:lang w:eastAsia="zh-CN"/>
        </w:rPr>
        <w:t>disrupt</w:t>
      </w:r>
      <w:r w:rsidRPr="00E42878">
        <w:rPr>
          <w:rFonts w:eastAsia="SimSun"/>
          <w:lang w:eastAsia="zh-CN"/>
        </w:rPr>
        <w:t xml:space="preserve"> the operations of major trafficking organizations and ultimately destroy them.  Resources are focused on coordinated, nationwide investigations targeting the entire infrastructure of major DTOs.  DTO members who traffic in narcotics and launder illicit proceeds are targeted. Strategic initiatives are developed to effectively exploit the DTO’s most vulnerable points, thus attacking their infrastructure. FBI enforcement actions </w:t>
      </w:r>
      <w:r>
        <w:rPr>
          <w:rFonts w:eastAsia="SimSun"/>
          <w:lang w:eastAsia="zh-CN"/>
        </w:rPr>
        <w:t xml:space="preserve">have </w:t>
      </w:r>
      <w:r w:rsidRPr="00E42878">
        <w:rPr>
          <w:rFonts w:eastAsia="SimSun"/>
          <w:lang w:eastAsia="zh-CN"/>
        </w:rPr>
        <w:t>resulted in keeping multi-ton quantities of illegal drugs such as cocaine, heroin, marijuana and methamphetamine from ever entering the U.S.</w:t>
      </w:r>
      <w:r>
        <w:rPr>
          <w:rFonts w:eastAsia="SimSun"/>
          <w:lang w:eastAsia="zh-CN"/>
        </w:rPr>
        <w:t xml:space="preserve"> </w:t>
      </w:r>
      <w:r w:rsidRPr="00526099">
        <w:rPr>
          <w:rFonts w:eastAsia="SimSun"/>
          <w:lang w:eastAsia="zh-CN"/>
        </w:rPr>
        <w:t xml:space="preserve">The </w:t>
      </w:r>
      <w:r>
        <w:rPr>
          <w:rFonts w:eastAsia="SimSun"/>
          <w:lang w:eastAsia="zh-CN"/>
        </w:rPr>
        <w:t>targets</w:t>
      </w:r>
      <w:r w:rsidRPr="00526099">
        <w:rPr>
          <w:rFonts w:eastAsia="SimSun"/>
          <w:lang w:eastAsia="zh-CN"/>
        </w:rPr>
        <w:t xml:space="preserve"> reflect </w:t>
      </w:r>
      <w:r>
        <w:rPr>
          <w:rFonts w:eastAsia="SimSun"/>
          <w:lang w:eastAsia="zh-CN"/>
        </w:rPr>
        <w:t>an expected</w:t>
      </w:r>
      <w:r w:rsidRPr="00526099">
        <w:rPr>
          <w:rFonts w:eastAsia="SimSun"/>
          <w:lang w:eastAsia="zh-CN"/>
        </w:rPr>
        <w:t xml:space="preserve"> reduction of OCDETF </w:t>
      </w:r>
      <w:r>
        <w:rPr>
          <w:rFonts w:eastAsia="SimSun"/>
          <w:lang w:eastAsia="zh-CN"/>
        </w:rPr>
        <w:t>personnel resources available to the FBI.</w:t>
      </w:r>
    </w:p>
    <w:p w:rsidR="00B92FC4" w:rsidRDefault="00B92FC4" w:rsidP="007471A8">
      <w:pPr>
        <w:autoSpaceDE w:val="0"/>
        <w:autoSpaceDN w:val="0"/>
        <w:adjustRightInd w:val="0"/>
        <w:contextualSpacing/>
        <w:rPr>
          <w:rFonts w:eastAsia="SimSun"/>
          <w:lang w:eastAsia="zh-CN"/>
        </w:rPr>
      </w:pPr>
    </w:p>
    <w:p w:rsidR="00B92FC4" w:rsidRDefault="00B92FC4" w:rsidP="00245AC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Pr>
          <w:b/>
          <w:bCs/>
          <w:i/>
          <w:iCs/>
        </w:rPr>
        <w:t xml:space="preserve">FY 2012 Target: </w:t>
      </w:r>
      <w:r w:rsidR="00245AC3">
        <w:rPr>
          <w:b/>
          <w:bCs/>
          <w:i/>
          <w:iCs/>
        </w:rPr>
        <w:tab/>
      </w:r>
      <w:r w:rsidRPr="004B4B8D">
        <w:rPr>
          <w:bCs/>
          <w:iCs/>
        </w:rPr>
        <w:t>99</w:t>
      </w:r>
    </w:p>
    <w:p w:rsidR="00B92FC4" w:rsidRDefault="00B92FC4" w:rsidP="00245AC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pPr>
      <w:r w:rsidRPr="009105E5">
        <w:rPr>
          <w:b/>
          <w:bCs/>
          <w:i/>
          <w:iCs/>
        </w:rPr>
        <w:t>FY 20</w:t>
      </w:r>
      <w:r>
        <w:rPr>
          <w:b/>
          <w:bCs/>
          <w:i/>
          <w:iCs/>
        </w:rPr>
        <w:t>13</w:t>
      </w:r>
      <w:r w:rsidRPr="009105E5">
        <w:rPr>
          <w:b/>
          <w:bCs/>
          <w:i/>
          <w:iCs/>
        </w:rPr>
        <w:t xml:space="preserve"> Target</w:t>
      </w:r>
      <w:r>
        <w:t xml:space="preserve">: </w:t>
      </w:r>
      <w:r w:rsidR="00245AC3">
        <w:tab/>
      </w:r>
      <w:r>
        <w:t>99</w:t>
      </w:r>
    </w:p>
    <w:p w:rsidR="00B92FC4" w:rsidRDefault="00B92FC4" w:rsidP="007471A8">
      <w:pPr>
        <w:autoSpaceDE w:val="0"/>
        <w:autoSpaceDN w:val="0"/>
        <w:adjustRightInd w:val="0"/>
        <w:contextualSpacing/>
        <w:rPr>
          <w:rFonts w:eastAsia="SimSun"/>
          <w:lang w:eastAsia="zh-CN"/>
        </w:rPr>
      </w:pPr>
    </w:p>
    <w:p w:rsidR="00B92FC4" w:rsidRDefault="00B92FC4" w:rsidP="007471A8">
      <w:pPr>
        <w:pStyle w:val="NoSpacing"/>
        <w:contextualSpacing/>
        <w:rPr>
          <w:rFonts w:eastAsia="SimSun"/>
          <w:lang w:eastAsia="zh-CN"/>
        </w:rPr>
      </w:pPr>
      <w:r w:rsidRPr="006F251A">
        <w:rPr>
          <w:rFonts w:eastAsia="SimSun"/>
          <w:b/>
          <w:i/>
          <w:lang w:eastAsia="zh-CN"/>
        </w:rPr>
        <w:t>Performance Measure:</w:t>
      </w:r>
      <w:r w:rsidRPr="006F251A">
        <w:rPr>
          <w:rFonts w:eastAsia="SimSun"/>
          <w:lang w:eastAsia="zh-CN"/>
        </w:rPr>
        <w:t xml:space="preserve"> Number of agents serving on Violent Crime Task Forces [New measure]</w:t>
      </w:r>
    </w:p>
    <w:p w:rsidR="00B92FC4" w:rsidRDefault="00C5224D" w:rsidP="007471A8">
      <w:pPr>
        <w:pStyle w:val="NoSpacing"/>
        <w:contextualSpacing/>
        <w:rPr>
          <w:rFonts w:eastAsia="SimSun"/>
          <w:lang w:eastAsia="zh-CN"/>
        </w:rPr>
      </w:pPr>
      <w:r w:rsidRPr="00C5224D">
        <w:rPr>
          <w:noProof/>
        </w:rPr>
        <w:pict>
          <v:shape id="_x0000_s1066" type="#_x0000_t202" style="position:absolute;margin-left:1721.9pt;margin-top:10.95pt;width:251.6pt;height:167.7pt;z-index:-251625472;mso-wrap-distance-bottom:7.2pt;mso-position-horizontal:right;mso-position-horizontal-relative:margin" wrapcoords="-64 -89 -64 21511 21664 21511 21664 -89 -64 -89" strokecolor="#969696">
            <v:textbox style="mso-next-textbox:#_x0000_s1066;mso-fit-shape-to-text:t">
              <w:txbxContent>
                <w:p w:rsidR="00561262" w:rsidRDefault="00561262" w:rsidP="00B92FC4">
                  <w:pPr>
                    <w:jc w:val="right"/>
                    <w:rPr>
                      <w:rFonts w:cs="Arial"/>
                    </w:rPr>
                  </w:pPr>
                  <w:r>
                    <w:rPr>
                      <w:b/>
                      <w:noProof/>
                      <w:sz w:val="16"/>
                    </w:rPr>
                    <w:drawing>
                      <wp:inline distT="0" distB="0" distL="0" distR="0">
                        <wp:extent cx="3105150" cy="2028825"/>
                        <wp:effectExtent l="0" t="0" r="0" b="0"/>
                        <wp:docPr id="17"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wrap type="tight" anchorx="margin"/>
          </v:shape>
        </w:pict>
      </w:r>
    </w:p>
    <w:p w:rsidR="00B92FC4" w:rsidRDefault="00B92FC4" w:rsidP="007471A8">
      <w:pPr>
        <w:pStyle w:val="NoSpacing"/>
        <w:contextualSpacing/>
        <w:rPr>
          <w:rFonts w:eastAsia="SimSun"/>
          <w:lang w:eastAsia="zh-CN"/>
        </w:rPr>
      </w:pPr>
      <w:r>
        <w:rPr>
          <w:rFonts w:eastAsia="SimSun"/>
          <w:b/>
          <w:i/>
          <w:lang w:eastAsia="zh-CN"/>
        </w:rPr>
        <w:t xml:space="preserve">Discussion: </w:t>
      </w:r>
      <w:r>
        <w:rPr>
          <w:rFonts w:eastAsia="SimSun"/>
          <w:lang w:eastAsia="zh-CN"/>
        </w:rPr>
        <w:t>This new measure serves as an indication of the FBI’s contribution to DOJ’s overall goal of targeting reduction of crime in areas particularly prone to violent crime.</w:t>
      </w:r>
    </w:p>
    <w:p w:rsidR="00B92FC4" w:rsidRPr="004C57E1" w:rsidRDefault="00B92FC4" w:rsidP="007471A8">
      <w:pPr>
        <w:pStyle w:val="NoSpacing"/>
        <w:contextualSpacing/>
        <w:rPr>
          <w:rFonts w:eastAsia="SimSun"/>
          <w:lang w:eastAsia="zh-CN"/>
        </w:rPr>
      </w:pPr>
    </w:p>
    <w:p w:rsidR="00B92FC4" w:rsidRDefault="00B92FC4" w:rsidP="00E20073">
      <w:pPr>
        <w:pStyle w:val="NoSpacing"/>
        <w:tabs>
          <w:tab w:val="left" w:pos="2160"/>
        </w:tabs>
        <w:contextualSpacing/>
        <w:rPr>
          <w:rFonts w:eastAsia="SimSun"/>
          <w:b/>
          <w:i/>
          <w:lang w:eastAsia="zh-CN"/>
        </w:rPr>
      </w:pPr>
      <w:r>
        <w:rPr>
          <w:rFonts w:eastAsia="SimSun"/>
          <w:b/>
          <w:i/>
          <w:lang w:eastAsia="zh-CN"/>
        </w:rPr>
        <w:t xml:space="preserve">FY 2012 Target: </w:t>
      </w:r>
      <w:r w:rsidR="00E20073">
        <w:rPr>
          <w:rFonts w:eastAsia="SimSun"/>
          <w:b/>
          <w:i/>
          <w:lang w:eastAsia="zh-CN"/>
        </w:rPr>
        <w:tab/>
      </w:r>
      <w:r w:rsidRPr="004B4B8D">
        <w:rPr>
          <w:rFonts w:eastAsia="SimSun"/>
          <w:lang w:eastAsia="zh-CN"/>
        </w:rPr>
        <w:t>1,042</w:t>
      </w:r>
    </w:p>
    <w:p w:rsidR="00B92FC4" w:rsidRDefault="00B92FC4" w:rsidP="00E20073">
      <w:pPr>
        <w:pStyle w:val="NoSpacing"/>
        <w:tabs>
          <w:tab w:val="left" w:pos="2160"/>
        </w:tabs>
        <w:contextualSpacing/>
        <w:rPr>
          <w:rFonts w:eastAsia="SimSun"/>
          <w:lang w:eastAsia="zh-CN"/>
        </w:rPr>
      </w:pPr>
      <w:r>
        <w:rPr>
          <w:rFonts w:eastAsia="SimSun"/>
          <w:b/>
          <w:i/>
          <w:lang w:eastAsia="zh-CN"/>
        </w:rPr>
        <w:t xml:space="preserve">FY 2013 Target: </w:t>
      </w:r>
      <w:r w:rsidR="00E20073">
        <w:rPr>
          <w:rFonts w:eastAsia="SimSun"/>
          <w:b/>
          <w:i/>
          <w:lang w:eastAsia="zh-CN"/>
        </w:rPr>
        <w:tab/>
      </w:r>
      <w:r>
        <w:rPr>
          <w:rFonts w:eastAsia="SimSun"/>
          <w:lang w:eastAsia="zh-CN"/>
        </w:rPr>
        <w:t>1,042</w:t>
      </w:r>
    </w:p>
    <w:p w:rsidR="00B92FC4" w:rsidRDefault="00B92FC4" w:rsidP="007471A8">
      <w:pPr>
        <w:pStyle w:val="NoSpacing"/>
        <w:contextualSpacing/>
        <w:rPr>
          <w:rFonts w:eastAsia="SimSun"/>
          <w:b/>
          <w:i/>
          <w:lang w:eastAsia="zh-CN"/>
        </w:rPr>
      </w:pPr>
    </w:p>
    <w:p w:rsidR="000906AA" w:rsidRDefault="000906AA">
      <w:pPr>
        <w:rPr>
          <w:rFonts w:eastAsia="SimSun"/>
          <w:b/>
          <w:i/>
          <w:lang w:eastAsia="zh-CN"/>
        </w:rPr>
      </w:pPr>
      <w:r>
        <w:rPr>
          <w:rFonts w:eastAsia="SimSun"/>
          <w:b/>
          <w:i/>
          <w:lang w:eastAsia="zh-CN"/>
        </w:rPr>
        <w:br w:type="page"/>
      </w:r>
    </w:p>
    <w:p w:rsidR="00B92FC4" w:rsidRDefault="00B92FC4" w:rsidP="007471A8">
      <w:pPr>
        <w:pStyle w:val="NoSpacing"/>
        <w:contextualSpacing/>
        <w:rPr>
          <w:rFonts w:eastAsia="SimSun"/>
          <w:lang w:eastAsia="zh-CN"/>
        </w:rPr>
      </w:pPr>
      <w:r w:rsidRPr="004D4624">
        <w:rPr>
          <w:rFonts w:eastAsia="SimSun"/>
          <w:b/>
          <w:i/>
          <w:lang w:eastAsia="zh-CN"/>
        </w:rPr>
        <w:lastRenderedPageBreak/>
        <w:t>Performance Measure:</w:t>
      </w:r>
      <w:r w:rsidRPr="004D4624">
        <w:rPr>
          <w:rFonts w:eastAsia="SimSun"/>
          <w:lang w:eastAsia="zh-CN"/>
        </w:rPr>
        <w:t xml:space="preserve"> Average length of sentence in months: Violent Crime [New measure]</w:t>
      </w:r>
    </w:p>
    <w:p w:rsidR="00B92FC4" w:rsidRDefault="00C5224D" w:rsidP="007471A8">
      <w:pPr>
        <w:pStyle w:val="NoSpacing"/>
        <w:contextualSpacing/>
        <w:rPr>
          <w:rFonts w:eastAsia="SimSun"/>
          <w:lang w:eastAsia="zh-CN"/>
        </w:rPr>
      </w:pPr>
      <w:r w:rsidRPr="00C5224D">
        <w:rPr>
          <w:noProof/>
        </w:rPr>
        <w:pict>
          <v:shape id="_x0000_s1067" type="#_x0000_t202" style="position:absolute;margin-left:246.65pt;margin-top:10.9pt;width:251.6pt;height:162.4pt;z-index:-251624448;mso-wrap-distance-bottom:7.2pt" wrapcoords="-64 -100 -64 21500 21664 21500 21664 -100 -64 -100" strokecolor="#969696">
            <v:textbox style="mso-next-textbox:#_x0000_s1067">
              <w:txbxContent>
                <w:p w:rsidR="00561262" w:rsidRDefault="00561262" w:rsidP="00B92FC4">
                  <w:pPr>
                    <w:jc w:val="both"/>
                    <w:rPr>
                      <w:rFonts w:cs="Arial"/>
                    </w:rPr>
                  </w:pPr>
                  <w:r>
                    <w:rPr>
                      <w:b/>
                      <w:noProof/>
                      <w:sz w:val="16"/>
                    </w:rPr>
                    <w:drawing>
                      <wp:inline distT="0" distB="0" distL="0" distR="0">
                        <wp:extent cx="2971800" cy="1828800"/>
                        <wp:effectExtent l="0" t="0" r="0" b="0"/>
                        <wp:docPr id="19"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w10:wrap type="tight"/>
          </v:shape>
        </w:pict>
      </w:r>
    </w:p>
    <w:p w:rsidR="00B92FC4" w:rsidRDefault="00B92FC4" w:rsidP="007471A8">
      <w:pPr>
        <w:pStyle w:val="NoSpacing"/>
        <w:contextualSpacing/>
        <w:rPr>
          <w:rFonts w:eastAsia="SimSun"/>
          <w:lang w:eastAsia="zh-CN"/>
        </w:rPr>
      </w:pPr>
      <w:r>
        <w:rPr>
          <w:rFonts w:eastAsia="SimSun"/>
          <w:b/>
          <w:i/>
          <w:lang w:eastAsia="zh-CN"/>
        </w:rPr>
        <w:t xml:space="preserve">Discussion: </w:t>
      </w:r>
      <w:r>
        <w:rPr>
          <w:rFonts w:eastAsia="SimSun"/>
          <w:lang w:eastAsia="zh-CN"/>
        </w:rPr>
        <w:t>This new measure serves as an indication of results, in terms of sentence length, of the efforts of the FBI, and other DOJ components, to reduce the prevalence of crime in areas particularly prone to violent crime.</w:t>
      </w:r>
    </w:p>
    <w:p w:rsidR="00B92FC4" w:rsidRDefault="00B92FC4" w:rsidP="007471A8">
      <w:pPr>
        <w:pStyle w:val="NoSpacing"/>
        <w:contextualSpacing/>
        <w:rPr>
          <w:rFonts w:eastAsia="SimSun"/>
          <w:lang w:eastAsia="zh-CN"/>
        </w:rPr>
      </w:pPr>
    </w:p>
    <w:p w:rsidR="00B92FC4" w:rsidRDefault="00B92FC4" w:rsidP="00E20073">
      <w:pPr>
        <w:pStyle w:val="NoSpacing"/>
        <w:tabs>
          <w:tab w:val="left" w:pos="2160"/>
        </w:tabs>
        <w:contextualSpacing/>
        <w:rPr>
          <w:rFonts w:eastAsia="SimSun"/>
          <w:b/>
          <w:i/>
          <w:lang w:eastAsia="zh-CN"/>
        </w:rPr>
      </w:pPr>
      <w:r>
        <w:rPr>
          <w:rFonts w:eastAsia="SimSun"/>
          <w:b/>
          <w:i/>
          <w:lang w:eastAsia="zh-CN"/>
        </w:rPr>
        <w:t xml:space="preserve">FY 2012 Target: </w:t>
      </w:r>
      <w:r w:rsidR="00E20073">
        <w:rPr>
          <w:rFonts w:eastAsia="SimSun"/>
          <w:b/>
          <w:i/>
          <w:lang w:eastAsia="zh-CN"/>
        </w:rPr>
        <w:tab/>
      </w:r>
      <w:r w:rsidRPr="004B4B8D">
        <w:rPr>
          <w:rFonts w:eastAsia="SimSun"/>
          <w:lang w:eastAsia="zh-CN"/>
        </w:rPr>
        <w:t>100 months</w:t>
      </w:r>
    </w:p>
    <w:p w:rsidR="00B92FC4" w:rsidRDefault="00B92FC4" w:rsidP="00E20073">
      <w:pPr>
        <w:pStyle w:val="NoSpacing"/>
        <w:tabs>
          <w:tab w:val="left" w:pos="2160"/>
        </w:tabs>
        <w:contextualSpacing/>
        <w:rPr>
          <w:rFonts w:eastAsia="SimSun"/>
          <w:lang w:eastAsia="zh-CN"/>
        </w:rPr>
      </w:pPr>
      <w:r>
        <w:rPr>
          <w:rFonts w:eastAsia="SimSun"/>
          <w:b/>
          <w:i/>
          <w:lang w:eastAsia="zh-CN"/>
        </w:rPr>
        <w:t xml:space="preserve">FY 2013 Target: </w:t>
      </w:r>
      <w:r w:rsidR="00E20073">
        <w:rPr>
          <w:rFonts w:eastAsia="SimSun"/>
          <w:b/>
          <w:i/>
          <w:lang w:eastAsia="zh-CN"/>
        </w:rPr>
        <w:tab/>
      </w:r>
      <w:r>
        <w:rPr>
          <w:rFonts w:eastAsia="SimSun"/>
          <w:lang w:eastAsia="zh-CN"/>
        </w:rPr>
        <w:t>100 months</w:t>
      </w:r>
    </w:p>
    <w:p w:rsidR="00B92FC4" w:rsidRDefault="00B92FC4" w:rsidP="007471A8">
      <w:pPr>
        <w:pStyle w:val="NoSpacing"/>
        <w:contextualSpacing/>
      </w:pPr>
    </w:p>
    <w:p w:rsidR="00B92FC4" w:rsidRPr="00B92FC4" w:rsidRDefault="00B92FC4" w:rsidP="007471A8">
      <w:pPr>
        <w:pStyle w:val="BodyText"/>
        <w:contextualSpacing/>
        <w:rPr>
          <w:b/>
          <w:iCs/>
          <w:szCs w:val="24"/>
        </w:rPr>
      </w:pPr>
      <w:r w:rsidRPr="00B92FC4">
        <w:rPr>
          <w:b/>
          <w:iCs/>
          <w:szCs w:val="24"/>
        </w:rPr>
        <w:t>c. Priority Goals</w:t>
      </w:r>
    </w:p>
    <w:p w:rsidR="00B92FC4" w:rsidRDefault="00B92FC4" w:rsidP="007471A8">
      <w:pPr>
        <w:pStyle w:val="NormalWeb"/>
        <w:spacing w:before="0" w:beforeAutospacing="0" w:after="0" w:afterAutospacing="0"/>
        <w:contextualSpacing/>
        <w:rPr>
          <w:iCs/>
        </w:rPr>
      </w:pPr>
      <w:r>
        <w:rPr>
          <w:iCs/>
        </w:rPr>
        <w:t xml:space="preserve">The FBI contributes to the </w:t>
      </w:r>
      <w:r>
        <w:rPr>
          <w:bCs/>
        </w:rPr>
        <w:t xml:space="preserve">Violent Crime </w:t>
      </w:r>
      <w:r>
        <w:rPr>
          <w:iCs/>
        </w:rPr>
        <w:t>Priority Goal 2, which aims to r</w:t>
      </w:r>
      <w:r>
        <w:t>educe gang violence. By September 30, 2013, the FBI will increase coordination on gang investigations among Federal, State, and local law enforcement and increase intelligence products produced in support of Federal, State, and local investigations that are focused on gangs posing a significant threat to communities by 5</w:t>
      </w:r>
      <w:r w:rsidR="00C90C45">
        <w:t xml:space="preserve"> percent</w:t>
      </w:r>
      <w:r>
        <w:t xml:space="preserve">. </w:t>
      </w:r>
      <w:r>
        <w:rPr>
          <w:iCs/>
        </w:rPr>
        <w:t>The FBI’s progress will be reported quarterly.</w:t>
      </w:r>
    </w:p>
    <w:p w:rsidR="00B92FC4" w:rsidRDefault="00B92FC4" w:rsidP="007471A8">
      <w:pPr>
        <w:contextualSpacing/>
        <w:rPr>
          <w:b/>
          <w:bCs/>
          <w:u w:val="single"/>
        </w:rPr>
      </w:pPr>
      <w:r>
        <w:rPr>
          <w:b/>
          <w:bCs/>
          <w:u w:val="single"/>
        </w:rPr>
        <w:br w:type="page"/>
      </w:r>
    </w:p>
    <w:p w:rsidR="00630F6F" w:rsidRPr="00503639" w:rsidRDefault="00630F6F" w:rsidP="007471A8">
      <w:pPr>
        <w:ind w:right="-14"/>
        <w:contextualSpacing/>
        <w:rPr>
          <w:b/>
          <w:bCs/>
        </w:rPr>
      </w:pPr>
      <w:bookmarkStart w:id="10" w:name="CJS_DU"/>
      <w:r w:rsidRPr="00503639">
        <w:rPr>
          <w:b/>
          <w:bCs/>
        </w:rPr>
        <w:lastRenderedPageBreak/>
        <w:t>D. Criminal Justice Services Decision Unit</w:t>
      </w:r>
    </w:p>
    <w:bookmarkEnd w:id="10"/>
    <w:p w:rsidR="00630F6F" w:rsidRPr="00503639" w:rsidRDefault="00630F6F" w:rsidP="007471A8">
      <w:pPr>
        <w:contextualSpacing/>
        <w:rPr>
          <w:b/>
          <w:bCs/>
          <w:i/>
          <w:iCs/>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1404"/>
        <w:gridCol w:w="1116"/>
        <w:gridCol w:w="1728"/>
      </w:tblGrid>
      <w:tr w:rsidR="00630F6F" w:rsidRPr="00503639" w:rsidTr="004554C1">
        <w:trPr>
          <w:jc w:val="center"/>
        </w:trPr>
        <w:tc>
          <w:tcPr>
            <w:tcW w:w="5328" w:type="dxa"/>
            <w:vAlign w:val="center"/>
          </w:tcPr>
          <w:p w:rsidR="00630F6F" w:rsidRPr="00503639" w:rsidRDefault="00630F6F" w:rsidP="007471A8">
            <w:pPr>
              <w:contextualSpacing/>
              <w:rPr>
                <w:b/>
              </w:rPr>
            </w:pPr>
            <w:r w:rsidRPr="00503639">
              <w:rPr>
                <w:b/>
              </w:rPr>
              <w:t>CRIMINAL JUSTICE SERVICES DECISION UNIT TOTAL</w:t>
            </w:r>
          </w:p>
        </w:tc>
        <w:tc>
          <w:tcPr>
            <w:tcW w:w="1404" w:type="dxa"/>
            <w:vAlign w:val="center"/>
          </w:tcPr>
          <w:p w:rsidR="00630F6F" w:rsidRPr="00503639" w:rsidRDefault="00630F6F" w:rsidP="007471A8">
            <w:pPr>
              <w:contextualSpacing/>
              <w:jc w:val="center"/>
              <w:rPr>
                <w:b/>
              </w:rPr>
            </w:pPr>
            <w:r w:rsidRPr="00503639">
              <w:rPr>
                <w:b/>
              </w:rPr>
              <w:t>Perm. Pos.</w:t>
            </w:r>
          </w:p>
        </w:tc>
        <w:tc>
          <w:tcPr>
            <w:tcW w:w="1116" w:type="dxa"/>
            <w:vAlign w:val="center"/>
          </w:tcPr>
          <w:p w:rsidR="00630F6F" w:rsidRPr="00503639" w:rsidRDefault="00630F6F" w:rsidP="007471A8">
            <w:pPr>
              <w:contextualSpacing/>
              <w:jc w:val="center"/>
              <w:rPr>
                <w:b/>
              </w:rPr>
            </w:pPr>
            <w:r w:rsidRPr="00503639">
              <w:rPr>
                <w:b/>
              </w:rPr>
              <w:t>FTE</w:t>
            </w:r>
          </w:p>
        </w:tc>
        <w:tc>
          <w:tcPr>
            <w:tcW w:w="1728" w:type="dxa"/>
            <w:vAlign w:val="center"/>
          </w:tcPr>
          <w:p w:rsidR="00630F6F" w:rsidRPr="00503639" w:rsidRDefault="00630F6F" w:rsidP="007471A8">
            <w:pPr>
              <w:contextualSpacing/>
              <w:jc w:val="center"/>
              <w:rPr>
                <w:b/>
              </w:rPr>
            </w:pPr>
            <w:r w:rsidRPr="00503639">
              <w:rPr>
                <w:b/>
              </w:rPr>
              <w:t>Amount ($000)</w:t>
            </w:r>
          </w:p>
        </w:tc>
      </w:tr>
      <w:tr w:rsidR="00630F6F" w:rsidRPr="00503639" w:rsidTr="004554C1">
        <w:trPr>
          <w:jc w:val="center"/>
        </w:trPr>
        <w:tc>
          <w:tcPr>
            <w:tcW w:w="5328" w:type="dxa"/>
          </w:tcPr>
          <w:p w:rsidR="00630F6F" w:rsidRPr="00503639" w:rsidRDefault="00630F6F" w:rsidP="007471A8">
            <w:pPr>
              <w:contextualSpacing/>
              <w:rPr>
                <w:bCs/>
              </w:rPr>
            </w:pPr>
            <w:r>
              <w:rPr>
                <w:bCs/>
              </w:rPr>
              <w:t>2011</w:t>
            </w:r>
            <w:r w:rsidRPr="00503639">
              <w:rPr>
                <w:bCs/>
              </w:rPr>
              <w:t xml:space="preserve"> Enacted </w:t>
            </w:r>
          </w:p>
        </w:tc>
        <w:tc>
          <w:tcPr>
            <w:tcW w:w="1404" w:type="dxa"/>
          </w:tcPr>
          <w:p w:rsidR="00630F6F" w:rsidRPr="00503639" w:rsidRDefault="00630F6F" w:rsidP="007471A8">
            <w:pPr>
              <w:contextualSpacing/>
              <w:jc w:val="right"/>
              <w:rPr>
                <w:bCs/>
              </w:rPr>
            </w:pPr>
            <w:r>
              <w:rPr>
                <w:bCs/>
              </w:rPr>
              <w:t>2,092</w:t>
            </w:r>
          </w:p>
        </w:tc>
        <w:tc>
          <w:tcPr>
            <w:tcW w:w="1116" w:type="dxa"/>
          </w:tcPr>
          <w:p w:rsidR="00630F6F" w:rsidRPr="00503639" w:rsidRDefault="00630F6F" w:rsidP="007471A8">
            <w:pPr>
              <w:contextualSpacing/>
              <w:jc w:val="right"/>
              <w:rPr>
                <w:bCs/>
              </w:rPr>
            </w:pPr>
            <w:r>
              <w:rPr>
                <w:bCs/>
              </w:rPr>
              <w:t>2</w:t>
            </w:r>
            <w:r w:rsidRPr="00503639">
              <w:rPr>
                <w:bCs/>
              </w:rPr>
              <w:t>,</w:t>
            </w:r>
            <w:r>
              <w:rPr>
                <w:bCs/>
              </w:rPr>
              <w:t>049</w:t>
            </w:r>
          </w:p>
        </w:tc>
        <w:tc>
          <w:tcPr>
            <w:tcW w:w="1728" w:type="dxa"/>
          </w:tcPr>
          <w:p w:rsidR="00630F6F" w:rsidRPr="00503639" w:rsidRDefault="00630F6F" w:rsidP="007471A8">
            <w:pPr>
              <w:contextualSpacing/>
              <w:jc w:val="right"/>
              <w:rPr>
                <w:bCs/>
              </w:rPr>
            </w:pPr>
            <w:r w:rsidRPr="00503639">
              <w:rPr>
                <w:bCs/>
              </w:rPr>
              <w:t>$</w:t>
            </w:r>
            <w:r>
              <w:rPr>
                <w:bCs/>
              </w:rPr>
              <w:t>489,770</w:t>
            </w:r>
          </w:p>
        </w:tc>
      </w:tr>
      <w:tr w:rsidR="00630F6F" w:rsidRPr="00503639" w:rsidTr="004554C1">
        <w:trPr>
          <w:jc w:val="center"/>
        </w:trPr>
        <w:tc>
          <w:tcPr>
            <w:tcW w:w="5328" w:type="dxa"/>
          </w:tcPr>
          <w:p w:rsidR="00630F6F" w:rsidRPr="00503639" w:rsidRDefault="00630F6F" w:rsidP="007471A8">
            <w:pPr>
              <w:contextualSpacing/>
              <w:rPr>
                <w:bCs/>
              </w:rPr>
            </w:pPr>
            <w:r w:rsidRPr="00503639">
              <w:rPr>
                <w:bCs/>
              </w:rPr>
              <w:t>201</w:t>
            </w:r>
            <w:r>
              <w:rPr>
                <w:bCs/>
              </w:rPr>
              <w:t>2 Enacted</w:t>
            </w:r>
          </w:p>
        </w:tc>
        <w:tc>
          <w:tcPr>
            <w:tcW w:w="1404" w:type="dxa"/>
          </w:tcPr>
          <w:p w:rsidR="00630F6F" w:rsidRPr="00540638" w:rsidRDefault="00630F6F" w:rsidP="007471A8">
            <w:pPr>
              <w:contextualSpacing/>
              <w:jc w:val="right"/>
              <w:rPr>
                <w:bCs/>
              </w:rPr>
            </w:pPr>
            <w:r w:rsidRPr="00540638">
              <w:rPr>
                <w:bCs/>
              </w:rPr>
              <w:t>2,103</w:t>
            </w:r>
          </w:p>
        </w:tc>
        <w:tc>
          <w:tcPr>
            <w:tcW w:w="1116" w:type="dxa"/>
          </w:tcPr>
          <w:p w:rsidR="00630F6F" w:rsidRPr="00540638" w:rsidRDefault="00630F6F" w:rsidP="007471A8">
            <w:pPr>
              <w:contextualSpacing/>
              <w:jc w:val="right"/>
              <w:rPr>
                <w:bCs/>
              </w:rPr>
            </w:pPr>
            <w:r w:rsidRPr="00540638">
              <w:rPr>
                <w:bCs/>
              </w:rPr>
              <w:t>2,058</w:t>
            </w:r>
          </w:p>
        </w:tc>
        <w:tc>
          <w:tcPr>
            <w:tcW w:w="1728" w:type="dxa"/>
          </w:tcPr>
          <w:p w:rsidR="00630F6F" w:rsidRPr="00540638" w:rsidRDefault="00630F6F" w:rsidP="007471A8">
            <w:pPr>
              <w:contextualSpacing/>
              <w:jc w:val="right"/>
              <w:rPr>
                <w:bCs/>
              </w:rPr>
            </w:pPr>
            <w:r w:rsidRPr="00540638">
              <w:rPr>
                <w:bCs/>
              </w:rPr>
              <w:t>500,016</w:t>
            </w:r>
          </w:p>
        </w:tc>
      </w:tr>
      <w:tr w:rsidR="00630F6F" w:rsidRPr="00503639" w:rsidTr="004554C1">
        <w:trPr>
          <w:jc w:val="center"/>
        </w:trPr>
        <w:tc>
          <w:tcPr>
            <w:tcW w:w="5328" w:type="dxa"/>
          </w:tcPr>
          <w:p w:rsidR="00630F6F" w:rsidRPr="00503639" w:rsidRDefault="00630F6F" w:rsidP="007471A8">
            <w:pPr>
              <w:contextualSpacing/>
              <w:rPr>
                <w:bCs/>
              </w:rPr>
            </w:pPr>
            <w:r w:rsidRPr="00503639">
              <w:rPr>
                <w:bCs/>
              </w:rPr>
              <w:t>Adjustments to Base and Technical Adjustments</w:t>
            </w:r>
          </w:p>
        </w:tc>
        <w:tc>
          <w:tcPr>
            <w:tcW w:w="1404" w:type="dxa"/>
          </w:tcPr>
          <w:p w:rsidR="00630F6F" w:rsidRPr="00540638" w:rsidRDefault="00630F6F" w:rsidP="007471A8">
            <w:pPr>
              <w:contextualSpacing/>
              <w:jc w:val="right"/>
              <w:rPr>
                <w:bCs/>
              </w:rPr>
            </w:pPr>
            <w:r w:rsidRPr="00540638">
              <w:rPr>
                <w:bCs/>
              </w:rPr>
              <w:t>…</w:t>
            </w:r>
          </w:p>
        </w:tc>
        <w:tc>
          <w:tcPr>
            <w:tcW w:w="1116" w:type="dxa"/>
          </w:tcPr>
          <w:p w:rsidR="00630F6F" w:rsidRPr="00540638" w:rsidRDefault="00630F6F" w:rsidP="007471A8">
            <w:pPr>
              <w:contextualSpacing/>
              <w:jc w:val="right"/>
              <w:rPr>
                <w:bCs/>
              </w:rPr>
            </w:pPr>
            <w:r w:rsidRPr="00540638">
              <w:rPr>
                <w:bCs/>
              </w:rPr>
              <w:t>…</w:t>
            </w:r>
          </w:p>
        </w:tc>
        <w:tc>
          <w:tcPr>
            <w:tcW w:w="1728" w:type="dxa"/>
          </w:tcPr>
          <w:p w:rsidR="00630F6F" w:rsidRPr="00540638" w:rsidRDefault="00630F6F" w:rsidP="007471A8">
            <w:pPr>
              <w:contextualSpacing/>
              <w:jc w:val="right"/>
              <w:rPr>
                <w:bCs/>
              </w:rPr>
            </w:pPr>
            <w:r w:rsidRPr="00540638">
              <w:rPr>
                <w:bCs/>
              </w:rPr>
              <w:t>4,196</w:t>
            </w:r>
          </w:p>
        </w:tc>
      </w:tr>
      <w:tr w:rsidR="00630F6F" w:rsidRPr="00503639" w:rsidTr="004554C1">
        <w:trPr>
          <w:jc w:val="center"/>
        </w:trPr>
        <w:tc>
          <w:tcPr>
            <w:tcW w:w="5328" w:type="dxa"/>
          </w:tcPr>
          <w:p w:rsidR="00630F6F" w:rsidRPr="00503639" w:rsidRDefault="00630F6F" w:rsidP="007471A8">
            <w:pPr>
              <w:contextualSpacing/>
              <w:rPr>
                <w:bCs/>
              </w:rPr>
            </w:pPr>
            <w:r w:rsidRPr="00503639">
              <w:rPr>
                <w:bCs/>
              </w:rPr>
              <w:t>201</w:t>
            </w:r>
            <w:r>
              <w:rPr>
                <w:bCs/>
              </w:rPr>
              <w:t>3</w:t>
            </w:r>
            <w:r w:rsidRPr="00503639">
              <w:rPr>
                <w:bCs/>
              </w:rPr>
              <w:t xml:space="preserve"> Current Services</w:t>
            </w:r>
          </w:p>
        </w:tc>
        <w:tc>
          <w:tcPr>
            <w:tcW w:w="1404" w:type="dxa"/>
          </w:tcPr>
          <w:p w:rsidR="00630F6F" w:rsidRPr="00540638" w:rsidRDefault="00630F6F" w:rsidP="007471A8">
            <w:pPr>
              <w:contextualSpacing/>
              <w:jc w:val="right"/>
              <w:rPr>
                <w:bCs/>
              </w:rPr>
            </w:pPr>
            <w:r w:rsidRPr="00540638">
              <w:rPr>
                <w:bCs/>
              </w:rPr>
              <w:t>2,103</w:t>
            </w:r>
          </w:p>
        </w:tc>
        <w:tc>
          <w:tcPr>
            <w:tcW w:w="1116" w:type="dxa"/>
          </w:tcPr>
          <w:p w:rsidR="00630F6F" w:rsidRPr="00540638" w:rsidRDefault="00630F6F" w:rsidP="007471A8">
            <w:pPr>
              <w:contextualSpacing/>
              <w:jc w:val="right"/>
              <w:rPr>
                <w:bCs/>
              </w:rPr>
            </w:pPr>
            <w:r w:rsidRPr="00540638">
              <w:rPr>
                <w:bCs/>
              </w:rPr>
              <w:t>2,058</w:t>
            </w:r>
          </w:p>
        </w:tc>
        <w:tc>
          <w:tcPr>
            <w:tcW w:w="1728" w:type="dxa"/>
          </w:tcPr>
          <w:p w:rsidR="00630F6F" w:rsidRPr="00540638" w:rsidRDefault="00630F6F" w:rsidP="007471A8">
            <w:pPr>
              <w:contextualSpacing/>
              <w:jc w:val="right"/>
              <w:rPr>
                <w:bCs/>
              </w:rPr>
            </w:pPr>
            <w:r w:rsidRPr="00540638">
              <w:rPr>
                <w:bCs/>
              </w:rPr>
              <w:t>504,212</w:t>
            </w:r>
          </w:p>
        </w:tc>
      </w:tr>
      <w:tr w:rsidR="00630F6F" w:rsidRPr="00503639" w:rsidTr="004554C1">
        <w:trPr>
          <w:jc w:val="center"/>
        </w:trPr>
        <w:tc>
          <w:tcPr>
            <w:tcW w:w="5328" w:type="dxa"/>
          </w:tcPr>
          <w:p w:rsidR="00630F6F" w:rsidRPr="00503639" w:rsidRDefault="00630F6F" w:rsidP="007471A8">
            <w:pPr>
              <w:contextualSpacing/>
              <w:rPr>
                <w:bCs/>
              </w:rPr>
            </w:pPr>
            <w:r w:rsidRPr="00503639">
              <w:rPr>
                <w:bCs/>
              </w:rPr>
              <w:t>201</w:t>
            </w:r>
            <w:r>
              <w:rPr>
                <w:bCs/>
              </w:rPr>
              <w:t>3</w:t>
            </w:r>
            <w:r w:rsidRPr="00503639">
              <w:rPr>
                <w:bCs/>
              </w:rPr>
              <w:t xml:space="preserve"> Program Increases</w:t>
            </w:r>
          </w:p>
        </w:tc>
        <w:tc>
          <w:tcPr>
            <w:tcW w:w="1404" w:type="dxa"/>
          </w:tcPr>
          <w:p w:rsidR="00630F6F" w:rsidRPr="00540638" w:rsidRDefault="00630F6F" w:rsidP="007471A8">
            <w:pPr>
              <w:contextualSpacing/>
              <w:jc w:val="right"/>
              <w:rPr>
                <w:bCs/>
              </w:rPr>
            </w:pPr>
            <w:r w:rsidRPr="00540638">
              <w:rPr>
                <w:bCs/>
              </w:rPr>
              <w:t>…</w:t>
            </w:r>
          </w:p>
        </w:tc>
        <w:tc>
          <w:tcPr>
            <w:tcW w:w="1116" w:type="dxa"/>
          </w:tcPr>
          <w:p w:rsidR="00630F6F" w:rsidRPr="00540638" w:rsidRDefault="00630F6F" w:rsidP="007471A8">
            <w:pPr>
              <w:contextualSpacing/>
              <w:jc w:val="right"/>
              <w:rPr>
                <w:bCs/>
              </w:rPr>
            </w:pPr>
            <w:r w:rsidRPr="00540638">
              <w:rPr>
                <w:bCs/>
              </w:rPr>
              <w:t>…</w:t>
            </w:r>
          </w:p>
        </w:tc>
        <w:tc>
          <w:tcPr>
            <w:tcW w:w="1728" w:type="dxa"/>
          </w:tcPr>
          <w:p w:rsidR="00630F6F" w:rsidRPr="00540638" w:rsidRDefault="00630F6F" w:rsidP="007471A8">
            <w:pPr>
              <w:contextualSpacing/>
              <w:jc w:val="right"/>
              <w:rPr>
                <w:bCs/>
              </w:rPr>
            </w:pPr>
            <w:r w:rsidRPr="00540638">
              <w:rPr>
                <w:bCs/>
              </w:rPr>
              <w:t>312</w:t>
            </w:r>
          </w:p>
        </w:tc>
      </w:tr>
      <w:tr w:rsidR="00630F6F" w:rsidRPr="00503639" w:rsidTr="004554C1">
        <w:trPr>
          <w:jc w:val="center"/>
        </w:trPr>
        <w:tc>
          <w:tcPr>
            <w:tcW w:w="5328" w:type="dxa"/>
          </w:tcPr>
          <w:p w:rsidR="00630F6F" w:rsidRPr="00503639" w:rsidRDefault="00630F6F" w:rsidP="007471A8">
            <w:pPr>
              <w:contextualSpacing/>
              <w:rPr>
                <w:bCs/>
              </w:rPr>
            </w:pPr>
            <w:r w:rsidRPr="00503639">
              <w:rPr>
                <w:bCs/>
              </w:rPr>
              <w:t>201</w:t>
            </w:r>
            <w:r>
              <w:rPr>
                <w:bCs/>
              </w:rPr>
              <w:t>3</w:t>
            </w:r>
            <w:r w:rsidRPr="00503639">
              <w:rPr>
                <w:bCs/>
              </w:rPr>
              <w:t xml:space="preserve"> Program Offsets</w:t>
            </w:r>
          </w:p>
        </w:tc>
        <w:tc>
          <w:tcPr>
            <w:tcW w:w="1404" w:type="dxa"/>
          </w:tcPr>
          <w:p w:rsidR="00630F6F" w:rsidRPr="00540638" w:rsidRDefault="00630F6F" w:rsidP="007471A8">
            <w:pPr>
              <w:contextualSpacing/>
              <w:jc w:val="right"/>
              <w:rPr>
                <w:bCs/>
              </w:rPr>
            </w:pPr>
            <w:r w:rsidRPr="00540638">
              <w:rPr>
                <w:bCs/>
              </w:rPr>
              <w:t>…</w:t>
            </w:r>
          </w:p>
        </w:tc>
        <w:tc>
          <w:tcPr>
            <w:tcW w:w="1116" w:type="dxa"/>
          </w:tcPr>
          <w:p w:rsidR="00630F6F" w:rsidRPr="00540638" w:rsidRDefault="00630F6F" w:rsidP="007471A8">
            <w:pPr>
              <w:contextualSpacing/>
              <w:jc w:val="right"/>
              <w:rPr>
                <w:bCs/>
              </w:rPr>
            </w:pPr>
            <w:r w:rsidRPr="00540638">
              <w:rPr>
                <w:bCs/>
              </w:rPr>
              <w:t>…</w:t>
            </w:r>
          </w:p>
        </w:tc>
        <w:tc>
          <w:tcPr>
            <w:tcW w:w="1728" w:type="dxa"/>
          </w:tcPr>
          <w:p w:rsidR="00630F6F" w:rsidRPr="00540638" w:rsidRDefault="00630F6F" w:rsidP="007471A8">
            <w:pPr>
              <w:contextualSpacing/>
              <w:jc w:val="right"/>
              <w:rPr>
                <w:bCs/>
              </w:rPr>
            </w:pPr>
            <w:r w:rsidRPr="00540638">
              <w:rPr>
                <w:bCs/>
              </w:rPr>
              <w:t>(2,540)</w:t>
            </w:r>
          </w:p>
        </w:tc>
      </w:tr>
      <w:tr w:rsidR="00630F6F" w:rsidRPr="00503639" w:rsidTr="004554C1">
        <w:trPr>
          <w:jc w:val="center"/>
        </w:trPr>
        <w:tc>
          <w:tcPr>
            <w:tcW w:w="5328" w:type="dxa"/>
          </w:tcPr>
          <w:p w:rsidR="00630F6F" w:rsidRPr="00503639" w:rsidRDefault="00630F6F" w:rsidP="007471A8">
            <w:pPr>
              <w:contextualSpacing/>
              <w:rPr>
                <w:bCs/>
              </w:rPr>
            </w:pPr>
            <w:r w:rsidRPr="00503639">
              <w:rPr>
                <w:bCs/>
              </w:rPr>
              <w:t>201</w:t>
            </w:r>
            <w:r>
              <w:rPr>
                <w:bCs/>
              </w:rPr>
              <w:t>3</w:t>
            </w:r>
            <w:r w:rsidRPr="00503639">
              <w:rPr>
                <w:bCs/>
              </w:rPr>
              <w:t xml:space="preserve"> Request</w:t>
            </w:r>
          </w:p>
        </w:tc>
        <w:tc>
          <w:tcPr>
            <w:tcW w:w="1404" w:type="dxa"/>
          </w:tcPr>
          <w:p w:rsidR="00630F6F" w:rsidRPr="00540638" w:rsidRDefault="00630F6F" w:rsidP="007471A8">
            <w:pPr>
              <w:contextualSpacing/>
              <w:jc w:val="right"/>
              <w:rPr>
                <w:bCs/>
              </w:rPr>
            </w:pPr>
            <w:r w:rsidRPr="00540638">
              <w:rPr>
                <w:bCs/>
              </w:rPr>
              <w:t>2,103</w:t>
            </w:r>
          </w:p>
        </w:tc>
        <w:tc>
          <w:tcPr>
            <w:tcW w:w="1116" w:type="dxa"/>
          </w:tcPr>
          <w:p w:rsidR="00630F6F" w:rsidRPr="00540638" w:rsidRDefault="00630F6F" w:rsidP="007471A8">
            <w:pPr>
              <w:contextualSpacing/>
              <w:jc w:val="right"/>
              <w:rPr>
                <w:bCs/>
              </w:rPr>
            </w:pPr>
            <w:r w:rsidRPr="00540638">
              <w:rPr>
                <w:bCs/>
              </w:rPr>
              <w:t>2,058</w:t>
            </w:r>
          </w:p>
        </w:tc>
        <w:tc>
          <w:tcPr>
            <w:tcW w:w="1728" w:type="dxa"/>
          </w:tcPr>
          <w:p w:rsidR="00630F6F" w:rsidRPr="00540638" w:rsidRDefault="00630F6F" w:rsidP="007471A8">
            <w:pPr>
              <w:contextualSpacing/>
              <w:jc w:val="right"/>
              <w:rPr>
                <w:bCs/>
              </w:rPr>
            </w:pPr>
            <w:r w:rsidRPr="00540638">
              <w:rPr>
                <w:bCs/>
              </w:rPr>
              <w:t>501,984</w:t>
            </w:r>
          </w:p>
        </w:tc>
      </w:tr>
      <w:tr w:rsidR="00630F6F" w:rsidRPr="00503639" w:rsidTr="004554C1">
        <w:trPr>
          <w:jc w:val="center"/>
        </w:trPr>
        <w:tc>
          <w:tcPr>
            <w:tcW w:w="5328" w:type="dxa"/>
            <w:shd w:val="clear" w:color="auto" w:fill="C0C0C0"/>
          </w:tcPr>
          <w:p w:rsidR="00630F6F" w:rsidRPr="00503639" w:rsidRDefault="00630F6F" w:rsidP="007471A8">
            <w:pPr>
              <w:contextualSpacing/>
              <w:rPr>
                <w:b/>
              </w:rPr>
            </w:pPr>
            <w:r w:rsidRPr="00503639">
              <w:rPr>
                <w:b/>
              </w:rPr>
              <w:t>Total Change 201</w:t>
            </w:r>
            <w:r>
              <w:rPr>
                <w:b/>
              </w:rPr>
              <w:t>2</w:t>
            </w:r>
            <w:r w:rsidRPr="00503639">
              <w:rPr>
                <w:b/>
              </w:rPr>
              <w:t>-201</w:t>
            </w:r>
            <w:r>
              <w:rPr>
                <w:b/>
              </w:rPr>
              <w:t>3</w:t>
            </w:r>
          </w:p>
        </w:tc>
        <w:tc>
          <w:tcPr>
            <w:tcW w:w="1404" w:type="dxa"/>
            <w:shd w:val="clear" w:color="auto" w:fill="C0C0C0"/>
          </w:tcPr>
          <w:p w:rsidR="00630F6F" w:rsidRPr="00503639" w:rsidRDefault="00630F6F" w:rsidP="007471A8">
            <w:pPr>
              <w:contextualSpacing/>
              <w:jc w:val="right"/>
              <w:rPr>
                <w:b/>
              </w:rPr>
            </w:pPr>
            <w:r>
              <w:rPr>
                <w:b/>
              </w:rPr>
              <w:t>…</w:t>
            </w:r>
          </w:p>
        </w:tc>
        <w:tc>
          <w:tcPr>
            <w:tcW w:w="1116" w:type="dxa"/>
            <w:shd w:val="clear" w:color="auto" w:fill="C0C0C0"/>
          </w:tcPr>
          <w:p w:rsidR="00630F6F" w:rsidRPr="00503639" w:rsidRDefault="00630F6F" w:rsidP="007471A8">
            <w:pPr>
              <w:contextualSpacing/>
              <w:jc w:val="right"/>
              <w:rPr>
                <w:b/>
              </w:rPr>
            </w:pPr>
            <w:r>
              <w:rPr>
                <w:b/>
              </w:rPr>
              <w:t>…</w:t>
            </w:r>
          </w:p>
        </w:tc>
        <w:tc>
          <w:tcPr>
            <w:tcW w:w="1728" w:type="dxa"/>
            <w:shd w:val="clear" w:color="auto" w:fill="C0C0C0"/>
          </w:tcPr>
          <w:p w:rsidR="00630F6F" w:rsidRPr="00503639" w:rsidRDefault="00630F6F" w:rsidP="007471A8">
            <w:pPr>
              <w:contextualSpacing/>
              <w:jc w:val="right"/>
              <w:rPr>
                <w:b/>
              </w:rPr>
            </w:pPr>
            <w:r w:rsidRPr="00503639">
              <w:rPr>
                <w:b/>
              </w:rPr>
              <w:t>$</w:t>
            </w:r>
            <w:r>
              <w:rPr>
                <w:b/>
              </w:rPr>
              <w:t>2,228</w:t>
            </w:r>
            <w:r w:rsidRPr="00503639">
              <w:rPr>
                <w:b/>
              </w:rPr>
              <w:t xml:space="preserve"> </w:t>
            </w:r>
          </w:p>
        </w:tc>
      </w:tr>
    </w:tbl>
    <w:p w:rsidR="00630F6F" w:rsidRPr="00503639" w:rsidRDefault="00630F6F" w:rsidP="007471A8">
      <w:pPr>
        <w:contextualSpacing/>
        <w:rPr>
          <w:rFonts w:eastAsia="Arial Unicode MS"/>
          <w:b/>
        </w:rPr>
      </w:pPr>
    </w:p>
    <w:p w:rsidR="00630F6F" w:rsidRPr="00503639" w:rsidRDefault="00630F6F" w:rsidP="007471A8">
      <w:pPr>
        <w:contextualSpacing/>
        <w:rPr>
          <w:rFonts w:eastAsia="Arial Unicode MS"/>
          <w:b/>
        </w:rPr>
      </w:pPr>
      <w:r w:rsidRPr="00503639">
        <w:rPr>
          <w:rFonts w:eastAsia="Arial Unicode MS"/>
          <w:b/>
        </w:rPr>
        <w:t>1.  Program Description</w:t>
      </w:r>
    </w:p>
    <w:p w:rsidR="00630F6F" w:rsidRPr="00503639"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rPr>
      </w:pPr>
      <w:r w:rsidRPr="00503639">
        <w:rPr>
          <w:iCs/>
        </w:rPr>
        <w:t>The Criminal Justice Services (CJS) Decision Unit is comprised of all programs of the</w:t>
      </w:r>
      <w:r w:rsidRPr="00503639">
        <w:t xml:space="preserve"> Criminal Justice Information Services (CJIS) Division, the portion of the Laboratory Division that provides criminal justice information and forensic services to the FBI's state and local law enforcement </w:t>
      </w:r>
      <w:proofErr w:type="gramStart"/>
      <w:r w:rsidRPr="00503639">
        <w:t>partners,</w:t>
      </w:r>
      <w:proofErr w:type="gramEnd"/>
      <w:r w:rsidRPr="00503639">
        <w:t xml:space="preserve"> and the state and local training programs of the Training Division.  Additionally, to capture all resources that support the CJS program, a prorated share of resources from the FBI's support divisions (Security, Information Technology, and the administrative divisions and offices) are calculated and scored to this decision unit. </w:t>
      </w:r>
    </w:p>
    <w:p w:rsidR="00630F6F" w:rsidRPr="00503639"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p>
    <w:p w:rsidR="00630F6F" w:rsidRPr="00503639"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503639">
        <w:rPr>
          <w:b/>
          <w:bCs/>
          <w:i/>
        </w:rPr>
        <w:t>CJIS Division</w:t>
      </w:r>
    </w:p>
    <w:p w:rsidR="00630F6F" w:rsidRDefault="00630F6F" w:rsidP="007471A8">
      <w:pPr>
        <w:autoSpaceDE w:val="0"/>
        <w:autoSpaceDN w:val="0"/>
        <w:adjustRightInd w:val="0"/>
        <w:contextualSpacing/>
      </w:pPr>
      <w:r>
        <w:t>The mission of the CJIS Division is to equip our law enforcement, national security, and intelligence community partners with the criminal justice information they need to protect the U.S. while preserving civil liberties. The CJIS Division includes several major program activities that support this mission, all of which are described below.</w:t>
      </w:r>
    </w:p>
    <w:p w:rsidR="00630F6F" w:rsidRDefault="00630F6F" w:rsidP="007471A8">
      <w:pPr>
        <w:autoSpaceDE w:val="0"/>
        <w:autoSpaceDN w:val="0"/>
        <w:adjustRightInd w:val="0"/>
        <w:contextualSpacing/>
      </w:pPr>
    </w:p>
    <w:p w:rsidR="00630F6F" w:rsidRDefault="00630F6F" w:rsidP="007471A8">
      <w:pPr>
        <w:autoSpaceDE w:val="0"/>
        <w:autoSpaceDN w:val="0"/>
        <w:adjustRightInd w:val="0"/>
        <w:contextualSpacing/>
      </w:pPr>
      <w:r w:rsidRPr="001947FD">
        <w:rPr>
          <w:u w:val="single"/>
        </w:rPr>
        <w:t>Integrated Automated Fingerprint Identification System (IAFIS)/Next Generation Identification (NGI)</w:t>
      </w:r>
      <w:r>
        <w:t xml:space="preserve">: IAFIS provides timely and accurate identification services in a paperless environment 24 hours a day, 7 days a week. The system identifies individuals through name, date-of-birth, other descriptors, and/or fingerprint image comparisons, and provides criminal history records on individuals for law enforcement and civil purposes. IAFIS is designed to process criminal fingerprint submissions in two hours or less and civil submissions in 24 hours or less.  </w:t>
      </w:r>
      <w:r w:rsidRPr="008616D9">
        <w:t>In FY 2010, the FBI conducted over 61.2 million fingerprint background checks</w:t>
      </w:r>
      <w:r>
        <w:t xml:space="preserve">.  </w:t>
      </w:r>
      <w:r w:rsidRPr="00FA0D62">
        <w:t xml:space="preserve"> </w:t>
      </w:r>
      <w:r w:rsidRPr="008616D9">
        <w:t>In FY 20</w:t>
      </w:r>
      <w:r>
        <w:t>11</w:t>
      </w:r>
      <w:r w:rsidRPr="008616D9">
        <w:t xml:space="preserve">, the FBI conducted over </w:t>
      </w:r>
      <w:r>
        <w:t>50.7</w:t>
      </w:r>
      <w:r w:rsidRPr="008616D9">
        <w:t xml:space="preserve"> million fingerprint background checks.</w:t>
      </w:r>
      <w:r w:rsidR="006D47E3">
        <w:t xml:space="preserve"> The </w:t>
      </w:r>
      <w:r w:rsidR="00304948">
        <w:t>number of f</w:t>
      </w:r>
      <w:r w:rsidR="006D47E3">
        <w:t xml:space="preserve">ingerprint background checks between </w:t>
      </w:r>
      <w:r w:rsidR="00304948">
        <w:t xml:space="preserve">FY </w:t>
      </w:r>
      <w:r w:rsidR="006D47E3">
        <w:t xml:space="preserve">2010 and </w:t>
      </w:r>
      <w:r w:rsidR="00304948">
        <w:t xml:space="preserve">FY </w:t>
      </w:r>
      <w:r w:rsidR="006D47E3">
        <w:t xml:space="preserve">2011 </w:t>
      </w:r>
      <w:r w:rsidR="00304948">
        <w:t>decrease</w:t>
      </w:r>
      <w:r w:rsidR="00F15A9D">
        <w:t>d</w:t>
      </w:r>
      <w:r w:rsidR="006D47E3">
        <w:t xml:space="preserve"> due to the surge </w:t>
      </w:r>
      <w:r w:rsidR="00304948">
        <w:t xml:space="preserve">in the request for checks </w:t>
      </w:r>
      <w:r w:rsidR="006D47E3">
        <w:t>during the Census in 2010.</w:t>
      </w:r>
    </w:p>
    <w:p w:rsidR="00630F6F" w:rsidRDefault="006D47E3" w:rsidP="007471A8">
      <w:pPr>
        <w:autoSpaceDE w:val="0"/>
        <w:autoSpaceDN w:val="0"/>
        <w:adjustRightInd w:val="0"/>
        <w:contextualSpacing/>
      </w:pPr>
      <w:r>
        <w:t xml:space="preserve"> </w:t>
      </w:r>
    </w:p>
    <w:p w:rsidR="00630F6F" w:rsidRDefault="00630F6F" w:rsidP="007471A8">
      <w:pPr>
        <w:autoSpaceDE w:val="0"/>
        <w:autoSpaceDN w:val="0"/>
        <w:adjustRightInd w:val="0"/>
        <w:contextualSpacing/>
      </w:pPr>
      <w:r>
        <w:t xml:space="preserve">In FY 2008, the CJIS Division awarded a contract for the development and integration of the NGI system. NGI is a major upgrade and replacement to the current IAFIS. The FBI initiated the NGI Program in response to advances in technology, FBI customer requirements, growing demand for IAFIS services, and growing obsolescence of the IAFIS information technology infrastructure. NGI advances the FBI’s biometric identification and investigation services, providing an incremental replacement of current IAFIS technical capabilities, while introducing new biometric functionality. </w:t>
      </w:r>
      <w:r w:rsidR="00E730BF">
        <w:t>If fully deployed, t</w:t>
      </w:r>
      <w:r>
        <w:t>he NGI system w</w:t>
      </w:r>
      <w:r w:rsidR="00E730BF">
        <w:t>ould</w:t>
      </w:r>
      <w:r>
        <w:t xml:space="preserve"> offer state-of-the-art biometric services and capabilities that will serve as a platform for multiple modes of biometric functionality.</w:t>
      </w:r>
    </w:p>
    <w:p w:rsidR="00630F6F" w:rsidRDefault="00630F6F" w:rsidP="007471A8">
      <w:pPr>
        <w:autoSpaceDE w:val="0"/>
        <w:autoSpaceDN w:val="0"/>
        <w:adjustRightInd w:val="0"/>
        <w:contextualSpacing/>
      </w:pPr>
    </w:p>
    <w:p w:rsidR="00564378" w:rsidRDefault="00630F6F" w:rsidP="007471A8">
      <w:pPr>
        <w:autoSpaceDE w:val="0"/>
        <w:autoSpaceDN w:val="0"/>
        <w:adjustRightInd w:val="0"/>
        <w:contextualSpacing/>
      </w:pPr>
      <w:r>
        <w:t>NGI w</w:t>
      </w:r>
      <w:r w:rsidR="00E730BF">
        <w:t>ould serve as</w:t>
      </w:r>
      <w:r>
        <w:t xml:space="preserve"> the cornerstone t</w:t>
      </w:r>
      <w:r w:rsidR="00E730BF">
        <w:t>o</w:t>
      </w:r>
      <w:r>
        <w:t xml:space="preserve"> enables the FBI to meet its criminal justice service mission and support the intelligence community</w:t>
      </w:r>
      <w:r w:rsidR="00E730BF">
        <w:t>.</w:t>
      </w:r>
      <w:r>
        <w:t xml:space="preserve"> The FBI </w:t>
      </w:r>
      <w:r w:rsidR="00E730BF">
        <w:t>anticipates</w:t>
      </w:r>
      <w:r>
        <w:t xml:space="preserve"> dramatically improv</w:t>
      </w:r>
      <w:r w:rsidR="00E730BF">
        <w:t>ing</w:t>
      </w:r>
      <w:r>
        <w:t xml:space="preserve"> the major features of </w:t>
      </w:r>
      <w:r>
        <w:lastRenderedPageBreak/>
        <w:t xml:space="preserve">the current IAFIS including system flexibility, storage capacity, accuracy and timeliness of responses, and interoperability with other systems - including DHS and DOD biometric matching systems.  </w:t>
      </w:r>
      <w:r w:rsidR="00C504CD">
        <w:t>NGI is comprised of six overlapping increments.</w:t>
      </w:r>
      <w:r w:rsidR="003C2E79">
        <w:t xml:space="preserve"> </w:t>
      </w:r>
      <w:r w:rsidR="00C504CD">
        <w:t xml:space="preserve"> Increment 1 (Advanced Fingerprint Identification Technology [AFIT]) w</w:t>
      </w:r>
      <w:r w:rsidR="0044211E">
        <w:t xml:space="preserve">as achieved more than one month </w:t>
      </w:r>
      <w:r w:rsidR="00C504CD">
        <w:t xml:space="preserve">ahead of schedule in February 2011. </w:t>
      </w:r>
      <w:r w:rsidR="003C2E79">
        <w:t xml:space="preserve"> </w:t>
      </w:r>
      <w:r w:rsidR="00C504CD">
        <w:t>Increment 2 (Repository for Individuals of Special Concern [RISC]</w:t>
      </w:r>
      <w:r w:rsidR="00E730BF">
        <w:t>)</w:t>
      </w:r>
      <w:r w:rsidR="00C504CD">
        <w:t xml:space="preserve"> was deployed on schedule in August 2011. </w:t>
      </w:r>
      <w:r w:rsidR="003C2E79">
        <w:t xml:space="preserve"> </w:t>
      </w:r>
      <w:r w:rsidR="00C504CD">
        <w:t xml:space="preserve">All </w:t>
      </w:r>
      <w:r w:rsidR="00466B66">
        <w:t xml:space="preserve">4 </w:t>
      </w:r>
      <w:r w:rsidR="00C504CD">
        <w:t>remaining NGI increments are on schedule, with Full Operating Capability planned for June 2014.</w:t>
      </w:r>
    </w:p>
    <w:p w:rsidR="00630F6F" w:rsidRDefault="00630F6F" w:rsidP="007471A8">
      <w:pPr>
        <w:autoSpaceDE w:val="0"/>
        <w:autoSpaceDN w:val="0"/>
        <w:adjustRightInd w:val="0"/>
        <w:contextualSpacing/>
      </w:pPr>
    </w:p>
    <w:p w:rsidR="00630F6F" w:rsidRPr="008616D9" w:rsidRDefault="00630F6F" w:rsidP="007471A8">
      <w:pPr>
        <w:autoSpaceDE w:val="0"/>
        <w:autoSpaceDN w:val="0"/>
        <w:adjustRightInd w:val="0"/>
        <w:contextualSpacing/>
      </w:pPr>
      <w:r w:rsidRPr="00E16A43">
        <w:rPr>
          <w:u w:val="single"/>
        </w:rPr>
        <w:t>National Crime Information Center (NCIC)</w:t>
      </w:r>
      <w:r w:rsidRPr="004830F5">
        <w:t>:</w:t>
      </w:r>
      <w:r>
        <w:t xml:space="preserve"> The NCIC is a nationwide information system that supports local, state, tribal, federal, and international law enforcement agencies in their mission to uphold the law and protect the public. The NCIC allows for the compilation, dissemination, and exchange of timely and critical criminal justice and law enforcement information, such as wanted person information, stolen property information, sex offenders, immigration violators, terrorists, and other data. On July 29, 2011, NCIC </w:t>
      </w:r>
      <w:r w:rsidR="00466B66">
        <w:t>replaced its previous record of 9.1 million transactions</w:t>
      </w:r>
      <w:r>
        <w:t xml:space="preserve"> by processing more than 9.7 million transactions in one day.  As of December 2011, the system averages 8.2 million transactions per day.</w:t>
      </w:r>
    </w:p>
    <w:p w:rsidR="00630F6F" w:rsidRPr="008616D9" w:rsidRDefault="00630F6F" w:rsidP="007471A8">
      <w:pPr>
        <w:autoSpaceDE w:val="0"/>
        <w:autoSpaceDN w:val="0"/>
        <w:adjustRightInd w:val="0"/>
        <w:contextualSpacing/>
      </w:pPr>
    </w:p>
    <w:p w:rsidR="00630F6F" w:rsidRDefault="00630F6F" w:rsidP="007471A8">
      <w:pPr>
        <w:autoSpaceDE w:val="0"/>
        <w:autoSpaceDN w:val="0"/>
        <w:adjustRightInd w:val="0"/>
        <w:contextualSpacing/>
      </w:pPr>
      <w:r w:rsidRPr="008616D9">
        <w:rPr>
          <w:u w:val="single"/>
        </w:rPr>
        <w:t>National Instant Criminal Background Check System (NICS)</w:t>
      </w:r>
      <w:r w:rsidRPr="008616D9">
        <w:t>: The NICS is a national system established to enforce the provisions of the Brady Handgun Violence Prevention Act of 1993. The NICS allows Federal Firearms Licensees to determine whether receipt of a firearm by a prospective purchaser would violate state or federal law. The system ensures the timely transfer of firearms to individuals who are not specifically prohibited and denies transfer to prohibited persons. For FY 2010, the NICS processed 14.1 million inquiries. The FBI conducted approximately 5.9 million of these checks, resulting in 70,972 denials to prohibited persons. The remaining 8.2 million checks were conducted by individual states.</w:t>
      </w:r>
      <w:r>
        <w:t xml:space="preserve"> In FY 2011, the NICS processed over 15.9 million inquiries.  The FBI conducted approximately 6.6 million of these checks, resulting in 76,862 denials to prohibited persons.  The remaining 9.3 million checks were conducted by individual states.</w:t>
      </w:r>
    </w:p>
    <w:p w:rsidR="00630F6F" w:rsidRDefault="00630F6F" w:rsidP="007471A8">
      <w:pPr>
        <w:autoSpaceDE w:val="0"/>
        <w:autoSpaceDN w:val="0"/>
        <w:adjustRightInd w:val="0"/>
        <w:contextualSpacing/>
      </w:pPr>
    </w:p>
    <w:p w:rsidR="00630F6F" w:rsidRPr="003703D9" w:rsidRDefault="00630F6F" w:rsidP="007471A8">
      <w:pPr>
        <w:autoSpaceDE w:val="0"/>
        <w:autoSpaceDN w:val="0"/>
        <w:adjustRightInd w:val="0"/>
        <w:contextualSpacing/>
      </w:pPr>
      <w:r w:rsidRPr="003703D9">
        <w:rPr>
          <w:u w:val="single"/>
        </w:rPr>
        <w:t>Uniform Crime Reporting (UCR)</w:t>
      </w:r>
      <w:r w:rsidRPr="003703D9">
        <w:t>: The FBI’s UCR Program has served as the national</w:t>
      </w:r>
    </w:p>
    <w:p w:rsidR="00630F6F" w:rsidRDefault="00630F6F" w:rsidP="007471A8">
      <w:pPr>
        <w:autoSpaceDE w:val="0"/>
        <w:autoSpaceDN w:val="0"/>
        <w:adjustRightInd w:val="0"/>
        <w:contextualSpacing/>
      </w:pPr>
      <w:proofErr w:type="gramStart"/>
      <w:r w:rsidRPr="003703D9">
        <w:t>clearinghouse</w:t>
      </w:r>
      <w:proofErr w:type="gramEnd"/>
      <w:r w:rsidRPr="003703D9">
        <w:t xml:space="preserve"> for the collection of crimes reported to law enforcement since 1930. It is the CJIS Division of the FBI that collects, analyzes, reviews, and publishes the data collected from participating local, state, tribal, and federal law enforcement agencies. </w:t>
      </w:r>
      <w:r w:rsidR="003703D9" w:rsidRPr="003703D9">
        <w:rPr>
          <w:color w:val="000000"/>
        </w:rPr>
        <w:t>Recognizing the need for improved statistics, law enforcement called for a thorough evaluative study to modernize the UCR Program, resulting in the National Incident-Based Reporting System (NIBRS).  In the NIBRS, more detailed data are collected on each single crime occurrence made up of 49 specific offenses.  Based on 2010 submissions, approximately 43 percent of the program's law enforcement agencies are certified for NIBRS participation.  </w:t>
      </w:r>
      <w:r w:rsidRPr="003703D9">
        <w:t xml:space="preserve">Information derived from the data collected within the UCR Program is the basis for the annual publications </w:t>
      </w:r>
      <w:r w:rsidRPr="003703D9">
        <w:rPr>
          <w:i/>
          <w:iCs/>
        </w:rPr>
        <w:t>Crime in the United States</w:t>
      </w:r>
      <w:r w:rsidRPr="003703D9">
        <w:t xml:space="preserve">, </w:t>
      </w:r>
      <w:r w:rsidRPr="003703D9">
        <w:rPr>
          <w:i/>
          <w:iCs/>
        </w:rPr>
        <w:t xml:space="preserve">Law Enforcement Officers Killed and Assaulted </w:t>
      </w:r>
      <w:r w:rsidRPr="003703D9">
        <w:t xml:space="preserve">(LEOKA), and </w:t>
      </w:r>
      <w:r w:rsidRPr="003703D9">
        <w:rPr>
          <w:i/>
          <w:iCs/>
        </w:rPr>
        <w:t xml:space="preserve">Hate Crime Statistics </w:t>
      </w:r>
      <w:r w:rsidRPr="003703D9">
        <w:t>that fulfill the FBI’s obligations under Title 28 United States Code Section 534. The publications provide statistical compilations of crimes such as murder, forcible rape, robbery, aggravated assault, burglary, larceny-theft, motor vehicle theft, and arson; officers killed and assaulted in the line of duty; and hate crime statistics. The UCR Program also conducts officer safety awareness training for the Nation’s law enforcement community based on the statistics and research collected in the UCR LEOKA Program.</w:t>
      </w:r>
    </w:p>
    <w:p w:rsidR="00630F6F" w:rsidRDefault="00630F6F" w:rsidP="007471A8">
      <w:pPr>
        <w:autoSpaceDE w:val="0"/>
        <w:autoSpaceDN w:val="0"/>
        <w:adjustRightInd w:val="0"/>
        <w:contextualSpacing/>
      </w:pPr>
    </w:p>
    <w:p w:rsidR="00C504CD" w:rsidRDefault="00630F6F" w:rsidP="007471A8">
      <w:pPr>
        <w:autoSpaceDE w:val="0"/>
        <w:autoSpaceDN w:val="0"/>
        <w:adjustRightInd w:val="0"/>
        <w:contextualSpacing/>
      </w:pPr>
      <w:r w:rsidRPr="00E302D6">
        <w:rPr>
          <w:u w:val="single"/>
        </w:rPr>
        <w:t>Law Enforcement National Data Exchange (N-</w:t>
      </w:r>
      <w:proofErr w:type="spellStart"/>
      <w:r w:rsidRPr="00E302D6">
        <w:rPr>
          <w:u w:val="single"/>
        </w:rPr>
        <w:t>DEx</w:t>
      </w:r>
      <w:proofErr w:type="spellEnd"/>
      <w:r w:rsidRPr="00E302D6">
        <w:rPr>
          <w:u w:val="single"/>
        </w:rPr>
        <w:t>)</w:t>
      </w:r>
      <w:r>
        <w:t>: N-</w:t>
      </w:r>
      <w:proofErr w:type="spellStart"/>
      <w:r>
        <w:t>DEx</w:t>
      </w:r>
      <w:proofErr w:type="spellEnd"/>
      <w:r>
        <w:t xml:space="preserve"> provides a secure, online national information sharing system to the criminal justice community for their data, including incident, arrest, booking, incarceration, probation, and parole reports.  </w:t>
      </w:r>
      <w:r w:rsidR="00C504CD">
        <w:t xml:space="preserve">By </w:t>
      </w:r>
      <w:r>
        <w:t>automatically creating linkages across submitted information to identity correlations and relationships among people, places, and things that were previously unknown, N-</w:t>
      </w:r>
      <w:proofErr w:type="spellStart"/>
      <w:r>
        <w:t>DEx</w:t>
      </w:r>
      <w:proofErr w:type="spellEnd"/>
      <w:r>
        <w:t xml:space="preserve"> forges collaboration and partnerships on a national scale to more effectively solve and prevent crimes and acts of terrorism.   </w:t>
      </w:r>
      <w:r w:rsidR="00C504CD">
        <w:t>N-</w:t>
      </w:r>
      <w:proofErr w:type="spellStart"/>
      <w:r w:rsidR="00C504CD">
        <w:t>DEx</w:t>
      </w:r>
      <w:proofErr w:type="spellEnd"/>
      <w:r w:rsidR="00C504CD">
        <w:t xml:space="preserve"> complements existing state and </w:t>
      </w:r>
      <w:r w:rsidR="00C504CD">
        <w:lastRenderedPageBreak/>
        <w:t xml:space="preserve">regional systems and is positioned to fill-in gaps in the many areas of the country where no information sharing system or program currently exists. </w:t>
      </w:r>
      <w:r w:rsidR="003C2E79">
        <w:t xml:space="preserve"> </w:t>
      </w:r>
      <w:r w:rsidR="00C504CD">
        <w:t>N-</w:t>
      </w:r>
      <w:proofErr w:type="spellStart"/>
      <w:r w:rsidR="00C504CD">
        <w:t>DEx</w:t>
      </w:r>
      <w:proofErr w:type="spellEnd"/>
      <w:r w:rsidR="00C504CD">
        <w:t xml:space="preserve"> is unique to other systems in scale, scope, and sustainability.</w:t>
      </w:r>
    </w:p>
    <w:p w:rsidR="00C504CD" w:rsidRDefault="00C504CD" w:rsidP="007471A8">
      <w:pPr>
        <w:autoSpaceDE w:val="0"/>
        <w:autoSpaceDN w:val="0"/>
        <w:adjustRightInd w:val="0"/>
        <w:contextualSpacing/>
      </w:pPr>
    </w:p>
    <w:p w:rsidR="00C504CD" w:rsidRDefault="00630F6F" w:rsidP="007471A8">
      <w:pPr>
        <w:autoSpaceDE w:val="0"/>
        <w:autoSpaceDN w:val="0"/>
        <w:adjustRightInd w:val="0"/>
        <w:contextualSpacing/>
      </w:pPr>
      <w:r>
        <w:t>N-</w:t>
      </w:r>
      <w:proofErr w:type="spellStart"/>
      <w:r>
        <w:t>DEx</w:t>
      </w:r>
      <w:proofErr w:type="spellEnd"/>
      <w:r>
        <w:t xml:space="preserve"> Increment 1 became available in March 2008, and provided the ability to search nationwide incident and case reports. Deployed in July 2009, Increment 2 provided N-</w:t>
      </w:r>
      <w:proofErr w:type="spellStart"/>
      <w:r>
        <w:t>DEx</w:t>
      </w:r>
      <w:proofErr w:type="spellEnd"/>
      <w:r>
        <w:t xml:space="preserve"> users with the additional capabilities of subscription, notification, collaboration, geographic search, and automated processing. </w:t>
      </w:r>
      <w:r w:rsidRPr="008616D9">
        <w:t>The N-</w:t>
      </w:r>
      <w:proofErr w:type="spellStart"/>
      <w:r w:rsidRPr="008616D9">
        <w:t>DEx</w:t>
      </w:r>
      <w:proofErr w:type="spellEnd"/>
      <w:r w:rsidRPr="008616D9">
        <w:t xml:space="preserve"> Program Office released the final increment (Increment 3) of the N-</w:t>
      </w:r>
      <w:proofErr w:type="spellStart"/>
      <w:r w:rsidRPr="008616D9">
        <w:t>DEx</w:t>
      </w:r>
      <w:proofErr w:type="spellEnd"/>
      <w:r w:rsidRPr="008616D9">
        <w:t xml:space="preserve"> system on March 17, 2011.</w:t>
      </w:r>
      <w:r w:rsidR="00C504CD">
        <w:t xml:space="preserve">  The updated system provides users with results in a format similar to what they would see when using a leading edge and more intuitive commercial search engine.  The basic</w:t>
      </w:r>
      <w:r w:rsidR="003C2E79">
        <w:t xml:space="preserve"> N-</w:t>
      </w:r>
      <w:proofErr w:type="spellStart"/>
      <w:r w:rsidR="003C2E79">
        <w:t>DEx</w:t>
      </w:r>
      <w:proofErr w:type="spellEnd"/>
      <w:r w:rsidR="003C2E79">
        <w:t xml:space="preserve"> functionality achieved in the first </w:t>
      </w:r>
      <w:r w:rsidR="00FD634D">
        <w:t>t</w:t>
      </w:r>
      <w:r w:rsidR="003C2E79">
        <w:t>wo increments was improved upon with regards to speed and relevancy.  All improvements incorporated a significant amount of subject matter expert input and advances in technology.  Search times have decreased significantly.  Improvements have been made in collaboration section making it easier for users to share files, work on documents, and discuss issues.  In addition to the incident/case reports, arrest, incarceration and booking data contained in the previous increments, N-</w:t>
      </w:r>
      <w:proofErr w:type="spellStart"/>
      <w:r w:rsidR="003C2E79">
        <w:t>DEx</w:t>
      </w:r>
      <w:proofErr w:type="spellEnd"/>
      <w:r w:rsidR="003C2E79">
        <w:t xml:space="preserve"> can now accept probation and parole data and can handle more than 200 million records.</w:t>
      </w:r>
    </w:p>
    <w:p w:rsidR="00C504CD" w:rsidRDefault="00C504CD" w:rsidP="007471A8">
      <w:pPr>
        <w:autoSpaceDE w:val="0"/>
        <w:autoSpaceDN w:val="0"/>
        <w:adjustRightInd w:val="0"/>
        <w:contextualSpacing/>
      </w:pPr>
    </w:p>
    <w:p w:rsidR="00630F6F" w:rsidRDefault="00630F6F" w:rsidP="007471A8">
      <w:pPr>
        <w:autoSpaceDE w:val="0"/>
        <w:autoSpaceDN w:val="0"/>
        <w:adjustRightInd w:val="0"/>
        <w:contextualSpacing/>
      </w:pPr>
      <w:r w:rsidRPr="008616D9">
        <w:t>N-</w:t>
      </w:r>
      <w:proofErr w:type="spellStart"/>
      <w:r w:rsidRPr="008616D9">
        <w:t>DEx</w:t>
      </w:r>
      <w:proofErr w:type="spellEnd"/>
      <w:r w:rsidRPr="008616D9">
        <w:t xml:space="preserve"> establishes an information sharing network containing over </w:t>
      </w:r>
      <w:r>
        <w:t>127</w:t>
      </w:r>
      <w:r w:rsidRPr="008616D9">
        <w:t xml:space="preserve"> million searchable records with </w:t>
      </w:r>
      <w:r>
        <w:t>more than 8</w:t>
      </w:r>
      <w:r w:rsidRPr="008616D9">
        <w:t>00 million entities (persons, places, things</w:t>
      </w:r>
      <w:r>
        <w:t>, and events</w:t>
      </w:r>
      <w:r w:rsidRPr="008616D9">
        <w:t xml:space="preserve">) from </w:t>
      </w:r>
      <w:r>
        <w:t xml:space="preserve">over </w:t>
      </w:r>
      <w:r w:rsidRPr="008616D9">
        <w:t>4,</w:t>
      </w:r>
      <w:r>
        <w:t>3</w:t>
      </w:r>
      <w:r w:rsidRPr="008616D9">
        <w:t xml:space="preserve">00 agencies available to more than </w:t>
      </w:r>
      <w:r>
        <w:t>38</w:t>
      </w:r>
      <w:r w:rsidRPr="008616D9">
        <w:t xml:space="preserve">,000 users.  It is projected that </w:t>
      </w:r>
      <w:r w:rsidR="00AE38F2">
        <w:t xml:space="preserve">by the end of FY 2012, </w:t>
      </w:r>
      <w:r>
        <w:t>50 percent</w:t>
      </w:r>
      <w:r w:rsidRPr="008616D9">
        <w:t xml:space="preserve"> of the U</w:t>
      </w:r>
      <w:r>
        <w:t>.</w:t>
      </w:r>
      <w:r w:rsidRPr="008616D9">
        <w:t>S</w:t>
      </w:r>
      <w:r>
        <w:t>.</w:t>
      </w:r>
      <w:r w:rsidRPr="008616D9">
        <w:t xml:space="preserve"> population will be </w:t>
      </w:r>
      <w:r w:rsidR="00AE38F2">
        <w:t>represented</w:t>
      </w:r>
      <w:r w:rsidRPr="008616D9">
        <w:t xml:space="preserve"> by </w:t>
      </w:r>
      <w:r w:rsidR="00AE38F2">
        <w:t xml:space="preserve">the data submitted to </w:t>
      </w:r>
      <w:r w:rsidRPr="008616D9">
        <w:t>N-</w:t>
      </w:r>
      <w:proofErr w:type="spellStart"/>
      <w:r w:rsidRPr="008616D9">
        <w:t>DEx</w:t>
      </w:r>
      <w:proofErr w:type="spellEnd"/>
      <w:r w:rsidRPr="008616D9">
        <w:t xml:space="preserve">  </w:t>
      </w:r>
      <w:r>
        <w:t xml:space="preserve">via state and local law enforcement </w:t>
      </w:r>
      <w:r w:rsidR="00AE38F2">
        <w:t>agencies</w:t>
      </w:r>
      <w:r w:rsidRPr="008616D9">
        <w:t xml:space="preserve">  </w:t>
      </w:r>
      <w:r w:rsidR="00AE38F2">
        <w:t>The percent of population covered by N-</w:t>
      </w:r>
      <w:proofErr w:type="spellStart"/>
      <w:r w:rsidR="00AE38F2">
        <w:t>DEx</w:t>
      </w:r>
      <w:proofErr w:type="spellEnd"/>
      <w:r w:rsidR="00AE38F2">
        <w:t xml:space="preserve"> participation is measured by mapping contributing agencies to the specific county and state.   Population data for each county is collected from the </w:t>
      </w:r>
      <w:r w:rsidR="00C90C45">
        <w:t>U.S.</w:t>
      </w:r>
      <w:r w:rsidR="002D7B78">
        <w:t xml:space="preserve"> census information.  P</w:t>
      </w:r>
      <w:r w:rsidR="00AE38F2">
        <w:t xml:space="preserve">articipation is measured by data contributions from local and state law enforcement agencies.  </w:t>
      </w:r>
    </w:p>
    <w:p w:rsidR="00FD634D" w:rsidRDefault="00FD634D" w:rsidP="007471A8">
      <w:pPr>
        <w:autoSpaceDE w:val="0"/>
        <w:autoSpaceDN w:val="0"/>
        <w:adjustRightInd w:val="0"/>
        <w:contextualSpacing/>
      </w:pPr>
    </w:p>
    <w:p w:rsidR="00630F6F" w:rsidRDefault="00630F6F" w:rsidP="007471A8">
      <w:pPr>
        <w:autoSpaceDE w:val="0"/>
        <w:autoSpaceDN w:val="0"/>
        <w:adjustRightInd w:val="0"/>
        <w:contextualSpacing/>
      </w:pPr>
      <w:r w:rsidRPr="00E302D6">
        <w:rPr>
          <w:u w:val="single"/>
        </w:rPr>
        <w:t>Law Enforcement On-line (LEO)</w:t>
      </w:r>
      <w:r>
        <w:t>: LEO is a 24-hour-a-day, 7-day-a-week, on-line (real time), information-sharing system that is accredited and approved by the FBI for the transmission of sensitive but unclassified information throughout the world to the local, state, tribal, federal, and international law enforcement, criminal justice, and public safety communities. The LEO system provides a vehicle for these communities to exchange information, conduct online education programs, and participate in professional special interest and topically focused dialog.</w:t>
      </w:r>
      <w:r w:rsidR="002D7B78">
        <w:t xml:space="preserve">  LEO gives these communities simplified and increased one-stop access to information sharing systems, such as NCIC, N-</w:t>
      </w:r>
      <w:proofErr w:type="spellStart"/>
      <w:r w:rsidR="002D7B78">
        <w:t>DEx</w:t>
      </w:r>
      <w:proofErr w:type="spellEnd"/>
      <w:r w:rsidR="002D7B78">
        <w:t xml:space="preserve">, Operational Response and Investigative Online Network, Violent Crime Apprehension Program, Joint Automated Booking System, Internet Crime complaint Center, National Gang Intelligence Center and the Regional Information Sharing Systems, as well as many other systems in order to eliminate such information being isolated within a single agency’s system. </w:t>
      </w:r>
      <w:r>
        <w:t>LEO provides law enforcement and criminal justice communities a secure “anytime and anywhere” national and international method to support antiterrorism, intelligence, investigative operations; sends notifications and alerts; and provides an avenue to remotely access other law enforcement and intelligence systems and resources. LEO also offers an incident management system, the Virtual Command Center (VCC), which allows all levels of law enforcement to securely share critically needed information in real time across any Internet connection in order to provide safety and security at all major events and natural disaster areas</w:t>
      </w:r>
      <w:r w:rsidRPr="00F7765C">
        <w:t>. LEO currently</w:t>
      </w:r>
      <w:r w:rsidR="00FD634D">
        <w:t xml:space="preserve"> </w:t>
      </w:r>
      <w:r w:rsidRPr="00F7765C">
        <w:t>supports a user base of over 55,000 active members.</w:t>
      </w:r>
      <w:r>
        <w:t xml:space="preserve">  </w:t>
      </w:r>
    </w:p>
    <w:p w:rsidR="00630F6F" w:rsidRDefault="00630F6F" w:rsidP="007471A8">
      <w:pPr>
        <w:autoSpaceDE w:val="0"/>
        <w:autoSpaceDN w:val="0"/>
        <w:adjustRightInd w:val="0"/>
        <w:contextualSpacing/>
      </w:pPr>
    </w:p>
    <w:p w:rsidR="00630F6F" w:rsidRDefault="00630F6F" w:rsidP="007471A8">
      <w:pPr>
        <w:autoSpaceDE w:val="0"/>
        <w:autoSpaceDN w:val="0"/>
        <w:adjustRightInd w:val="0"/>
        <w:contextualSpacing/>
      </w:pPr>
      <w:r w:rsidRPr="008616D9">
        <w:t xml:space="preserve">In FY 2011, LEO </w:t>
      </w:r>
      <w:r>
        <w:t xml:space="preserve">continued to work on </w:t>
      </w:r>
      <w:r w:rsidRPr="008616D9">
        <w:t>transition</w:t>
      </w:r>
      <w:r>
        <w:t>ing</w:t>
      </w:r>
      <w:r w:rsidRPr="008616D9">
        <w:t xml:space="preserve"> to an e-Portal technology</w:t>
      </w:r>
      <w:r>
        <w:t>,</w:t>
      </w:r>
      <w:r w:rsidRPr="008616D9">
        <w:t xml:space="preserve"> which will add increased </w:t>
      </w:r>
      <w:r>
        <w:t xml:space="preserve">future system </w:t>
      </w:r>
      <w:r w:rsidRPr="008616D9">
        <w:t>functionality and customization</w:t>
      </w:r>
      <w:r w:rsidR="00FD634D">
        <w:t xml:space="preserve"> and is scheduled for deployment in </w:t>
      </w:r>
      <w:r w:rsidR="006D47E3">
        <w:t xml:space="preserve">mid </w:t>
      </w:r>
      <w:r w:rsidR="00FD634D">
        <w:t>FY 20</w:t>
      </w:r>
      <w:r w:rsidR="006D47E3">
        <w:t>12</w:t>
      </w:r>
      <w:r w:rsidRPr="008616D9">
        <w:t xml:space="preserve">.  In addition, LEO </w:t>
      </w:r>
      <w:r>
        <w:t xml:space="preserve">completed several major accomplishments to include: established a search connection which allows users access to an </w:t>
      </w:r>
      <w:proofErr w:type="spellStart"/>
      <w:r>
        <w:t>Intelink</w:t>
      </w:r>
      <w:proofErr w:type="spellEnd"/>
      <w:r>
        <w:t xml:space="preserve"> search portal hosted by DOJ; connected to the CJIS portal link </w:t>
      </w:r>
      <w:r>
        <w:lastRenderedPageBreak/>
        <w:t xml:space="preserve">and established five identity providers; connected six service providers; and shared user and service directories with the Homeland Security Information Network, Regional Information Sharing System, and </w:t>
      </w:r>
      <w:proofErr w:type="spellStart"/>
      <w:r>
        <w:t>Intelink</w:t>
      </w:r>
      <w:proofErr w:type="spellEnd"/>
      <w:r>
        <w:t>, providing a foundation for an integrated, cross-network set of directories to help users easily locate individuals from these agencies.</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rPr>
      </w:pPr>
    </w:p>
    <w:p w:rsidR="00630F6F" w:rsidRPr="00503639"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rPr>
      </w:pPr>
      <w:r w:rsidRPr="00503639">
        <w:rPr>
          <w:b/>
          <w:bCs/>
          <w:i/>
        </w:rPr>
        <w:t>Laboratory Division</w:t>
      </w:r>
    </w:p>
    <w:p w:rsidR="00630F6F" w:rsidRDefault="00630F6F" w:rsidP="007471A8">
      <w:pPr>
        <w:autoSpaceDE w:val="0"/>
        <w:autoSpaceDN w:val="0"/>
        <w:adjustRightInd w:val="0"/>
        <w:contextualSpacing/>
      </w:pPr>
      <w:r>
        <w:t>A portion of the Laboratory Division programs that provide forensic services to the FBI's state and local law enforcement partners is scored in the CJS Decision Unit.</w:t>
      </w:r>
    </w:p>
    <w:p w:rsidR="00630F6F" w:rsidRDefault="00630F6F" w:rsidP="007471A8">
      <w:pPr>
        <w:autoSpaceDE w:val="0"/>
        <w:autoSpaceDN w:val="0"/>
        <w:adjustRightInd w:val="0"/>
        <w:contextualSpacing/>
      </w:pPr>
    </w:p>
    <w:p w:rsidR="00630F6F" w:rsidRDefault="00630F6F" w:rsidP="007471A8">
      <w:pPr>
        <w:autoSpaceDE w:val="0"/>
        <w:autoSpaceDN w:val="0"/>
        <w:adjustRightInd w:val="0"/>
        <w:contextualSpacing/>
      </w:pPr>
      <w:r>
        <w:t>The successful investigation and prosecution of crimes require the collection, examination, and scientific analysis of evidence recovered at the scene of the incident and obtained during the course of the investigation. Without such evidence, many crimes would go unsolved and unpunished. At the same time, forensic examination of evidence exonerates individuals wrongly accused of crimes.</w:t>
      </w:r>
    </w:p>
    <w:p w:rsidR="00630F6F" w:rsidRDefault="00630F6F" w:rsidP="007471A8">
      <w:pPr>
        <w:autoSpaceDE w:val="0"/>
        <w:autoSpaceDN w:val="0"/>
        <w:adjustRightInd w:val="0"/>
        <w:contextualSpacing/>
      </w:pPr>
    </w:p>
    <w:p w:rsidR="00630F6F" w:rsidRDefault="00630F6F" w:rsidP="007471A8">
      <w:pPr>
        <w:autoSpaceDE w:val="0"/>
        <w:autoSpaceDN w:val="0"/>
        <w:adjustRightInd w:val="0"/>
        <w:contextualSpacing/>
      </w:pPr>
      <w:r>
        <w:t>The FBI Laboratory, established in 1932, is the only full-service civilian federal forensic</w:t>
      </w:r>
    </w:p>
    <w:p w:rsidR="00630F6F" w:rsidRDefault="00630F6F" w:rsidP="007471A8">
      <w:pPr>
        <w:autoSpaceDE w:val="0"/>
        <w:autoSpaceDN w:val="0"/>
        <w:adjustRightInd w:val="0"/>
        <w:contextualSpacing/>
      </w:pPr>
      <w:proofErr w:type="gramStart"/>
      <w:r>
        <w:t>laboratory</w:t>
      </w:r>
      <w:proofErr w:type="gramEnd"/>
      <w:r>
        <w:t xml:space="preserve"> in the U.S. The FBI Laboratory was accredited in August 2008 by the American Society of Crime Laboratory Directors – Laboratory Accreditation Board (ASCLD-LAB) for meeting or exceeding the requirements for </w:t>
      </w:r>
      <w:r>
        <w:rPr>
          <w:i/>
          <w:iCs/>
        </w:rPr>
        <w:t xml:space="preserve">international </w:t>
      </w:r>
      <w:r>
        <w:t xml:space="preserve">accreditation (ISO/IEC 17025). Examinations support investigations that cross all FBI investigative programs, international, federal, state, and local boundaries. Examinations of evidence for duly constituted U.S. law enforcement agencies, whether federal, state or local, and foreign law enforcement unable to perform the examinations at their own facilities are performed, free of charge. </w:t>
      </w:r>
      <w:r w:rsidR="00FD634D">
        <w:t>T</w:t>
      </w:r>
      <w:r>
        <w:t xml:space="preserve">he FBI Laboratory </w:t>
      </w:r>
      <w:r w:rsidR="00FD634D">
        <w:t xml:space="preserve">also </w:t>
      </w:r>
      <w:r>
        <w:t>provides comprehensive technical reports, training, and expert testimony to federal, state, and local agencies.</w:t>
      </w:r>
    </w:p>
    <w:p w:rsidR="00630F6F" w:rsidRDefault="00630F6F" w:rsidP="007471A8">
      <w:pPr>
        <w:autoSpaceDE w:val="0"/>
        <w:autoSpaceDN w:val="0"/>
        <w:adjustRightInd w:val="0"/>
        <w:contextualSpacing/>
      </w:pPr>
    </w:p>
    <w:p w:rsidR="00630F6F" w:rsidRDefault="00630F6F" w:rsidP="007471A8">
      <w:pPr>
        <w:autoSpaceDE w:val="0"/>
        <w:autoSpaceDN w:val="0"/>
        <w:adjustRightInd w:val="0"/>
        <w:contextualSpacing/>
      </w:pPr>
      <w:r>
        <w:t>In addition to providing forensic analysis services, the FBI Laboratory also provides operational response capabilities with respect to chemical, biological, nuclear, radiological and explosive devices/incidents and evidence collection. Biometric identification services are provided through the Combined DNA Index System (CODIS) and the Federal Convicted Offender Program (FCOP). The FBI Laboratory is the executive agent for the Terrorist Explosive Devices Analytic Center (TEDAC), a multi-agency center that forensically and technically exploits terrorist improvised explosive devices and related materials and generates actionable investigative and intelligence information for use by the U.S. law enforcement, the Intelligence Community, the</w:t>
      </w:r>
    </w:p>
    <w:p w:rsidR="00630F6F" w:rsidRDefault="00630F6F" w:rsidP="007471A8">
      <w:pPr>
        <w:autoSpaceDE w:val="0"/>
        <w:autoSpaceDN w:val="0"/>
        <w:adjustRightInd w:val="0"/>
        <w:contextualSpacing/>
      </w:pPr>
      <w:r>
        <w:t xml:space="preserve">U.S. </w:t>
      </w:r>
      <w:proofErr w:type="gramStart"/>
      <w:r>
        <w:t>military,</w:t>
      </w:r>
      <w:proofErr w:type="gramEnd"/>
      <w:r>
        <w:t xml:space="preserve"> and other partners.</w:t>
      </w:r>
    </w:p>
    <w:p w:rsidR="00630F6F" w:rsidRDefault="00630F6F" w:rsidP="007471A8">
      <w:pPr>
        <w:autoSpaceDE w:val="0"/>
        <w:autoSpaceDN w:val="0"/>
        <w:adjustRightInd w:val="0"/>
        <w:contextualSpacing/>
      </w:pPr>
    </w:p>
    <w:p w:rsidR="00630F6F" w:rsidRPr="00FB27C1" w:rsidRDefault="00630F6F" w:rsidP="007471A8">
      <w:pPr>
        <w:autoSpaceDE w:val="0"/>
        <w:autoSpaceDN w:val="0"/>
        <w:adjustRightInd w:val="0"/>
        <w:contextualSpacing/>
      </w:pPr>
      <w:r w:rsidRPr="00FB27C1">
        <w:t>In FY 2011, the FBI conducted approximately 638,000 forensic examinations (FBI, other</w:t>
      </w:r>
    </w:p>
    <w:p w:rsidR="00630F6F" w:rsidRDefault="00630F6F" w:rsidP="007471A8">
      <w:pPr>
        <w:autoSpaceDE w:val="0"/>
        <w:autoSpaceDN w:val="0"/>
        <w:adjustRightInd w:val="0"/>
        <w:contextualSpacing/>
      </w:pPr>
      <w:proofErr w:type="gramStart"/>
      <w:r w:rsidRPr="00FB27C1">
        <w:t>Federal, state, and local).</w:t>
      </w:r>
      <w:proofErr w:type="gramEnd"/>
      <w:r w:rsidRPr="00FB27C1">
        <w:t xml:space="preserve"> The Laboratory estimates it will conduct approximately 635,000 forensic examinations </w:t>
      </w:r>
      <w:r>
        <w:t xml:space="preserve">each year </w:t>
      </w:r>
      <w:r w:rsidRPr="00FB27C1">
        <w:t>in FY 2012 and in FY 2013.</w:t>
      </w:r>
    </w:p>
    <w:p w:rsidR="00564378" w:rsidRPr="00503639" w:rsidRDefault="00564378" w:rsidP="007471A8">
      <w:pPr>
        <w:contextualSpacing/>
      </w:pPr>
    </w:p>
    <w:p w:rsidR="00630F6F" w:rsidRPr="00503639"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sidRPr="00503639">
        <w:rPr>
          <w:b/>
          <w:bCs/>
          <w:i/>
          <w:iCs/>
        </w:rPr>
        <w:t>Training Division</w:t>
      </w:r>
    </w:p>
    <w:p w:rsidR="00630F6F" w:rsidRPr="00C94CA3" w:rsidRDefault="00630F6F" w:rsidP="007471A8">
      <w:pPr>
        <w:autoSpaceDE w:val="0"/>
        <w:autoSpaceDN w:val="0"/>
        <w:adjustRightInd w:val="0"/>
        <w:contextualSpacing/>
      </w:pPr>
      <w:r w:rsidRPr="00C94CA3">
        <w:t>The FBI provides instruction for state and local</w:t>
      </w:r>
      <w:r w:rsidR="00D020A8">
        <w:t xml:space="preserve">s at </w:t>
      </w:r>
      <w:r w:rsidR="00B66CED">
        <w:t>minimal</w:t>
      </w:r>
      <w:r w:rsidR="00D020A8">
        <w:t xml:space="preserve"> cost</w:t>
      </w:r>
      <w:r w:rsidRPr="00C94CA3">
        <w:t>, both at the FBI Academy and throughout the U.S. at state, regional, and local training facilities. The principal course for state and local law enforcement officers is the FBI National Academy, a 10-week multi-disciplinary program for officers who are considered to have potential for further advancement in their careers. In FY 2011, there were 1,026 state and local law enforcement officers that participated in the National Academy program at the FBI Academy in Quantico, Virginia. The FY 2012 estimate for National Academy participants is 1,040.</w:t>
      </w:r>
    </w:p>
    <w:p w:rsidR="00630F6F" w:rsidRPr="00C94CA3" w:rsidRDefault="00630F6F" w:rsidP="007471A8">
      <w:pPr>
        <w:autoSpaceDE w:val="0"/>
        <w:autoSpaceDN w:val="0"/>
        <w:adjustRightInd w:val="0"/>
        <w:contextualSpacing/>
      </w:pPr>
    </w:p>
    <w:p w:rsidR="00630F6F" w:rsidRPr="00C94CA3" w:rsidRDefault="00630F6F" w:rsidP="007471A8">
      <w:pPr>
        <w:autoSpaceDE w:val="0"/>
        <w:autoSpaceDN w:val="0"/>
        <w:adjustRightInd w:val="0"/>
        <w:contextualSpacing/>
      </w:pPr>
      <w:r w:rsidRPr="00C94CA3">
        <w:t xml:space="preserve">In addition to sessions offered at the FBI Academy, the FBI conducts and participates in courses and seminars at state, regional, and local training facilities. These training sessions cover the full range of </w:t>
      </w:r>
      <w:r w:rsidRPr="00C94CA3">
        <w:lastRenderedPageBreak/>
        <w:t xml:space="preserve">law enforcement training topics such as hostage negotiation, computer-related crimes, death investigations, violent crimes, criminal psychology, forensic science, and arson. In FY 2011, an estimated 97,000 criminal justice personnel received training from FBI instructors at state, regional, and local training facilities. </w:t>
      </w:r>
      <w:r>
        <w:t>T</w:t>
      </w:r>
      <w:r w:rsidRPr="00C94CA3">
        <w:t>he FBI</w:t>
      </w:r>
      <w:r>
        <w:t xml:space="preserve"> estimates that it</w:t>
      </w:r>
      <w:r w:rsidRPr="00C94CA3">
        <w:t xml:space="preserve"> will train 97,000 criminal justice personnel in FY 2012.</w:t>
      </w:r>
    </w:p>
    <w:p w:rsidR="00630F6F" w:rsidRPr="00C94CA3" w:rsidRDefault="00630F6F" w:rsidP="007471A8">
      <w:pPr>
        <w:autoSpaceDE w:val="0"/>
        <w:autoSpaceDN w:val="0"/>
        <w:adjustRightInd w:val="0"/>
        <w:contextualSpacing/>
      </w:pPr>
    </w:p>
    <w:p w:rsidR="00630F6F" w:rsidRDefault="00630F6F" w:rsidP="007471A8">
      <w:pPr>
        <w:autoSpaceDE w:val="0"/>
        <w:autoSpaceDN w:val="0"/>
        <w:adjustRightInd w:val="0"/>
        <w:contextualSpacing/>
      </w:pPr>
      <w:r w:rsidRPr="00C94CA3">
        <w:t>Due to the increasingly global nature of many of the FBI's investigative initiatives, the FBI has in recent years emphasized the need to train its foreign law enforcement partners through</w:t>
      </w:r>
      <w:r w:rsidR="00B66CED">
        <w:t xml:space="preserve"> the</w:t>
      </w:r>
      <w:r w:rsidRPr="00C94CA3">
        <w:t xml:space="preserve"> International Training and Assistance Program</w:t>
      </w:r>
      <w:r w:rsidR="00E455BB">
        <w:t>, for which the FBI is partially reimbursed by the State Department</w:t>
      </w:r>
      <w:r w:rsidRPr="00C94CA3">
        <w:t>. In FY 2011, the FBI provided training to 4,300 international police officers and executives representing 95 countries. It is expected there will be 4,500 international police officers trained in FY 2012.</w:t>
      </w:r>
    </w:p>
    <w:p w:rsidR="00630F6F"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630F6F" w:rsidRPr="00503639" w:rsidRDefault="00630F6F" w:rsidP="00747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503639">
        <w:rPr>
          <w:b/>
          <w:bCs/>
        </w:rPr>
        <w:t>Program Objectives</w:t>
      </w:r>
    </w:p>
    <w:p w:rsidR="00630F6F" w:rsidRPr="00503639" w:rsidRDefault="00630F6F" w:rsidP="007471A8">
      <w:pPr>
        <w:numPr>
          <w:ilvl w:val="0"/>
          <w:numId w:val="4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pPr>
      <w:r w:rsidRPr="00503639">
        <w:t>Reduce criminal activity by providing timely and quality criminal justice information to federal, state, and local law enforcement agencies.</w:t>
      </w:r>
    </w:p>
    <w:p w:rsidR="00630F6F" w:rsidRPr="00503639" w:rsidRDefault="00630F6F" w:rsidP="007471A8">
      <w:pPr>
        <w:numPr>
          <w:ilvl w:val="0"/>
          <w:numId w:val="4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rPr>
          <w:lang w:eastAsia="zh-CN"/>
        </w:rPr>
      </w:pPr>
      <w:r w:rsidRPr="00503639">
        <w:t>Provide new technologies and address critical shortfalls in forensic investigative capabilities including latent fingerprint, firearms/</w:t>
      </w:r>
      <w:proofErr w:type="spellStart"/>
      <w:r w:rsidRPr="00503639">
        <w:t>toolmark</w:t>
      </w:r>
      <w:proofErr w:type="spellEnd"/>
      <w:r w:rsidRPr="00503639">
        <w:t>, explosive, trace evidence, DNA, and training of personnel.</w:t>
      </w:r>
    </w:p>
    <w:p w:rsidR="00630F6F" w:rsidRPr="00503639" w:rsidRDefault="00630F6F" w:rsidP="007471A8">
      <w:pPr>
        <w:numPr>
          <w:ilvl w:val="0"/>
          <w:numId w:val="4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rPr>
          <w:lang w:eastAsia="zh-CN"/>
        </w:rPr>
      </w:pPr>
      <w:r w:rsidRPr="00503639">
        <w:t>Lead and inspire, through excellence in training and research, the education and development of the criminal justice community.</w:t>
      </w:r>
    </w:p>
    <w:p w:rsidR="00630F6F" w:rsidRPr="00503639" w:rsidRDefault="00630F6F" w:rsidP="007471A8">
      <w:pPr>
        <w:tabs>
          <w:tab w:val="num" w:pos="360"/>
        </w:tabs>
        <w:ind w:left="720" w:hanging="360"/>
        <w:contextualSpacing/>
        <w:sectPr w:rsidR="00630F6F" w:rsidRPr="00503639" w:rsidSect="000906AA">
          <w:headerReference w:type="even" r:id="rId44"/>
          <w:pgSz w:w="12240" w:h="15840" w:code="1"/>
          <w:pgMar w:top="1080" w:right="1080" w:bottom="1080" w:left="1080" w:header="432" w:footer="432" w:gutter="0"/>
          <w:cols w:space="720"/>
          <w:docGrid w:linePitch="326"/>
        </w:sectPr>
      </w:pPr>
    </w:p>
    <w:tbl>
      <w:tblPr>
        <w:tblW w:w="130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1" w:type="dxa"/>
          <w:right w:w="81" w:type="dxa"/>
        </w:tblCellMar>
        <w:tblLook w:val="0000"/>
      </w:tblPr>
      <w:tblGrid>
        <w:gridCol w:w="1570"/>
        <w:gridCol w:w="2880"/>
        <w:gridCol w:w="864"/>
        <w:gridCol w:w="864"/>
        <w:gridCol w:w="864"/>
        <w:gridCol w:w="828"/>
        <w:gridCol w:w="900"/>
        <w:gridCol w:w="864"/>
        <w:gridCol w:w="864"/>
        <w:gridCol w:w="864"/>
        <w:gridCol w:w="864"/>
        <w:gridCol w:w="864"/>
      </w:tblGrid>
      <w:tr w:rsidR="00630F6F" w:rsidRPr="002F223D" w:rsidTr="00BA0919">
        <w:trPr>
          <w:cantSplit/>
          <w:trHeight w:val="389"/>
          <w:tblHeader/>
          <w:jc w:val="center"/>
        </w:trPr>
        <w:tc>
          <w:tcPr>
            <w:tcW w:w="13090" w:type="dxa"/>
            <w:gridSpan w:val="12"/>
            <w:shd w:val="clear" w:color="auto" w:fill="FFFFCC"/>
            <w:vAlign w:val="center"/>
          </w:tcPr>
          <w:p w:rsidR="00630F6F" w:rsidRPr="002F223D" w:rsidRDefault="00630F6F" w:rsidP="007471A8">
            <w:pPr>
              <w:contextualSpacing/>
              <w:jc w:val="center"/>
              <w:rPr>
                <w:sz w:val="20"/>
                <w:szCs w:val="20"/>
              </w:rPr>
            </w:pPr>
            <w:r>
              <w:rPr>
                <w:b/>
                <w:bCs/>
                <w:sz w:val="20"/>
                <w:szCs w:val="20"/>
              </w:rPr>
              <w:lastRenderedPageBreak/>
              <w:t xml:space="preserve"> PERFORMANCE/RESOURCES  </w:t>
            </w:r>
            <w:r w:rsidRPr="002F223D">
              <w:rPr>
                <w:b/>
                <w:bCs/>
                <w:sz w:val="20"/>
                <w:szCs w:val="20"/>
              </w:rPr>
              <w:t>TABLE</w:t>
            </w:r>
          </w:p>
        </w:tc>
      </w:tr>
      <w:tr w:rsidR="00630F6F" w:rsidRPr="002F223D" w:rsidTr="009552BF">
        <w:trPr>
          <w:cantSplit/>
          <w:trHeight w:val="273"/>
          <w:jc w:val="center"/>
        </w:trPr>
        <w:tc>
          <w:tcPr>
            <w:tcW w:w="13090" w:type="dxa"/>
            <w:gridSpan w:val="12"/>
            <w:shd w:val="clear" w:color="auto" w:fill="auto"/>
            <w:vAlign w:val="center"/>
          </w:tcPr>
          <w:p w:rsidR="00630F6F" w:rsidRPr="002F223D" w:rsidRDefault="00630F6F" w:rsidP="007471A8">
            <w:pPr>
              <w:contextualSpacing/>
              <w:rPr>
                <w:sz w:val="18"/>
                <w:szCs w:val="18"/>
              </w:rPr>
            </w:pPr>
            <w:r w:rsidRPr="002F223D">
              <w:rPr>
                <w:b/>
                <w:bCs/>
                <w:sz w:val="18"/>
                <w:szCs w:val="18"/>
              </w:rPr>
              <w:t xml:space="preserve">Decision Unit: </w:t>
            </w:r>
            <w:r w:rsidRPr="002F223D">
              <w:rPr>
                <w:sz w:val="18"/>
                <w:szCs w:val="18"/>
              </w:rPr>
              <w:t>Criminal Justice Services</w:t>
            </w:r>
          </w:p>
        </w:tc>
      </w:tr>
      <w:tr w:rsidR="00630F6F" w:rsidRPr="002F223D" w:rsidTr="009552BF">
        <w:trPr>
          <w:cantSplit/>
          <w:trHeight w:val="435"/>
          <w:jc w:val="center"/>
        </w:trPr>
        <w:tc>
          <w:tcPr>
            <w:tcW w:w="13090" w:type="dxa"/>
            <w:gridSpan w:val="12"/>
            <w:shd w:val="clear" w:color="auto" w:fill="auto"/>
            <w:vAlign w:val="center"/>
          </w:tcPr>
          <w:p w:rsidR="00630F6F" w:rsidRPr="002F223D" w:rsidRDefault="00630F6F" w:rsidP="007471A8">
            <w:pPr>
              <w:contextualSpacing/>
              <w:rPr>
                <w:sz w:val="18"/>
                <w:szCs w:val="18"/>
              </w:rPr>
            </w:pPr>
            <w:r w:rsidRPr="002F223D">
              <w:rPr>
                <w:b/>
                <w:bCs/>
                <w:sz w:val="18"/>
                <w:szCs w:val="18"/>
              </w:rPr>
              <w:t xml:space="preserve">DOJ Strategic Goal/Objective </w:t>
            </w:r>
            <w:r>
              <w:rPr>
                <w:color w:val="000000"/>
                <w:sz w:val="18"/>
                <w:szCs w:val="18"/>
              </w:rPr>
              <w:t>Goal 3: Ensure and Support the Fair, Impartial, Efficient, and Transparent Administration of Justice at the Federal, State, Local, Tribal, and International Levels. (Objective 3.1)</w:t>
            </w:r>
          </w:p>
        </w:tc>
      </w:tr>
      <w:tr w:rsidR="00630F6F" w:rsidRPr="00DD7985" w:rsidTr="00B2684D">
        <w:trPr>
          <w:cantSplit/>
          <w:trHeight w:val="615"/>
          <w:jc w:val="center"/>
        </w:trPr>
        <w:tc>
          <w:tcPr>
            <w:tcW w:w="4450" w:type="dxa"/>
            <w:gridSpan w:val="2"/>
            <w:vMerge w:val="restart"/>
            <w:shd w:val="clear" w:color="auto" w:fill="auto"/>
            <w:vAlign w:val="center"/>
          </w:tcPr>
          <w:p w:rsidR="00630F6F" w:rsidRPr="002F223D" w:rsidRDefault="00630F6F" w:rsidP="007471A8">
            <w:pPr>
              <w:contextualSpacing/>
              <w:jc w:val="center"/>
              <w:rPr>
                <w:sz w:val="18"/>
                <w:szCs w:val="18"/>
              </w:rPr>
            </w:pPr>
            <w:r w:rsidRPr="002F223D">
              <w:rPr>
                <w:b/>
                <w:bCs/>
                <w:sz w:val="18"/>
                <w:szCs w:val="18"/>
              </w:rPr>
              <w:t>WORKLOAD/ RESOURCES</w:t>
            </w:r>
          </w:p>
        </w:tc>
        <w:tc>
          <w:tcPr>
            <w:tcW w:w="1728" w:type="dxa"/>
            <w:gridSpan w:val="2"/>
            <w:tcBorders>
              <w:bottom w:val="single" w:sz="6" w:space="0" w:color="000000"/>
            </w:tcBorders>
            <w:shd w:val="clear" w:color="auto" w:fill="auto"/>
            <w:vAlign w:val="center"/>
          </w:tcPr>
          <w:p w:rsidR="00630F6F" w:rsidRPr="00537201" w:rsidRDefault="00630F6F" w:rsidP="007471A8">
            <w:pPr>
              <w:contextualSpacing/>
              <w:jc w:val="center"/>
              <w:rPr>
                <w:b/>
                <w:bCs/>
                <w:sz w:val="16"/>
                <w:szCs w:val="16"/>
              </w:rPr>
            </w:pPr>
            <w:r w:rsidRPr="00C07527">
              <w:rPr>
                <w:b/>
                <w:bCs/>
                <w:sz w:val="16"/>
                <w:szCs w:val="16"/>
              </w:rPr>
              <w:t>Final Target</w:t>
            </w:r>
          </w:p>
        </w:tc>
        <w:tc>
          <w:tcPr>
            <w:tcW w:w="1692" w:type="dxa"/>
            <w:gridSpan w:val="2"/>
            <w:tcBorders>
              <w:bottom w:val="single" w:sz="6" w:space="0" w:color="000000"/>
            </w:tcBorders>
            <w:shd w:val="clear" w:color="auto" w:fill="auto"/>
            <w:vAlign w:val="center"/>
          </w:tcPr>
          <w:p w:rsidR="00630F6F" w:rsidRPr="00440991" w:rsidRDefault="00630F6F" w:rsidP="007471A8">
            <w:pPr>
              <w:contextualSpacing/>
              <w:jc w:val="center"/>
              <w:rPr>
                <w:b/>
                <w:bCs/>
                <w:sz w:val="16"/>
                <w:szCs w:val="16"/>
              </w:rPr>
            </w:pPr>
            <w:r>
              <w:rPr>
                <w:b/>
                <w:bCs/>
                <w:sz w:val="16"/>
                <w:szCs w:val="16"/>
              </w:rPr>
              <w:t>Actual</w:t>
            </w:r>
          </w:p>
        </w:tc>
        <w:tc>
          <w:tcPr>
            <w:tcW w:w="1764" w:type="dxa"/>
            <w:gridSpan w:val="2"/>
            <w:tcBorders>
              <w:bottom w:val="single" w:sz="6" w:space="0" w:color="000000"/>
            </w:tcBorders>
            <w:shd w:val="clear" w:color="auto" w:fill="auto"/>
            <w:vAlign w:val="center"/>
          </w:tcPr>
          <w:p w:rsidR="00630F6F" w:rsidRPr="003A622B" w:rsidRDefault="00630F6F" w:rsidP="007471A8">
            <w:pPr>
              <w:contextualSpacing/>
              <w:jc w:val="center"/>
              <w:rPr>
                <w:b/>
                <w:bCs/>
                <w:sz w:val="16"/>
                <w:szCs w:val="16"/>
              </w:rPr>
            </w:pPr>
            <w:r>
              <w:rPr>
                <w:b/>
                <w:bCs/>
                <w:sz w:val="16"/>
                <w:szCs w:val="16"/>
              </w:rPr>
              <w:t>Projected</w:t>
            </w:r>
          </w:p>
        </w:tc>
        <w:tc>
          <w:tcPr>
            <w:tcW w:w="1728" w:type="dxa"/>
            <w:gridSpan w:val="2"/>
            <w:tcBorders>
              <w:bottom w:val="single" w:sz="6" w:space="0" w:color="000000"/>
            </w:tcBorders>
            <w:shd w:val="clear" w:color="auto" w:fill="auto"/>
            <w:vAlign w:val="center"/>
          </w:tcPr>
          <w:p w:rsidR="00630F6F" w:rsidRPr="003A622B" w:rsidRDefault="00630F6F" w:rsidP="007471A8">
            <w:pPr>
              <w:contextualSpacing/>
              <w:jc w:val="center"/>
              <w:rPr>
                <w:b/>
                <w:bCs/>
                <w:sz w:val="16"/>
                <w:szCs w:val="16"/>
              </w:rPr>
            </w:pPr>
            <w:r w:rsidRPr="003A622B">
              <w:rPr>
                <w:b/>
                <w:bCs/>
                <w:sz w:val="16"/>
                <w:szCs w:val="16"/>
              </w:rPr>
              <w:t xml:space="preserve">Changes                      </w:t>
            </w:r>
          </w:p>
        </w:tc>
        <w:tc>
          <w:tcPr>
            <w:tcW w:w="1728" w:type="dxa"/>
            <w:gridSpan w:val="2"/>
            <w:tcBorders>
              <w:bottom w:val="single" w:sz="6" w:space="0" w:color="000000"/>
            </w:tcBorders>
            <w:shd w:val="clear" w:color="auto" w:fill="auto"/>
            <w:vAlign w:val="center"/>
          </w:tcPr>
          <w:p w:rsidR="00630F6F" w:rsidRPr="003A622B" w:rsidRDefault="00630F6F" w:rsidP="007471A8">
            <w:pPr>
              <w:contextualSpacing/>
              <w:jc w:val="center"/>
              <w:rPr>
                <w:sz w:val="16"/>
                <w:szCs w:val="16"/>
              </w:rPr>
            </w:pPr>
            <w:r w:rsidRPr="003A622B">
              <w:rPr>
                <w:b/>
                <w:bCs/>
                <w:sz w:val="16"/>
                <w:szCs w:val="16"/>
              </w:rPr>
              <w:t xml:space="preserve">Requested (Total) </w:t>
            </w:r>
          </w:p>
        </w:tc>
      </w:tr>
      <w:tr w:rsidR="00630F6F" w:rsidRPr="00537201" w:rsidTr="00B2684D">
        <w:trPr>
          <w:cantSplit/>
          <w:trHeight w:val="498"/>
          <w:jc w:val="center"/>
        </w:trPr>
        <w:tc>
          <w:tcPr>
            <w:tcW w:w="4450" w:type="dxa"/>
            <w:gridSpan w:val="2"/>
            <w:vMerge/>
            <w:shd w:val="clear" w:color="auto" w:fill="auto"/>
          </w:tcPr>
          <w:p w:rsidR="00630F6F" w:rsidRPr="002F223D" w:rsidRDefault="00630F6F" w:rsidP="007471A8">
            <w:pPr>
              <w:contextualSpacing/>
              <w:jc w:val="both"/>
              <w:rPr>
                <w:sz w:val="18"/>
                <w:szCs w:val="18"/>
              </w:rPr>
            </w:pPr>
          </w:p>
        </w:tc>
        <w:tc>
          <w:tcPr>
            <w:tcW w:w="1728" w:type="dxa"/>
            <w:gridSpan w:val="2"/>
            <w:shd w:val="clear" w:color="auto" w:fill="FFAC99"/>
            <w:vAlign w:val="center"/>
          </w:tcPr>
          <w:p w:rsidR="00630F6F" w:rsidRDefault="00630F6F" w:rsidP="007471A8">
            <w:pPr>
              <w:contextualSpacing/>
              <w:jc w:val="center"/>
              <w:rPr>
                <w:b/>
                <w:bCs/>
                <w:sz w:val="16"/>
                <w:szCs w:val="16"/>
              </w:rPr>
            </w:pPr>
            <w:r w:rsidRPr="00C07527">
              <w:rPr>
                <w:b/>
                <w:bCs/>
                <w:sz w:val="16"/>
                <w:szCs w:val="16"/>
              </w:rPr>
              <w:t xml:space="preserve">FY </w:t>
            </w:r>
            <w:r>
              <w:rPr>
                <w:b/>
                <w:bCs/>
                <w:sz w:val="16"/>
                <w:szCs w:val="16"/>
              </w:rPr>
              <w:t>2011</w:t>
            </w:r>
          </w:p>
          <w:p w:rsidR="00630F6F" w:rsidRPr="00537201" w:rsidRDefault="00630F6F" w:rsidP="007471A8">
            <w:pPr>
              <w:contextualSpacing/>
              <w:jc w:val="center"/>
              <w:rPr>
                <w:b/>
                <w:bCs/>
                <w:sz w:val="16"/>
                <w:szCs w:val="16"/>
              </w:rPr>
            </w:pPr>
          </w:p>
        </w:tc>
        <w:tc>
          <w:tcPr>
            <w:tcW w:w="1692" w:type="dxa"/>
            <w:gridSpan w:val="2"/>
            <w:shd w:val="clear" w:color="auto" w:fill="FFAC99"/>
            <w:vAlign w:val="center"/>
          </w:tcPr>
          <w:p w:rsidR="00630F6F" w:rsidRDefault="00630F6F" w:rsidP="007471A8">
            <w:pPr>
              <w:contextualSpacing/>
              <w:jc w:val="center"/>
              <w:rPr>
                <w:b/>
                <w:bCs/>
                <w:sz w:val="16"/>
                <w:szCs w:val="16"/>
              </w:rPr>
            </w:pPr>
            <w:r w:rsidRPr="00C07527">
              <w:rPr>
                <w:b/>
                <w:bCs/>
                <w:sz w:val="16"/>
                <w:szCs w:val="16"/>
              </w:rPr>
              <w:t xml:space="preserve">FY </w:t>
            </w:r>
            <w:r>
              <w:rPr>
                <w:b/>
                <w:bCs/>
                <w:sz w:val="16"/>
                <w:szCs w:val="16"/>
              </w:rPr>
              <w:t xml:space="preserve">2011 </w:t>
            </w:r>
          </w:p>
          <w:p w:rsidR="00630F6F" w:rsidRPr="00537201" w:rsidRDefault="00630F6F" w:rsidP="007471A8">
            <w:pPr>
              <w:contextualSpacing/>
              <w:jc w:val="center"/>
              <w:rPr>
                <w:b/>
                <w:bCs/>
                <w:sz w:val="16"/>
                <w:szCs w:val="16"/>
              </w:rPr>
            </w:pPr>
          </w:p>
        </w:tc>
        <w:tc>
          <w:tcPr>
            <w:tcW w:w="1764" w:type="dxa"/>
            <w:gridSpan w:val="2"/>
            <w:shd w:val="clear" w:color="auto" w:fill="FFAC99"/>
            <w:vAlign w:val="center"/>
          </w:tcPr>
          <w:p w:rsidR="00630F6F" w:rsidRPr="00537201" w:rsidRDefault="00630F6F" w:rsidP="007471A8">
            <w:pPr>
              <w:contextualSpacing/>
              <w:jc w:val="center"/>
              <w:rPr>
                <w:b/>
                <w:bCs/>
                <w:sz w:val="16"/>
                <w:szCs w:val="16"/>
              </w:rPr>
            </w:pPr>
            <w:r>
              <w:rPr>
                <w:b/>
                <w:bCs/>
                <w:sz w:val="16"/>
                <w:szCs w:val="16"/>
              </w:rPr>
              <w:t>FY 2012</w:t>
            </w:r>
          </w:p>
        </w:tc>
        <w:tc>
          <w:tcPr>
            <w:tcW w:w="1728" w:type="dxa"/>
            <w:gridSpan w:val="2"/>
            <w:shd w:val="clear" w:color="auto" w:fill="FFAC99"/>
            <w:vAlign w:val="center"/>
          </w:tcPr>
          <w:p w:rsidR="00D107D4" w:rsidRDefault="00630F6F" w:rsidP="007471A8">
            <w:pPr>
              <w:contextualSpacing/>
              <w:jc w:val="center"/>
              <w:rPr>
                <w:b/>
                <w:bCs/>
                <w:sz w:val="16"/>
                <w:szCs w:val="16"/>
              </w:rPr>
            </w:pPr>
            <w:r w:rsidRPr="00C07527">
              <w:rPr>
                <w:b/>
                <w:bCs/>
                <w:sz w:val="16"/>
                <w:szCs w:val="16"/>
              </w:rPr>
              <w:t>Curre</w:t>
            </w:r>
            <w:r>
              <w:rPr>
                <w:b/>
                <w:bCs/>
                <w:sz w:val="16"/>
                <w:szCs w:val="16"/>
              </w:rPr>
              <w:t xml:space="preserve">nt Services Adjustments &amp; </w:t>
            </w:r>
          </w:p>
          <w:p w:rsidR="00630F6F" w:rsidRPr="00537201" w:rsidRDefault="00630F6F" w:rsidP="007471A8">
            <w:pPr>
              <w:contextualSpacing/>
              <w:jc w:val="center"/>
              <w:rPr>
                <w:b/>
                <w:bCs/>
                <w:sz w:val="16"/>
                <w:szCs w:val="16"/>
              </w:rPr>
            </w:pPr>
            <w:r>
              <w:rPr>
                <w:b/>
                <w:bCs/>
                <w:sz w:val="16"/>
                <w:szCs w:val="16"/>
              </w:rPr>
              <w:t>FY</w:t>
            </w:r>
            <w:r w:rsidR="00D107D4">
              <w:rPr>
                <w:b/>
                <w:bCs/>
                <w:sz w:val="16"/>
                <w:szCs w:val="16"/>
              </w:rPr>
              <w:t xml:space="preserve"> </w:t>
            </w:r>
            <w:r>
              <w:rPr>
                <w:b/>
                <w:bCs/>
                <w:sz w:val="16"/>
                <w:szCs w:val="16"/>
              </w:rPr>
              <w:t>2013</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728" w:type="dxa"/>
            <w:gridSpan w:val="2"/>
            <w:shd w:val="clear" w:color="auto" w:fill="FFAC99"/>
            <w:vAlign w:val="center"/>
          </w:tcPr>
          <w:p w:rsidR="00630F6F" w:rsidRPr="00537201" w:rsidRDefault="00630F6F" w:rsidP="007471A8">
            <w:pPr>
              <w:contextualSpacing/>
              <w:jc w:val="center"/>
              <w:rPr>
                <w:b/>
                <w:bCs/>
                <w:sz w:val="16"/>
                <w:szCs w:val="16"/>
              </w:rPr>
            </w:pPr>
            <w:r w:rsidRPr="00C07527">
              <w:rPr>
                <w:b/>
                <w:bCs/>
                <w:sz w:val="16"/>
                <w:szCs w:val="16"/>
              </w:rPr>
              <w:t>FY 20</w:t>
            </w:r>
            <w:r>
              <w:rPr>
                <w:b/>
                <w:bCs/>
                <w:sz w:val="16"/>
                <w:szCs w:val="16"/>
              </w:rPr>
              <w:t>13</w:t>
            </w:r>
            <w:r w:rsidRPr="00C07527">
              <w:rPr>
                <w:b/>
                <w:bCs/>
                <w:sz w:val="16"/>
                <w:szCs w:val="16"/>
              </w:rPr>
              <w:t xml:space="preserve"> Request</w:t>
            </w:r>
          </w:p>
        </w:tc>
      </w:tr>
      <w:tr w:rsidR="00630F6F" w:rsidRPr="000A2596" w:rsidTr="009552BF">
        <w:trPr>
          <w:cantSplit/>
          <w:trHeight w:val="129"/>
          <w:jc w:val="center"/>
        </w:trPr>
        <w:tc>
          <w:tcPr>
            <w:tcW w:w="4450" w:type="dxa"/>
            <w:gridSpan w:val="2"/>
            <w:shd w:val="clear" w:color="auto" w:fill="auto"/>
            <w:vAlign w:val="center"/>
          </w:tcPr>
          <w:p w:rsidR="00630F6F" w:rsidRPr="008255ED" w:rsidRDefault="00630F6F" w:rsidP="007471A8">
            <w:pPr>
              <w:contextualSpacing/>
              <w:rPr>
                <w:i/>
                <w:sz w:val="16"/>
                <w:szCs w:val="16"/>
              </w:rPr>
            </w:pPr>
            <w:r w:rsidRPr="002F223D">
              <w:rPr>
                <w:sz w:val="16"/>
                <w:szCs w:val="16"/>
              </w:rPr>
              <w:t>IAFIS fingerprint background checks</w:t>
            </w:r>
            <w:r>
              <w:rPr>
                <w:sz w:val="16"/>
                <w:szCs w:val="16"/>
              </w:rPr>
              <w:t xml:space="preserve"> </w:t>
            </w:r>
          </w:p>
        </w:tc>
        <w:tc>
          <w:tcPr>
            <w:tcW w:w="1728" w:type="dxa"/>
            <w:gridSpan w:val="2"/>
            <w:shd w:val="clear" w:color="auto" w:fill="auto"/>
            <w:vAlign w:val="center"/>
          </w:tcPr>
          <w:p w:rsidR="00630F6F" w:rsidRPr="000A2596" w:rsidRDefault="00630F6F" w:rsidP="007471A8">
            <w:pPr>
              <w:contextualSpacing/>
              <w:jc w:val="right"/>
              <w:rPr>
                <w:sz w:val="16"/>
                <w:szCs w:val="16"/>
              </w:rPr>
            </w:pPr>
            <w:r>
              <w:rPr>
                <w:color w:val="000000"/>
                <w:sz w:val="16"/>
                <w:szCs w:val="16"/>
              </w:rPr>
              <w:t>56,389,214</w:t>
            </w:r>
          </w:p>
        </w:tc>
        <w:tc>
          <w:tcPr>
            <w:tcW w:w="1692" w:type="dxa"/>
            <w:gridSpan w:val="2"/>
            <w:shd w:val="clear" w:color="auto" w:fill="auto"/>
            <w:vAlign w:val="center"/>
          </w:tcPr>
          <w:p w:rsidR="00630F6F" w:rsidRPr="00120534" w:rsidRDefault="00630F6F" w:rsidP="007471A8">
            <w:pPr>
              <w:contextualSpacing/>
              <w:jc w:val="right"/>
              <w:rPr>
                <w:sz w:val="16"/>
                <w:szCs w:val="16"/>
              </w:rPr>
            </w:pPr>
            <w:r w:rsidRPr="0067227C">
              <w:rPr>
                <w:sz w:val="16"/>
                <w:szCs w:val="16"/>
              </w:rPr>
              <w:t>50,780,502</w:t>
            </w:r>
          </w:p>
        </w:tc>
        <w:tc>
          <w:tcPr>
            <w:tcW w:w="1764" w:type="dxa"/>
            <w:gridSpan w:val="2"/>
            <w:shd w:val="clear" w:color="auto" w:fill="auto"/>
            <w:vAlign w:val="center"/>
          </w:tcPr>
          <w:p w:rsidR="00630F6F" w:rsidRPr="00120534" w:rsidRDefault="00630F6F" w:rsidP="007471A8">
            <w:pPr>
              <w:contextualSpacing/>
              <w:jc w:val="right"/>
              <w:rPr>
                <w:sz w:val="16"/>
                <w:szCs w:val="16"/>
              </w:rPr>
            </w:pPr>
            <w:r w:rsidRPr="0067227C">
              <w:rPr>
                <w:sz w:val="16"/>
                <w:szCs w:val="16"/>
              </w:rPr>
              <w:t>68,512,598</w:t>
            </w:r>
          </w:p>
        </w:tc>
        <w:tc>
          <w:tcPr>
            <w:tcW w:w="1728" w:type="dxa"/>
            <w:gridSpan w:val="2"/>
            <w:shd w:val="clear" w:color="auto" w:fill="auto"/>
            <w:vAlign w:val="center"/>
          </w:tcPr>
          <w:p w:rsidR="00630F6F" w:rsidRPr="00120534" w:rsidRDefault="00630F6F" w:rsidP="007471A8">
            <w:pPr>
              <w:contextualSpacing/>
              <w:jc w:val="right"/>
              <w:rPr>
                <w:sz w:val="16"/>
                <w:szCs w:val="16"/>
              </w:rPr>
            </w:pPr>
            <w:r>
              <w:rPr>
                <w:sz w:val="16"/>
                <w:szCs w:val="16"/>
              </w:rPr>
              <w:t>4,570,946</w:t>
            </w:r>
          </w:p>
        </w:tc>
        <w:tc>
          <w:tcPr>
            <w:tcW w:w="1728" w:type="dxa"/>
            <w:gridSpan w:val="2"/>
            <w:shd w:val="clear" w:color="auto" w:fill="auto"/>
            <w:vAlign w:val="center"/>
          </w:tcPr>
          <w:p w:rsidR="00630F6F" w:rsidRPr="00120534" w:rsidRDefault="00630F6F" w:rsidP="007471A8">
            <w:pPr>
              <w:contextualSpacing/>
              <w:jc w:val="right"/>
              <w:rPr>
                <w:sz w:val="16"/>
                <w:szCs w:val="16"/>
              </w:rPr>
            </w:pPr>
            <w:r>
              <w:rPr>
                <w:sz w:val="16"/>
                <w:szCs w:val="16"/>
              </w:rPr>
              <w:t>73,084,544</w:t>
            </w:r>
          </w:p>
        </w:tc>
      </w:tr>
      <w:tr w:rsidR="00630F6F" w:rsidRPr="000A2596" w:rsidTr="009552BF">
        <w:trPr>
          <w:cantSplit/>
          <w:trHeight w:val="84"/>
          <w:jc w:val="center"/>
        </w:trPr>
        <w:tc>
          <w:tcPr>
            <w:tcW w:w="4450" w:type="dxa"/>
            <w:gridSpan w:val="2"/>
            <w:shd w:val="clear" w:color="auto" w:fill="auto"/>
            <w:vAlign w:val="center"/>
          </w:tcPr>
          <w:p w:rsidR="00630F6F" w:rsidRPr="002F223D" w:rsidRDefault="00630F6F" w:rsidP="007471A8">
            <w:pPr>
              <w:contextualSpacing/>
              <w:rPr>
                <w:sz w:val="16"/>
                <w:szCs w:val="16"/>
              </w:rPr>
            </w:pPr>
            <w:r w:rsidRPr="002F223D">
              <w:rPr>
                <w:sz w:val="16"/>
                <w:szCs w:val="16"/>
              </w:rPr>
              <w:t>NCIC transactions</w:t>
            </w:r>
          </w:p>
        </w:tc>
        <w:tc>
          <w:tcPr>
            <w:tcW w:w="1728" w:type="dxa"/>
            <w:gridSpan w:val="2"/>
            <w:shd w:val="clear" w:color="auto" w:fill="auto"/>
            <w:vAlign w:val="center"/>
          </w:tcPr>
          <w:p w:rsidR="00630F6F" w:rsidRPr="000A2596" w:rsidRDefault="00630F6F" w:rsidP="007471A8">
            <w:pPr>
              <w:contextualSpacing/>
              <w:jc w:val="right"/>
              <w:rPr>
                <w:sz w:val="16"/>
                <w:szCs w:val="16"/>
              </w:rPr>
            </w:pPr>
            <w:r>
              <w:rPr>
                <w:color w:val="000000"/>
                <w:sz w:val="16"/>
                <w:szCs w:val="16"/>
              </w:rPr>
              <w:t>2,920,280,283</w:t>
            </w:r>
          </w:p>
        </w:tc>
        <w:tc>
          <w:tcPr>
            <w:tcW w:w="1692" w:type="dxa"/>
            <w:gridSpan w:val="2"/>
            <w:tcBorders>
              <w:bottom w:val="single" w:sz="6" w:space="0" w:color="000000"/>
            </w:tcBorders>
            <w:shd w:val="clear" w:color="auto" w:fill="auto"/>
            <w:vAlign w:val="center"/>
          </w:tcPr>
          <w:p w:rsidR="00630F6F" w:rsidRPr="00120534" w:rsidRDefault="00630F6F" w:rsidP="007471A8">
            <w:pPr>
              <w:contextualSpacing/>
              <w:jc w:val="right"/>
              <w:rPr>
                <w:sz w:val="16"/>
                <w:szCs w:val="16"/>
              </w:rPr>
            </w:pPr>
            <w:r w:rsidRPr="0067227C">
              <w:rPr>
                <w:sz w:val="16"/>
                <w:szCs w:val="16"/>
              </w:rPr>
              <w:t>2,918,139,032</w:t>
            </w:r>
          </w:p>
        </w:tc>
        <w:tc>
          <w:tcPr>
            <w:tcW w:w="1764" w:type="dxa"/>
            <w:gridSpan w:val="2"/>
            <w:shd w:val="clear" w:color="auto" w:fill="auto"/>
            <w:vAlign w:val="center"/>
          </w:tcPr>
          <w:p w:rsidR="00630F6F" w:rsidRPr="00120534" w:rsidRDefault="00630F6F" w:rsidP="007471A8">
            <w:pPr>
              <w:contextualSpacing/>
              <w:jc w:val="right"/>
              <w:rPr>
                <w:sz w:val="16"/>
                <w:szCs w:val="16"/>
              </w:rPr>
            </w:pPr>
            <w:r w:rsidRPr="0067227C">
              <w:rPr>
                <w:sz w:val="16"/>
                <w:szCs w:val="16"/>
              </w:rPr>
              <w:t>3,177,000,000</w:t>
            </w:r>
          </w:p>
        </w:tc>
        <w:tc>
          <w:tcPr>
            <w:tcW w:w="1728" w:type="dxa"/>
            <w:gridSpan w:val="2"/>
            <w:shd w:val="clear" w:color="auto" w:fill="auto"/>
            <w:vAlign w:val="center"/>
          </w:tcPr>
          <w:p w:rsidR="00630F6F" w:rsidRPr="00120534" w:rsidRDefault="00630F6F" w:rsidP="007471A8">
            <w:pPr>
              <w:contextualSpacing/>
              <w:jc w:val="right"/>
              <w:rPr>
                <w:sz w:val="16"/>
                <w:szCs w:val="16"/>
              </w:rPr>
            </w:pPr>
            <w:r>
              <w:rPr>
                <w:sz w:val="16"/>
                <w:szCs w:val="16"/>
              </w:rPr>
              <w:t>282,753,000</w:t>
            </w:r>
          </w:p>
        </w:tc>
        <w:tc>
          <w:tcPr>
            <w:tcW w:w="1728" w:type="dxa"/>
            <w:gridSpan w:val="2"/>
            <w:shd w:val="clear" w:color="auto" w:fill="auto"/>
            <w:vAlign w:val="center"/>
          </w:tcPr>
          <w:p w:rsidR="00630F6F" w:rsidRPr="00120534" w:rsidRDefault="00630F6F" w:rsidP="007471A8">
            <w:pPr>
              <w:contextualSpacing/>
              <w:jc w:val="right"/>
              <w:rPr>
                <w:sz w:val="16"/>
                <w:szCs w:val="16"/>
              </w:rPr>
            </w:pPr>
            <w:r w:rsidRPr="0067227C">
              <w:rPr>
                <w:sz w:val="16"/>
                <w:szCs w:val="16"/>
              </w:rPr>
              <w:t>3,459,753,000</w:t>
            </w:r>
          </w:p>
        </w:tc>
      </w:tr>
      <w:tr w:rsidR="00630F6F" w:rsidRPr="002F223D" w:rsidTr="009552BF">
        <w:trPr>
          <w:cantSplit/>
          <w:trHeight w:val="138"/>
          <w:jc w:val="center"/>
        </w:trPr>
        <w:tc>
          <w:tcPr>
            <w:tcW w:w="4450" w:type="dxa"/>
            <w:gridSpan w:val="2"/>
            <w:shd w:val="clear" w:color="auto" w:fill="auto"/>
            <w:vAlign w:val="center"/>
          </w:tcPr>
          <w:p w:rsidR="00630F6F" w:rsidRPr="002F223D" w:rsidRDefault="00630F6F" w:rsidP="007471A8">
            <w:pPr>
              <w:contextualSpacing/>
              <w:rPr>
                <w:sz w:val="16"/>
                <w:szCs w:val="16"/>
              </w:rPr>
            </w:pPr>
            <w:r w:rsidRPr="002F223D">
              <w:rPr>
                <w:sz w:val="16"/>
                <w:szCs w:val="16"/>
              </w:rPr>
              <w:t xml:space="preserve">Total number of federal, state, and local investigations aided by the Combined </w:t>
            </w:r>
            <w:smartTag w:uri="urn:schemas-microsoft-com:office:smarttags" w:element="stockticker">
              <w:r w:rsidRPr="002F223D">
                <w:rPr>
                  <w:sz w:val="16"/>
                  <w:szCs w:val="16"/>
                </w:rPr>
                <w:t>DNA</w:t>
              </w:r>
            </w:smartTag>
            <w:r w:rsidRPr="002F223D">
              <w:rPr>
                <w:sz w:val="16"/>
                <w:szCs w:val="16"/>
              </w:rPr>
              <w:t xml:space="preserve"> Index System (CODIS) </w:t>
            </w:r>
          </w:p>
        </w:tc>
        <w:tc>
          <w:tcPr>
            <w:tcW w:w="1728" w:type="dxa"/>
            <w:gridSpan w:val="2"/>
            <w:shd w:val="clear" w:color="auto" w:fill="auto"/>
            <w:vAlign w:val="center"/>
          </w:tcPr>
          <w:p w:rsidR="00630F6F" w:rsidRPr="002F223D" w:rsidRDefault="00630F6F" w:rsidP="007471A8">
            <w:pPr>
              <w:contextualSpacing/>
              <w:jc w:val="right"/>
              <w:rPr>
                <w:sz w:val="16"/>
                <w:szCs w:val="16"/>
              </w:rPr>
            </w:pPr>
            <w:r w:rsidRPr="002F223D">
              <w:rPr>
                <w:color w:val="000000"/>
                <w:sz w:val="16"/>
                <w:szCs w:val="16"/>
              </w:rPr>
              <w:t>†</w:t>
            </w:r>
          </w:p>
        </w:tc>
        <w:tc>
          <w:tcPr>
            <w:tcW w:w="1692" w:type="dxa"/>
            <w:gridSpan w:val="2"/>
            <w:shd w:val="clear" w:color="auto" w:fill="auto"/>
            <w:vAlign w:val="center"/>
          </w:tcPr>
          <w:p w:rsidR="00630F6F" w:rsidRPr="0044276C" w:rsidRDefault="00630F6F" w:rsidP="007471A8">
            <w:pPr>
              <w:contextualSpacing/>
              <w:jc w:val="right"/>
              <w:rPr>
                <w:sz w:val="16"/>
                <w:szCs w:val="16"/>
              </w:rPr>
            </w:pPr>
            <w:r w:rsidRPr="0044276C">
              <w:rPr>
                <w:sz w:val="16"/>
                <w:szCs w:val="16"/>
              </w:rPr>
              <w:t>30,641</w:t>
            </w:r>
          </w:p>
        </w:tc>
        <w:tc>
          <w:tcPr>
            <w:tcW w:w="1764" w:type="dxa"/>
            <w:gridSpan w:val="2"/>
            <w:shd w:val="clear" w:color="auto" w:fill="auto"/>
            <w:vAlign w:val="center"/>
          </w:tcPr>
          <w:p w:rsidR="00630F6F" w:rsidRPr="00120534" w:rsidRDefault="00630F6F" w:rsidP="007471A8">
            <w:pPr>
              <w:contextualSpacing/>
              <w:jc w:val="right"/>
              <w:rPr>
                <w:sz w:val="16"/>
                <w:szCs w:val="16"/>
              </w:rPr>
            </w:pPr>
            <w:r w:rsidRPr="00120534">
              <w:rPr>
                <w:color w:val="000000"/>
                <w:sz w:val="16"/>
                <w:szCs w:val="16"/>
              </w:rPr>
              <w:t>†</w:t>
            </w:r>
          </w:p>
        </w:tc>
        <w:tc>
          <w:tcPr>
            <w:tcW w:w="1728" w:type="dxa"/>
            <w:gridSpan w:val="2"/>
            <w:shd w:val="clear" w:color="auto" w:fill="auto"/>
            <w:vAlign w:val="center"/>
          </w:tcPr>
          <w:p w:rsidR="00630F6F" w:rsidRPr="00120534" w:rsidRDefault="00630F6F" w:rsidP="007471A8">
            <w:pPr>
              <w:contextualSpacing/>
              <w:jc w:val="right"/>
              <w:rPr>
                <w:sz w:val="16"/>
                <w:szCs w:val="16"/>
              </w:rPr>
            </w:pPr>
            <w:r w:rsidRPr="00120534">
              <w:rPr>
                <w:color w:val="000000"/>
                <w:sz w:val="16"/>
                <w:szCs w:val="16"/>
              </w:rPr>
              <w:t>†</w:t>
            </w:r>
          </w:p>
        </w:tc>
        <w:tc>
          <w:tcPr>
            <w:tcW w:w="1728" w:type="dxa"/>
            <w:gridSpan w:val="2"/>
            <w:shd w:val="clear" w:color="auto" w:fill="auto"/>
            <w:vAlign w:val="center"/>
          </w:tcPr>
          <w:p w:rsidR="00630F6F" w:rsidRPr="00120534" w:rsidRDefault="00630F6F" w:rsidP="007471A8">
            <w:pPr>
              <w:contextualSpacing/>
              <w:jc w:val="right"/>
              <w:rPr>
                <w:sz w:val="16"/>
                <w:szCs w:val="16"/>
              </w:rPr>
            </w:pPr>
            <w:r w:rsidRPr="00120534">
              <w:rPr>
                <w:color w:val="000000"/>
                <w:sz w:val="16"/>
                <w:szCs w:val="16"/>
              </w:rPr>
              <w:t>†</w:t>
            </w:r>
          </w:p>
        </w:tc>
      </w:tr>
      <w:tr w:rsidR="00630F6F" w:rsidRPr="002F223D" w:rsidTr="00B2684D">
        <w:trPr>
          <w:cantSplit/>
          <w:trHeight w:val="289"/>
          <w:jc w:val="center"/>
        </w:trPr>
        <w:tc>
          <w:tcPr>
            <w:tcW w:w="4450" w:type="dxa"/>
            <w:gridSpan w:val="2"/>
            <w:shd w:val="clear" w:color="auto" w:fill="auto"/>
            <w:vAlign w:val="center"/>
          </w:tcPr>
          <w:p w:rsidR="00630F6F" w:rsidRPr="002F223D" w:rsidRDefault="00630F6F" w:rsidP="007471A8">
            <w:pPr>
              <w:contextualSpacing/>
              <w:rPr>
                <w:sz w:val="16"/>
                <w:szCs w:val="16"/>
              </w:rPr>
            </w:pPr>
            <w:r w:rsidRPr="002F223D">
              <w:rPr>
                <w:sz w:val="16"/>
                <w:szCs w:val="16"/>
              </w:rPr>
              <w:t xml:space="preserve">Total number of forensic and offender matches identified at </w:t>
            </w:r>
            <w:r>
              <w:rPr>
                <w:sz w:val="16"/>
                <w:szCs w:val="16"/>
              </w:rPr>
              <w:t>CODIS</w:t>
            </w:r>
          </w:p>
        </w:tc>
        <w:tc>
          <w:tcPr>
            <w:tcW w:w="1728" w:type="dxa"/>
            <w:gridSpan w:val="2"/>
            <w:tcBorders>
              <w:bottom w:val="single" w:sz="6" w:space="0" w:color="000000"/>
            </w:tcBorders>
            <w:shd w:val="clear" w:color="auto" w:fill="auto"/>
            <w:vAlign w:val="center"/>
          </w:tcPr>
          <w:p w:rsidR="00630F6F" w:rsidRPr="002F223D" w:rsidRDefault="00630F6F" w:rsidP="007471A8">
            <w:pPr>
              <w:contextualSpacing/>
              <w:jc w:val="right"/>
              <w:rPr>
                <w:sz w:val="16"/>
                <w:szCs w:val="16"/>
              </w:rPr>
            </w:pPr>
            <w:r w:rsidRPr="002F223D">
              <w:rPr>
                <w:color w:val="000000"/>
                <w:sz w:val="16"/>
                <w:szCs w:val="16"/>
              </w:rPr>
              <w:t>†</w:t>
            </w:r>
          </w:p>
        </w:tc>
        <w:tc>
          <w:tcPr>
            <w:tcW w:w="1692" w:type="dxa"/>
            <w:gridSpan w:val="2"/>
            <w:tcBorders>
              <w:bottom w:val="single" w:sz="6" w:space="0" w:color="000000"/>
            </w:tcBorders>
            <w:shd w:val="clear" w:color="auto" w:fill="auto"/>
            <w:vAlign w:val="center"/>
          </w:tcPr>
          <w:p w:rsidR="00630F6F" w:rsidRPr="0044276C" w:rsidRDefault="00630F6F" w:rsidP="007471A8">
            <w:pPr>
              <w:contextualSpacing/>
              <w:jc w:val="right"/>
              <w:rPr>
                <w:sz w:val="16"/>
                <w:szCs w:val="16"/>
              </w:rPr>
            </w:pPr>
            <w:r w:rsidRPr="0044276C">
              <w:rPr>
                <w:sz w:val="16"/>
                <w:szCs w:val="16"/>
              </w:rPr>
              <w:t>27,459</w:t>
            </w:r>
          </w:p>
        </w:tc>
        <w:tc>
          <w:tcPr>
            <w:tcW w:w="1764" w:type="dxa"/>
            <w:gridSpan w:val="2"/>
            <w:tcBorders>
              <w:bottom w:val="single" w:sz="6" w:space="0" w:color="000000"/>
            </w:tcBorders>
            <w:shd w:val="clear" w:color="auto" w:fill="auto"/>
            <w:vAlign w:val="center"/>
          </w:tcPr>
          <w:p w:rsidR="00630F6F" w:rsidRPr="00120534" w:rsidRDefault="00630F6F" w:rsidP="007471A8">
            <w:pPr>
              <w:contextualSpacing/>
              <w:jc w:val="right"/>
              <w:rPr>
                <w:sz w:val="16"/>
                <w:szCs w:val="16"/>
              </w:rPr>
            </w:pPr>
            <w:r w:rsidRPr="00120534">
              <w:rPr>
                <w:color w:val="000000"/>
                <w:sz w:val="16"/>
                <w:szCs w:val="16"/>
              </w:rPr>
              <w:t>†</w:t>
            </w:r>
          </w:p>
        </w:tc>
        <w:tc>
          <w:tcPr>
            <w:tcW w:w="1728" w:type="dxa"/>
            <w:gridSpan w:val="2"/>
            <w:tcBorders>
              <w:bottom w:val="single" w:sz="6" w:space="0" w:color="000000"/>
            </w:tcBorders>
            <w:shd w:val="clear" w:color="auto" w:fill="auto"/>
            <w:vAlign w:val="center"/>
          </w:tcPr>
          <w:p w:rsidR="00630F6F" w:rsidRPr="00120534" w:rsidRDefault="00630F6F" w:rsidP="007471A8">
            <w:pPr>
              <w:contextualSpacing/>
              <w:jc w:val="right"/>
              <w:rPr>
                <w:sz w:val="16"/>
                <w:szCs w:val="16"/>
              </w:rPr>
            </w:pPr>
            <w:r w:rsidRPr="00120534">
              <w:rPr>
                <w:color w:val="000000"/>
                <w:sz w:val="16"/>
                <w:szCs w:val="16"/>
              </w:rPr>
              <w:t>†</w:t>
            </w:r>
          </w:p>
        </w:tc>
        <w:tc>
          <w:tcPr>
            <w:tcW w:w="1728" w:type="dxa"/>
            <w:gridSpan w:val="2"/>
            <w:tcBorders>
              <w:bottom w:val="single" w:sz="6" w:space="0" w:color="000000"/>
            </w:tcBorders>
            <w:shd w:val="clear" w:color="auto" w:fill="auto"/>
            <w:vAlign w:val="center"/>
          </w:tcPr>
          <w:p w:rsidR="00630F6F" w:rsidRPr="00120534" w:rsidRDefault="00630F6F" w:rsidP="007471A8">
            <w:pPr>
              <w:contextualSpacing/>
              <w:jc w:val="right"/>
              <w:rPr>
                <w:sz w:val="16"/>
                <w:szCs w:val="16"/>
              </w:rPr>
            </w:pPr>
            <w:r w:rsidRPr="00120534">
              <w:rPr>
                <w:color w:val="000000"/>
                <w:sz w:val="16"/>
                <w:szCs w:val="16"/>
              </w:rPr>
              <w:t>†</w:t>
            </w:r>
          </w:p>
        </w:tc>
      </w:tr>
      <w:tr w:rsidR="00630F6F" w:rsidRPr="002F223D" w:rsidTr="00B2684D">
        <w:trPr>
          <w:trHeight w:val="289"/>
          <w:jc w:val="center"/>
        </w:trPr>
        <w:tc>
          <w:tcPr>
            <w:tcW w:w="4450" w:type="dxa"/>
            <w:gridSpan w:val="2"/>
            <w:vMerge w:val="restart"/>
            <w:shd w:val="clear" w:color="auto" w:fill="auto"/>
            <w:vAlign w:val="center"/>
          </w:tcPr>
          <w:p w:rsidR="00630F6F" w:rsidRPr="002F223D" w:rsidRDefault="00630F6F" w:rsidP="007471A8">
            <w:pPr>
              <w:contextualSpacing/>
              <w:rPr>
                <w:b/>
                <w:bCs/>
                <w:sz w:val="16"/>
                <w:szCs w:val="16"/>
              </w:rPr>
            </w:pPr>
            <w:r w:rsidRPr="002F223D">
              <w:rPr>
                <w:b/>
                <w:bCs/>
                <w:sz w:val="16"/>
                <w:szCs w:val="16"/>
              </w:rPr>
              <w:t xml:space="preserve">Total Costs and </w:t>
            </w:r>
            <w:smartTag w:uri="urn:schemas-microsoft-com:office:smarttags" w:element="stockticker">
              <w:r w:rsidRPr="002F223D">
                <w:rPr>
                  <w:b/>
                  <w:bCs/>
                  <w:sz w:val="16"/>
                  <w:szCs w:val="16"/>
                </w:rPr>
                <w:t>FTE</w:t>
              </w:r>
            </w:smartTag>
          </w:p>
        </w:tc>
        <w:tc>
          <w:tcPr>
            <w:tcW w:w="864" w:type="dxa"/>
            <w:shd w:val="clear" w:color="auto" w:fill="FFFFCC"/>
            <w:vAlign w:val="center"/>
          </w:tcPr>
          <w:p w:rsidR="00630F6F" w:rsidRPr="002F223D" w:rsidRDefault="00630F6F" w:rsidP="007471A8">
            <w:pPr>
              <w:contextualSpacing/>
              <w:jc w:val="center"/>
              <w:rPr>
                <w:b/>
                <w:bCs/>
                <w:sz w:val="16"/>
                <w:szCs w:val="16"/>
              </w:rPr>
            </w:pPr>
            <w:smartTag w:uri="urn:schemas-microsoft-com:office:smarttags" w:element="stockticker">
              <w:r w:rsidRPr="002F223D">
                <w:rPr>
                  <w:b/>
                  <w:bCs/>
                  <w:sz w:val="16"/>
                  <w:szCs w:val="16"/>
                </w:rPr>
                <w:t>FTE</w:t>
              </w:r>
            </w:smartTag>
          </w:p>
        </w:tc>
        <w:tc>
          <w:tcPr>
            <w:tcW w:w="864" w:type="dxa"/>
            <w:shd w:val="clear" w:color="auto" w:fill="FFFFCC"/>
            <w:vAlign w:val="center"/>
          </w:tcPr>
          <w:p w:rsidR="00630F6F" w:rsidRPr="002F223D" w:rsidRDefault="00630F6F" w:rsidP="007471A8">
            <w:pPr>
              <w:contextualSpacing/>
              <w:jc w:val="center"/>
              <w:rPr>
                <w:b/>
                <w:bCs/>
                <w:sz w:val="16"/>
                <w:szCs w:val="16"/>
              </w:rPr>
            </w:pPr>
            <w:r w:rsidRPr="002F223D">
              <w:rPr>
                <w:b/>
                <w:bCs/>
                <w:sz w:val="16"/>
                <w:szCs w:val="16"/>
              </w:rPr>
              <w:t>$000</w:t>
            </w:r>
          </w:p>
        </w:tc>
        <w:tc>
          <w:tcPr>
            <w:tcW w:w="864" w:type="dxa"/>
            <w:shd w:val="clear" w:color="auto" w:fill="FFFFCC"/>
            <w:vAlign w:val="center"/>
          </w:tcPr>
          <w:p w:rsidR="00630F6F" w:rsidRPr="002F223D" w:rsidRDefault="00630F6F" w:rsidP="007471A8">
            <w:pPr>
              <w:contextualSpacing/>
              <w:jc w:val="center"/>
              <w:rPr>
                <w:b/>
                <w:bCs/>
                <w:sz w:val="16"/>
                <w:szCs w:val="16"/>
              </w:rPr>
            </w:pPr>
            <w:smartTag w:uri="urn:schemas-microsoft-com:office:smarttags" w:element="stockticker">
              <w:r w:rsidRPr="002F223D">
                <w:rPr>
                  <w:b/>
                  <w:bCs/>
                  <w:sz w:val="16"/>
                  <w:szCs w:val="16"/>
                </w:rPr>
                <w:t>FTE</w:t>
              </w:r>
            </w:smartTag>
          </w:p>
        </w:tc>
        <w:tc>
          <w:tcPr>
            <w:tcW w:w="828" w:type="dxa"/>
            <w:shd w:val="clear" w:color="auto" w:fill="FFFFCC"/>
            <w:vAlign w:val="center"/>
          </w:tcPr>
          <w:p w:rsidR="00630F6F" w:rsidRPr="002F223D" w:rsidRDefault="00630F6F" w:rsidP="007471A8">
            <w:pPr>
              <w:contextualSpacing/>
              <w:jc w:val="center"/>
              <w:rPr>
                <w:b/>
                <w:bCs/>
                <w:sz w:val="16"/>
                <w:szCs w:val="16"/>
              </w:rPr>
            </w:pPr>
            <w:r w:rsidRPr="002F223D">
              <w:rPr>
                <w:b/>
                <w:bCs/>
                <w:sz w:val="16"/>
                <w:szCs w:val="16"/>
              </w:rPr>
              <w:t>$000</w:t>
            </w:r>
          </w:p>
        </w:tc>
        <w:tc>
          <w:tcPr>
            <w:tcW w:w="900" w:type="dxa"/>
            <w:shd w:val="clear" w:color="auto" w:fill="FFFFCC"/>
            <w:vAlign w:val="center"/>
          </w:tcPr>
          <w:p w:rsidR="00630F6F" w:rsidRPr="002F223D" w:rsidRDefault="00630F6F" w:rsidP="007471A8">
            <w:pPr>
              <w:contextualSpacing/>
              <w:jc w:val="center"/>
              <w:rPr>
                <w:b/>
                <w:bCs/>
                <w:sz w:val="16"/>
                <w:szCs w:val="16"/>
              </w:rPr>
            </w:pPr>
            <w:smartTag w:uri="urn:schemas-microsoft-com:office:smarttags" w:element="stockticker">
              <w:r w:rsidRPr="002F223D">
                <w:rPr>
                  <w:b/>
                  <w:bCs/>
                  <w:sz w:val="16"/>
                  <w:szCs w:val="16"/>
                </w:rPr>
                <w:t>FTE</w:t>
              </w:r>
            </w:smartTag>
          </w:p>
        </w:tc>
        <w:tc>
          <w:tcPr>
            <w:tcW w:w="864" w:type="dxa"/>
            <w:shd w:val="clear" w:color="auto" w:fill="FFFFCC"/>
            <w:vAlign w:val="center"/>
          </w:tcPr>
          <w:p w:rsidR="00630F6F" w:rsidRPr="002F223D" w:rsidRDefault="00630F6F" w:rsidP="007471A8">
            <w:pPr>
              <w:contextualSpacing/>
              <w:jc w:val="center"/>
              <w:rPr>
                <w:b/>
                <w:bCs/>
                <w:sz w:val="16"/>
                <w:szCs w:val="16"/>
              </w:rPr>
            </w:pPr>
            <w:r w:rsidRPr="002F223D">
              <w:rPr>
                <w:b/>
                <w:bCs/>
                <w:sz w:val="16"/>
                <w:szCs w:val="16"/>
              </w:rPr>
              <w:t>$000</w:t>
            </w:r>
          </w:p>
        </w:tc>
        <w:tc>
          <w:tcPr>
            <w:tcW w:w="864" w:type="dxa"/>
            <w:shd w:val="clear" w:color="auto" w:fill="FFFFCC"/>
            <w:vAlign w:val="center"/>
          </w:tcPr>
          <w:p w:rsidR="00630F6F" w:rsidRPr="002F223D" w:rsidRDefault="00630F6F" w:rsidP="007471A8">
            <w:pPr>
              <w:contextualSpacing/>
              <w:jc w:val="center"/>
              <w:rPr>
                <w:b/>
                <w:bCs/>
                <w:sz w:val="16"/>
                <w:szCs w:val="16"/>
              </w:rPr>
            </w:pPr>
            <w:smartTag w:uri="urn:schemas-microsoft-com:office:smarttags" w:element="stockticker">
              <w:r w:rsidRPr="002F223D">
                <w:rPr>
                  <w:b/>
                  <w:bCs/>
                  <w:sz w:val="16"/>
                  <w:szCs w:val="16"/>
                </w:rPr>
                <w:t>FTE</w:t>
              </w:r>
            </w:smartTag>
          </w:p>
        </w:tc>
        <w:tc>
          <w:tcPr>
            <w:tcW w:w="864" w:type="dxa"/>
            <w:shd w:val="clear" w:color="auto" w:fill="FFFFCC"/>
            <w:vAlign w:val="center"/>
          </w:tcPr>
          <w:p w:rsidR="00630F6F" w:rsidRPr="002F223D" w:rsidRDefault="00630F6F" w:rsidP="007471A8">
            <w:pPr>
              <w:contextualSpacing/>
              <w:jc w:val="center"/>
              <w:rPr>
                <w:b/>
                <w:bCs/>
                <w:sz w:val="16"/>
                <w:szCs w:val="16"/>
              </w:rPr>
            </w:pPr>
            <w:r w:rsidRPr="002F223D">
              <w:rPr>
                <w:b/>
                <w:bCs/>
                <w:sz w:val="16"/>
                <w:szCs w:val="16"/>
              </w:rPr>
              <w:t>$000</w:t>
            </w:r>
          </w:p>
        </w:tc>
        <w:tc>
          <w:tcPr>
            <w:tcW w:w="864" w:type="dxa"/>
            <w:shd w:val="clear" w:color="auto" w:fill="FFFFCC"/>
            <w:vAlign w:val="center"/>
          </w:tcPr>
          <w:p w:rsidR="00630F6F" w:rsidRPr="002F223D" w:rsidRDefault="00630F6F" w:rsidP="007471A8">
            <w:pPr>
              <w:contextualSpacing/>
              <w:jc w:val="center"/>
              <w:rPr>
                <w:b/>
                <w:bCs/>
                <w:sz w:val="16"/>
                <w:szCs w:val="16"/>
              </w:rPr>
            </w:pPr>
            <w:smartTag w:uri="urn:schemas-microsoft-com:office:smarttags" w:element="stockticker">
              <w:r w:rsidRPr="002F223D">
                <w:rPr>
                  <w:b/>
                  <w:bCs/>
                  <w:sz w:val="16"/>
                  <w:szCs w:val="16"/>
                </w:rPr>
                <w:t>FTE</w:t>
              </w:r>
            </w:smartTag>
          </w:p>
        </w:tc>
        <w:tc>
          <w:tcPr>
            <w:tcW w:w="864" w:type="dxa"/>
            <w:shd w:val="clear" w:color="auto" w:fill="FFFFCC"/>
            <w:vAlign w:val="center"/>
          </w:tcPr>
          <w:p w:rsidR="00630F6F" w:rsidRPr="002F223D" w:rsidRDefault="00630F6F" w:rsidP="007471A8">
            <w:pPr>
              <w:contextualSpacing/>
              <w:jc w:val="center"/>
              <w:rPr>
                <w:b/>
                <w:bCs/>
                <w:sz w:val="16"/>
                <w:szCs w:val="16"/>
              </w:rPr>
            </w:pPr>
            <w:r w:rsidRPr="002F223D">
              <w:rPr>
                <w:b/>
                <w:bCs/>
                <w:sz w:val="16"/>
                <w:szCs w:val="16"/>
              </w:rPr>
              <w:t>$000</w:t>
            </w:r>
          </w:p>
        </w:tc>
      </w:tr>
      <w:tr w:rsidR="00630F6F" w:rsidRPr="002F223D" w:rsidTr="00B2684D">
        <w:trPr>
          <w:cantSplit/>
          <w:trHeight w:val="218"/>
          <w:jc w:val="center"/>
        </w:trPr>
        <w:tc>
          <w:tcPr>
            <w:tcW w:w="4450" w:type="dxa"/>
            <w:gridSpan w:val="2"/>
            <w:vMerge/>
            <w:shd w:val="clear" w:color="auto" w:fill="auto"/>
          </w:tcPr>
          <w:p w:rsidR="00630F6F" w:rsidRPr="002F223D" w:rsidRDefault="00630F6F" w:rsidP="007471A8">
            <w:pPr>
              <w:contextualSpacing/>
              <w:jc w:val="both"/>
              <w:rPr>
                <w:b/>
                <w:bCs/>
                <w:sz w:val="16"/>
                <w:szCs w:val="16"/>
              </w:rPr>
            </w:pPr>
          </w:p>
        </w:tc>
        <w:tc>
          <w:tcPr>
            <w:tcW w:w="864" w:type="dxa"/>
            <w:tcBorders>
              <w:bottom w:val="single" w:sz="6" w:space="0" w:color="000000"/>
            </w:tcBorders>
            <w:shd w:val="clear" w:color="auto" w:fill="auto"/>
            <w:vAlign w:val="center"/>
          </w:tcPr>
          <w:p w:rsidR="00630F6F" w:rsidRPr="00D27A94" w:rsidRDefault="00630F6F" w:rsidP="007471A8">
            <w:pPr>
              <w:contextualSpacing/>
              <w:jc w:val="center"/>
              <w:rPr>
                <w:sz w:val="16"/>
                <w:szCs w:val="16"/>
              </w:rPr>
            </w:pPr>
            <w:r>
              <w:rPr>
                <w:sz w:val="16"/>
                <w:szCs w:val="16"/>
              </w:rPr>
              <w:t>2,049</w:t>
            </w:r>
          </w:p>
        </w:tc>
        <w:tc>
          <w:tcPr>
            <w:tcW w:w="864" w:type="dxa"/>
            <w:tcBorders>
              <w:bottom w:val="single" w:sz="6" w:space="0" w:color="000000"/>
            </w:tcBorders>
            <w:shd w:val="clear" w:color="auto" w:fill="auto"/>
            <w:vAlign w:val="center"/>
          </w:tcPr>
          <w:p w:rsidR="00630F6F" w:rsidRPr="00D27A94" w:rsidRDefault="00630F6F" w:rsidP="007471A8">
            <w:pPr>
              <w:contextualSpacing/>
              <w:jc w:val="center"/>
              <w:rPr>
                <w:sz w:val="16"/>
                <w:szCs w:val="16"/>
              </w:rPr>
            </w:pPr>
            <w:r>
              <w:rPr>
                <w:sz w:val="16"/>
                <w:szCs w:val="16"/>
              </w:rPr>
              <w:t>489,770</w:t>
            </w:r>
          </w:p>
        </w:tc>
        <w:tc>
          <w:tcPr>
            <w:tcW w:w="864" w:type="dxa"/>
            <w:tcBorders>
              <w:bottom w:val="single" w:sz="6" w:space="0" w:color="000000"/>
            </w:tcBorders>
            <w:shd w:val="clear" w:color="auto" w:fill="auto"/>
            <w:vAlign w:val="center"/>
          </w:tcPr>
          <w:p w:rsidR="00630F6F" w:rsidRPr="00B2064B" w:rsidRDefault="00630F6F" w:rsidP="007471A8">
            <w:pPr>
              <w:contextualSpacing/>
              <w:jc w:val="center"/>
              <w:rPr>
                <w:sz w:val="16"/>
                <w:szCs w:val="16"/>
                <w:highlight w:val="darkGray"/>
              </w:rPr>
            </w:pPr>
            <w:r w:rsidRPr="009021A6">
              <w:rPr>
                <w:sz w:val="16"/>
                <w:szCs w:val="16"/>
              </w:rPr>
              <w:t>1,991</w:t>
            </w:r>
          </w:p>
        </w:tc>
        <w:tc>
          <w:tcPr>
            <w:tcW w:w="828" w:type="dxa"/>
            <w:tcBorders>
              <w:bottom w:val="single" w:sz="6" w:space="0" w:color="000000"/>
            </w:tcBorders>
            <w:shd w:val="clear" w:color="auto" w:fill="auto"/>
            <w:vAlign w:val="center"/>
          </w:tcPr>
          <w:p w:rsidR="00630F6F" w:rsidRPr="00B2064B" w:rsidRDefault="00630F6F" w:rsidP="007471A8">
            <w:pPr>
              <w:contextualSpacing/>
              <w:jc w:val="center"/>
              <w:rPr>
                <w:sz w:val="16"/>
                <w:szCs w:val="16"/>
                <w:highlight w:val="darkGray"/>
              </w:rPr>
            </w:pPr>
            <w:r w:rsidRPr="00716780">
              <w:rPr>
                <w:sz w:val="16"/>
                <w:szCs w:val="16"/>
              </w:rPr>
              <w:t>669,000</w:t>
            </w:r>
          </w:p>
        </w:tc>
        <w:tc>
          <w:tcPr>
            <w:tcW w:w="900" w:type="dxa"/>
            <w:tcBorders>
              <w:bottom w:val="single" w:sz="6" w:space="0" w:color="000000"/>
            </w:tcBorders>
            <w:shd w:val="clear" w:color="auto" w:fill="auto"/>
            <w:vAlign w:val="center"/>
          </w:tcPr>
          <w:p w:rsidR="00630F6F" w:rsidRPr="00D27A94" w:rsidRDefault="00630F6F" w:rsidP="007471A8">
            <w:pPr>
              <w:contextualSpacing/>
              <w:jc w:val="center"/>
              <w:rPr>
                <w:sz w:val="16"/>
                <w:szCs w:val="16"/>
              </w:rPr>
            </w:pPr>
            <w:r>
              <w:rPr>
                <w:sz w:val="16"/>
                <w:szCs w:val="16"/>
              </w:rPr>
              <w:t>2,058</w:t>
            </w:r>
          </w:p>
        </w:tc>
        <w:tc>
          <w:tcPr>
            <w:tcW w:w="864" w:type="dxa"/>
            <w:tcBorders>
              <w:bottom w:val="single" w:sz="6" w:space="0" w:color="000000"/>
            </w:tcBorders>
            <w:shd w:val="clear" w:color="auto" w:fill="auto"/>
            <w:vAlign w:val="center"/>
          </w:tcPr>
          <w:p w:rsidR="00630F6F" w:rsidRPr="00D27A94" w:rsidRDefault="00630F6F" w:rsidP="007471A8">
            <w:pPr>
              <w:contextualSpacing/>
              <w:jc w:val="center"/>
              <w:rPr>
                <w:sz w:val="16"/>
                <w:szCs w:val="16"/>
              </w:rPr>
            </w:pPr>
            <w:r>
              <w:rPr>
                <w:sz w:val="16"/>
                <w:szCs w:val="16"/>
              </w:rPr>
              <w:t>500,016</w:t>
            </w:r>
          </w:p>
        </w:tc>
        <w:tc>
          <w:tcPr>
            <w:tcW w:w="864" w:type="dxa"/>
            <w:tcBorders>
              <w:bottom w:val="single" w:sz="6" w:space="0" w:color="000000"/>
            </w:tcBorders>
            <w:shd w:val="clear" w:color="auto" w:fill="auto"/>
            <w:vAlign w:val="center"/>
          </w:tcPr>
          <w:p w:rsidR="00630F6F" w:rsidRPr="002F223D" w:rsidRDefault="00630F6F" w:rsidP="007471A8">
            <w:pPr>
              <w:contextualSpacing/>
              <w:jc w:val="center"/>
              <w:rPr>
                <w:sz w:val="16"/>
                <w:szCs w:val="16"/>
              </w:rPr>
            </w:pPr>
          </w:p>
        </w:tc>
        <w:tc>
          <w:tcPr>
            <w:tcW w:w="864" w:type="dxa"/>
            <w:tcBorders>
              <w:bottom w:val="single" w:sz="6" w:space="0" w:color="000000"/>
            </w:tcBorders>
            <w:shd w:val="clear" w:color="auto" w:fill="auto"/>
            <w:vAlign w:val="center"/>
          </w:tcPr>
          <w:p w:rsidR="00630F6F" w:rsidRPr="002F223D" w:rsidRDefault="00630F6F" w:rsidP="007471A8">
            <w:pPr>
              <w:contextualSpacing/>
              <w:jc w:val="center"/>
              <w:rPr>
                <w:sz w:val="16"/>
                <w:szCs w:val="16"/>
              </w:rPr>
            </w:pPr>
            <w:r>
              <w:rPr>
                <w:sz w:val="16"/>
                <w:szCs w:val="16"/>
              </w:rPr>
              <w:t>1,968</w:t>
            </w:r>
          </w:p>
        </w:tc>
        <w:tc>
          <w:tcPr>
            <w:tcW w:w="864" w:type="dxa"/>
            <w:tcBorders>
              <w:bottom w:val="single" w:sz="6" w:space="0" w:color="000000"/>
            </w:tcBorders>
            <w:shd w:val="clear" w:color="auto" w:fill="auto"/>
            <w:vAlign w:val="center"/>
          </w:tcPr>
          <w:p w:rsidR="00630F6F" w:rsidRPr="002F223D" w:rsidRDefault="00630F6F" w:rsidP="007471A8">
            <w:pPr>
              <w:contextualSpacing/>
              <w:jc w:val="center"/>
              <w:rPr>
                <w:sz w:val="16"/>
                <w:szCs w:val="16"/>
              </w:rPr>
            </w:pPr>
            <w:r>
              <w:rPr>
                <w:sz w:val="16"/>
                <w:szCs w:val="16"/>
              </w:rPr>
              <w:t>2,058</w:t>
            </w:r>
          </w:p>
        </w:tc>
        <w:tc>
          <w:tcPr>
            <w:tcW w:w="864" w:type="dxa"/>
            <w:tcBorders>
              <w:bottom w:val="single" w:sz="6" w:space="0" w:color="000000"/>
            </w:tcBorders>
            <w:shd w:val="clear" w:color="auto" w:fill="auto"/>
            <w:vAlign w:val="center"/>
          </w:tcPr>
          <w:p w:rsidR="00630F6F" w:rsidRPr="002F223D" w:rsidRDefault="00630F6F" w:rsidP="007471A8">
            <w:pPr>
              <w:contextualSpacing/>
              <w:jc w:val="center"/>
              <w:rPr>
                <w:sz w:val="16"/>
                <w:szCs w:val="16"/>
              </w:rPr>
            </w:pPr>
            <w:r>
              <w:rPr>
                <w:sz w:val="16"/>
                <w:szCs w:val="16"/>
              </w:rPr>
              <w:t>501,984</w:t>
            </w:r>
          </w:p>
        </w:tc>
      </w:tr>
      <w:tr w:rsidR="00630F6F" w:rsidRPr="00537201" w:rsidTr="00B2684D">
        <w:trPr>
          <w:cantSplit/>
          <w:trHeight w:val="778"/>
          <w:jc w:val="center"/>
        </w:trPr>
        <w:tc>
          <w:tcPr>
            <w:tcW w:w="1570" w:type="dxa"/>
            <w:shd w:val="clear" w:color="auto" w:fill="auto"/>
          </w:tcPr>
          <w:p w:rsidR="00630F6F" w:rsidRPr="002F223D" w:rsidRDefault="00630F6F" w:rsidP="007471A8">
            <w:pPr>
              <w:contextualSpacing/>
              <w:rPr>
                <w:b/>
                <w:bCs/>
                <w:sz w:val="16"/>
                <w:szCs w:val="16"/>
              </w:rPr>
            </w:pPr>
          </w:p>
          <w:p w:rsidR="00630F6F" w:rsidRPr="002F223D" w:rsidRDefault="00630F6F" w:rsidP="007471A8">
            <w:pPr>
              <w:tabs>
                <w:tab w:val="left" w:pos="-1440"/>
              </w:tabs>
              <w:contextualSpacing/>
              <w:rPr>
                <w:b/>
                <w:bCs/>
                <w:sz w:val="16"/>
                <w:szCs w:val="16"/>
              </w:rPr>
            </w:pPr>
            <w:r w:rsidRPr="002F223D">
              <w:rPr>
                <w:b/>
                <w:bCs/>
                <w:sz w:val="16"/>
                <w:szCs w:val="16"/>
              </w:rPr>
              <w:t>TYPE/</w:t>
            </w:r>
          </w:p>
          <w:p w:rsidR="00630F6F" w:rsidRPr="002F223D" w:rsidRDefault="00630F6F" w:rsidP="007471A8">
            <w:pPr>
              <w:tabs>
                <w:tab w:val="left" w:pos="-1440"/>
              </w:tabs>
              <w:contextualSpacing/>
              <w:rPr>
                <w:sz w:val="16"/>
                <w:szCs w:val="16"/>
              </w:rPr>
            </w:pPr>
            <w:r w:rsidRPr="002F223D">
              <w:rPr>
                <w:b/>
                <w:bCs/>
                <w:sz w:val="16"/>
                <w:szCs w:val="16"/>
              </w:rPr>
              <w:t>STRATEGIC OBJECTIVE</w:t>
            </w:r>
          </w:p>
        </w:tc>
        <w:tc>
          <w:tcPr>
            <w:tcW w:w="2880" w:type="dxa"/>
            <w:shd w:val="clear" w:color="auto" w:fill="auto"/>
            <w:vAlign w:val="center"/>
          </w:tcPr>
          <w:p w:rsidR="00630F6F" w:rsidRPr="002F223D" w:rsidRDefault="00630F6F" w:rsidP="007471A8">
            <w:pPr>
              <w:tabs>
                <w:tab w:val="left" w:pos="-1440"/>
              </w:tabs>
              <w:contextualSpacing/>
              <w:jc w:val="center"/>
              <w:rPr>
                <w:sz w:val="16"/>
                <w:szCs w:val="16"/>
              </w:rPr>
            </w:pPr>
            <w:r w:rsidRPr="002F223D">
              <w:rPr>
                <w:b/>
                <w:bCs/>
                <w:sz w:val="16"/>
                <w:szCs w:val="16"/>
              </w:rPr>
              <w:t>PERFORMANCE</w:t>
            </w:r>
          </w:p>
        </w:tc>
        <w:tc>
          <w:tcPr>
            <w:tcW w:w="1728" w:type="dxa"/>
            <w:gridSpan w:val="2"/>
            <w:shd w:val="clear" w:color="auto" w:fill="FFAC99"/>
            <w:vAlign w:val="center"/>
          </w:tcPr>
          <w:p w:rsidR="00630F6F" w:rsidRPr="00537201" w:rsidRDefault="00630F6F" w:rsidP="007471A8">
            <w:pPr>
              <w:contextualSpacing/>
              <w:jc w:val="center"/>
              <w:rPr>
                <w:b/>
                <w:bCs/>
                <w:sz w:val="16"/>
                <w:szCs w:val="16"/>
              </w:rPr>
            </w:pPr>
            <w:r w:rsidRPr="00C07527">
              <w:rPr>
                <w:b/>
                <w:bCs/>
                <w:sz w:val="16"/>
                <w:szCs w:val="16"/>
              </w:rPr>
              <w:t xml:space="preserve">FY </w:t>
            </w:r>
            <w:r>
              <w:rPr>
                <w:b/>
                <w:bCs/>
                <w:sz w:val="16"/>
                <w:szCs w:val="16"/>
              </w:rPr>
              <w:t>2011</w:t>
            </w:r>
          </w:p>
        </w:tc>
        <w:tc>
          <w:tcPr>
            <w:tcW w:w="1692" w:type="dxa"/>
            <w:gridSpan w:val="2"/>
            <w:shd w:val="clear" w:color="auto" w:fill="FFAC99"/>
            <w:vAlign w:val="center"/>
          </w:tcPr>
          <w:p w:rsidR="00630F6F" w:rsidRPr="00537201" w:rsidRDefault="00630F6F" w:rsidP="007471A8">
            <w:pPr>
              <w:contextualSpacing/>
              <w:jc w:val="center"/>
              <w:rPr>
                <w:b/>
                <w:bCs/>
                <w:sz w:val="16"/>
                <w:szCs w:val="16"/>
              </w:rPr>
            </w:pPr>
            <w:r w:rsidRPr="00C07527">
              <w:rPr>
                <w:b/>
                <w:bCs/>
                <w:sz w:val="16"/>
                <w:szCs w:val="16"/>
              </w:rPr>
              <w:t xml:space="preserve">FY </w:t>
            </w:r>
            <w:r>
              <w:rPr>
                <w:b/>
                <w:bCs/>
                <w:sz w:val="16"/>
                <w:szCs w:val="16"/>
              </w:rPr>
              <w:t>2011</w:t>
            </w:r>
          </w:p>
        </w:tc>
        <w:tc>
          <w:tcPr>
            <w:tcW w:w="1764" w:type="dxa"/>
            <w:gridSpan w:val="2"/>
            <w:shd w:val="clear" w:color="auto" w:fill="FFAC99"/>
            <w:vAlign w:val="center"/>
          </w:tcPr>
          <w:p w:rsidR="00630F6F" w:rsidRPr="00537201" w:rsidRDefault="00630F6F" w:rsidP="007471A8">
            <w:pPr>
              <w:contextualSpacing/>
              <w:jc w:val="center"/>
              <w:rPr>
                <w:b/>
                <w:bCs/>
                <w:sz w:val="16"/>
                <w:szCs w:val="16"/>
              </w:rPr>
            </w:pPr>
            <w:r>
              <w:rPr>
                <w:b/>
                <w:bCs/>
                <w:sz w:val="16"/>
                <w:szCs w:val="16"/>
              </w:rPr>
              <w:t>FY 2012 Projected</w:t>
            </w:r>
          </w:p>
        </w:tc>
        <w:tc>
          <w:tcPr>
            <w:tcW w:w="1728" w:type="dxa"/>
            <w:gridSpan w:val="2"/>
            <w:shd w:val="clear" w:color="auto" w:fill="FFAC99"/>
            <w:vAlign w:val="center"/>
          </w:tcPr>
          <w:p w:rsidR="00D107D4" w:rsidRDefault="00630F6F" w:rsidP="007471A8">
            <w:pPr>
              <w:contextualSpacing/>
              <w:jc w:val="center"/>
              <w:rPr>
                <w:b/>
                <w:bCs/>
                <w:sz w:val="16"/>
                <w:szCs w:val="16"/>
              </w:rPr>
            </w:pPr>
            <w:r w:rsidRPr="00C07527">
              <w:rPr>
                <w:b/>
                <w:bCs/>
                <w:sz w:val="16"/>
                <w:szCs w:val="16"/>
              </w:rPr>
              <w:t>Curre</w:t>
            </w:r>
            <w:r>
              <w:rPr>
                <w:b/>
                <w:bCs/>
                <w:sz w:val="16"/>
                <w:szCs w:val="16"/>
              </w:rPr>
              <w:t xml:space="preserve">nt Services Adjustments &amp; </w:t>
            </w:r>
          </w:p>
          <w:p w:rsidR="00630F6F" w:rsidRPr="00537201" w:rsidRDefault="00630F6F" w:rsidP="007471A8">
            <w:pPr>
              <w:contextualSpacing/>
              <w:jc w:val="center"/>
              <w:rPr>
                <w:b/>
                <w:bCs/>
                <w:sz w:val="16"/>
                <w:szCs w:val="16"/>
              </w:rPr>
            </w:pPr>
            <w:r>
              <w:rPr>
                <w:b/>
                <w:bCs/>
                <w:sz w:val="16"/>
                <w:szCs w:val="16"/>
              </w:rPr>
              <w:t>FY</w:t>
            </w:r>
            <w:r w:rsidR="00D107D4">
              <w:rPr>
                <w:b/>
                <w:bCs/>
                <w:sz w:val="16"/>
                <w:szCs w:val="16"/>
              </w:rPr>
              <w:t xml:space="preserve"> </w:t>
            </w:r>
            <w:r>
              <w:rPr>
                <w:b/>
                <w:bCs/>
                <w:sz w:val="16"/>
                <w:szCs w:val="16"/>
              </w:rPr>
              <w:t>2013</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728" w:type="dxa"/>
            <w:gridSpan w:val="2"/>
            <w:shd w:val="clear" w:color="auto" w:fill="FFAC99"/>
            <w:vAlign w:val="center"/>
          </w:tcPr>
          <w:p w:rsidR="00630F6F" w:rsidRPr="00537201" w:rsidRDefault="00630F6F" w:rsidP="007471A8">
            <w:pPr>
              <w:contextualSpacing/>
              <w:jc w:val="center"/>
              <w:rPr>
                <w:b/>
                <w:bCs/>
                <w:sz w:val="16"/>
                <w:szCs w:val="16"/>
              </w:rPr>
            </w:pPr>
            <w:r w:rsidRPr="00C07527">
              <w:rPr>
                <w:b/>
                <w:bCs/>
                <w:sz w:val="16"/>
                <w:szCs w:val="16"/>
              </w:rPr>
              <w:t>FY 20</w:t>
            </w:r>
            <w:r>
              <w:rPr>
                <w:b/>
                <w:bCs/>
                <w:sz w:val="16"/>
                <w:szCs w:val="16"/>
              </w:rPr>
              <w:t>13</w:t>
            </w:r>
            <w:r w:rsidRPr="00C07527">
              <w:rPr>
                <w:b/>
                <w:bCs/>
                <w:sz w:val="16"/>
                <w:szCs w:val="16"/>
              </w:rPr>
              <w:t xml:space="preserve"> Request</w:t>
            </w:r>
          </w:p>
        </w:tc>
      </w:tr>
      <w:tr w:rsidR="00630F6F" w:rsidRPr="003D6E76" w:rsidTr="009552BF">
        <w:trPr>
          <w:cantSplit/>
          <w:trHeight w:val="1578"/>
          <w:jc w:val="center"/>
        </w:trPr>
        <w:tc>
          <w:tcPr>
            <w:tcW w:w="1570" w:type="dxa"/>
            <w:shd w:val="clear" w:color="auto" w:fill="auto"/>
            <w:vAlign w:val="center"/>
          </w:tcPr>
          <w:p w:rsidR="00630F6F" w:rsidRPr="002F223D" w:rsidRDefault="00630F6F" w:rsidP="007471A8">
            <w:pPr>
              <w:contextualSpacing/>
              <w:rPr>
                <w:b/>
                <w:bCs/>
                <w:sz w:val="16"/>
                <w:szCs w:val="16"/>
              </w:rPr>
            </w:pPr>
            <w:r w:rsidRPr="002F223D">
              <w:rPr>
                <w:b/>
                <w:bCs/>
                <w:sz w:val="16"/>
                <w:szCs w:val="16"/>
              </w:rPr>
              <w:t>Efficiency Measures</w:t>
            </w:r>
          </w:p>
        </w:tc>
        <w:tc>
          <w:tcPr>
            <w:tcW w:w="2880" w:type="dxa"/>
            <w:shd w:val="clear" w:color="auto" w:fill="auto"/>
            <w:vAlign w:val="center"/>
          </w:tcPr>
          <w:p w:rsidR="00630F6F" w:rsidRPr="008255ED" w:rsidRDefault="00630F6F" w:rsidP="007471A8">
            <w:pPr>
              <w:contextualSpacing/>
              <w:rPr>
                <w:b/>
                <w:bCs/>
                <w:i/>
                <w:sz w:val="16"/>
                <w:szCs w:val="16"/>
              </w:rPr>
            </w:pPr>
            <w:r w:rsidRPr="002F223D">
              <w:rPr>
                <w:b/>
                <w:bCs/>
                <w:sz w:val="16"/>
                <w:szCs w:val="16"/>
              </w:rPr>
              <w:t>IAFIS:</w:t>
            </w:r>
            <w:r>
              <w:rPr>
                <w:b/>
                <w:bCs/>
                <w:sz w:val="16"/>
                <w:szCs w:val="16"/>
              </w:rPr>
              <w:t xml:space="preserve"> [Discontinued measures]</w:t>
            </w:r>
          </w:p>
          <w:p w:rsidR="00630F6F" w:rsidRPr="002F223D" w:rsidRDefault="00630F6F" w:rsidP="007471A8">
            <w:pPr>
              <w:contextualSpacing/>
              <w:rPr>
                <w:sz w:val="16"/>
                <w:szCs w:val="16"/>
              </w:rPr>
            </w:pPr>
            <w:r w:rsidRPr="002F223D">
              <w:rPr>
                <w:sz w:val="16"/>
                <w:szCs w:val="16"/>
              </w:rPr>
              <w:t xml:space="preserve">% of electronically submitted fingerprint identification requests: </w:t>
            </w:r>
          </w:p>
          <w:p w:rsidR="00630F6F" w:rsidRPr="002F223D" w:rsidRDefault="00630F6F" w:rsidP="007471A8">
            <w:pPr>
              <w:contextualSpacing/>
              <w:rPr>
                <w:sz w:val="16"/>
                <w:szCs w:val="16"/>
              </w:rPr>
            </w:pPr>
            <w:r w:rsidRPr="002F223D">
              <w:rPr>
                <w:sz w:val="16"/>
                <w:szCs w:val="16"/>
                <w:u w:val="single"/>
              </w:rPr>
              <w:t>Criminal</w:t>
            </w:r>
            <w:r w:rsidRPr="002F223D">
              <w:rPr>
                <w:sz w:val="16"/>
                <w:szCs w:val="16"/>
              </w:rPr>
              <w:t>:</w:t>
            </w:r>
          </w:p>
          <w:p w:rsidR="00630F6F" w:rsidRPr="002F223D" w:rsidRDefault="00630F6F" w:rsidP="007471A8">
            <w:pPr>
              <w:numPr>
                <w:ilvl w:val="0"/>
                <w:numId w:val="49"/>
              </w:numPr>
              <w:tabs>
                <w:tab w:val="clear" w:pos="936"/>
              </w:tabs>
              <w:ind w:left="99" w:hanging="99"/>
              <w:contextualSpacing/>
              <w:rPr>
                <w:sz w:val="16"/>
                <w:szCs w:val="16"/>
              </w:rPr>
            </w:pPr>
            <w:r w:rsidRPr="002F223D">
              <w:rPr>
                <w:sz w:val="16"/>
                <w:szCs w:val="16"/>
              </w:rPr>
              <w:t>General checks completed w/in 2 hours</w:t>
            </w:r>
          </w:p>
          <w:p w:rsidR="00630F6F" w:rsidRPr="002F223D" w:rsidRDefault="00630F6F" w:rsidP="007471A8">
            <w:pPr>
              <w:numPr>
                <w:ilvl w:val="0"/>
                <w:numId w:val="50"/>
              </w:numPr>
              <w:tabs>
                <w:tab w:val="clear" w:pos="936"/>
              </w:tabs>
              <w:ind w:left="99" w:hanging="99"/>
              <w:contextualSpacing/>
              <w:rPr>
                <w:sz w:val="16"/>
                <w:szCs w:val="16"/>
              </w:rPr>
            </w:pPr>
            <w:r w:rsidRPr="002F223D">
              <w:rPr>
                <w:sz w:val="16"/>
                <w:szCs w:val="16"/>
              </w:rPr>
              <w:t>DHS checks completed w/in 72 hours</w:t>
            </w:r>
          </w:p>
          <w:p w:rsidR="00630F6F" w:rsidRPr="002F223D" w:rsidRDefault="00630F6F" w:rsidP="007471A8">
            <w:pPr>
              <w:contextualSpacing/>
              <w:rPr>
                <w:sz w:val="16"/>
                <w:szCs w:val="16"/>
              </w:rPr>
            </w:pPr>
            <w:r w:rsidRPr="002F223D">
              <w:rPr>
                <w:sz w:val="16"/>
                <w:szCs w:val="16"/>
                <w:u w:val="single"/>
              </w:rPr>
              <w:t>Civil</w:t>
            </w:r>
            <w:r w:rsidRPr="002F223D">
              <w:rPr>
                <w:sz w:val="16"/>
                <w:szCs w:val="16"/>
              </w:rPr>
              <w:t xml:space="preserve">: </w:t>
            </w:r>
          </w:p>
          <w:p w:rsidR="00630F6F" w:rsidRPr="002F223D" w:rsidRDefault="00630F6F" w:rsidP="007471A8">
            <w:pPr>
              <w:numPr>
                <w:ilvl w:val="0"/>
                <w:numId w:val="49"/>
              </w:numPr>
              <w:tabs>
                <w:tab w:val="clear" w:pos="936"/>
              </w:tabs>
              <w:ind w:left="99" w:hanging="99"/>
              <w:contextualSpacing/>
              <w:rPr>
                <w:sz w:val="16"/>
                <w:szCs w:val="16"/>
              </w:rPr>
            </w:pPr>
            <w:r w:rsidRPr="002F223D">
              <w:rPr>
                <w:sz w:val="16"/>
                <w:szCs w:val="16"/>
              </w:rPr>
              <w:t>General checks completed w/in 24 hours</w:t>
            </w:r>
          </w:p>
          <w:p w:rsidR="00630F6F" w:rsidRPr="002F223D" w:rsidRDefault="00630F6F" w:rsidP="007471A8">
            <w:pPr>
              <w:numPr>
                <w:ilvl w:val="0"/>
                <w:numId w:val="50"/>
              </w:numPr>
              <w:tabs>
                <w:tab w:val="clear" w:pos="936"/>
              </w:tabs>
              <w:ind w:left="99" w:hanging="99"/>
              <w:contextualSpacing/>
              <w:rPr>
                <w:sz w:val="16"/>
                <w:szCs w:val="16"/>
              </w:rPr>
            </w:pPr>
            <w:r w:rsidRPr="002F223D">
              <w:rPr>
                <w:sz w:val="16"/>
                <w:szCs w:val="16"/>
              </w:rPr>
              <w:t>DOS checks completed w/in 15 minutes</w:t>
            </w:r>
          </w:p>
        </w:tc>
        <w:tc>
          <w:tcPr>
            <w:tcW w:w="1728" w:type="dxa"/>
            <w:gridSpan w:val="2"/>
            <w:shd w:val="clear" w:color="auto" w:fill="auto"/>
            <w:vAlign w:val="bottom"/>
          </w:tcPr>
          <w:p w:rsidR="00630F6F" w:rsidRPr="002F223D" w:rsidRDefault="00630F6F" w:rsidP="007471A8">
            <w:pPr>
              <w:tabs>
                <w:tab w:val="left" w:pos="-1440"/>
              </w:tabs>
              <w:contextualSpacing/>
              <w:jc w:val="right"/>
              <w:rPr>
                <w:sz w:val="16"/>
                <w:szCs w:val="16"/>
              </w:rPr>
            </w:pPr>
            <w:r w:rsidRPr="002F223D">
              <w:rPr>
                <w:sz w:val="16"/>
                <w:szCs w:val="16"/>
              </w:rPr>
              <w:t>95.0%</w:t>
            </w:r>
          </w:p>
          <w:p w:rsidR="00630F6F" w:rsidRPr="002F223D" w:rsidRDefault="00630F6F" w:rsidP="007471A8">
            <w:pPr>
              <w:tabs>
                <w:tab w:val="left" w:pos="-1440"/>
              </w:tabs>
              <w:contextualSpacing/>
              <w:jc w:val="right"/>
              <w:rPr>
                <w:sz w:val="16"/>
                <w:szCs w:val="16"/>
              </w:rPr>
            </w:pPr>
            <w:r w:rsidRPr="002F223D">
              <w:rPr>
                <w:sz w:val="16"/>
                <w:szCs w:val="16"/>
              </w:rPr>
              <w:t>95.0%</w:t>
            </w:r>
          </w:p>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99.0%</w:t>
            </w:r>
          </w:p>
          <w:p w:rsidR="00630F6F" w:rsidRPr="002F223D" w:rsidRDefault="00630F6F" w:rsidP="007471A8">
            <w:pPr>
              <w:tabs>
                <w:tab w:val="left" w:pos="-1440"/>
              </w:tabs>
              <w:contextualSpacing/>
              <w:jc w:val="right"/>
              <w:rPr>
                <w:sz w:val="16"/>
                <w:szCs w:val="16"/>
              </w:rPr>
            </w:pPr>
            <w:r w:rsidRPr="002F223D">
              <w:rPr>
                <w:sz w:val="16"/>
                <w:szCs w:val="16"/>
              </w:rPr>
              <w:t>97.0%</w:t>
            </w:r>
          </w:p>
        </w:tc>
        <w:tc>
          <w:tcPr>
            <w:tcW w:w="1692" w:type="dxa"/>
            <w:gridSpan w:val="2"/>
            <w:shd w:val="clear" w:color="auto" w:fill="auto"/>
            <w:vAlign w:val="bottom"/>
          </w:tcPr>
          <w:p w:rsidR="00630F6F" w:rsidRDefault="00630F6F" w:rsidP="007471A8">
            <w:pPr>
              <w:tabs>
                <w:tab w:val="left" w:pos="-1440"/>
              </w:tabs>
              <w:contextualSpacing/>
              <w:jc w:val="right"/>
              <w:rPr>
                <w:sz w:val="16"/>
                <w:szCs w:val="16"/>
              </w:rPr>
            </w:pPr>
            <w:r>
              <w:rPr>
                <w:sz w:val="16"/>
                <w:szCs w:val="16"/>
              </w:rPr>
              <w:t>99.3%</w:t>
            </w:r>
          </w:p>
          <w:p w:rsidR="00630F6F" w:rsidRDefault="00630F6F" w:rsidP="007471A8">
            <w:pPr>
              <w:tabs>
                <w:tab w:val="left" w:pos="-1440"/>
              </w:tabs>
              <w:contextualSpacing/>
              <w:jc w:val="right"/>
              <w:rPr>
                <w:sz w:val="16"/>
                <w:szCs w:val="16"/>
              </w:rPr>
            </w:pPr>
            <w:r>
              <w:rPr>
                <w:sz w:val="16"/>
                <w:szCs w:val="16"/>
              </w:rPr>
              <w:t>100%</w:t>
            </w:r>
          </w:p>
          <w:p w:rsidR="00630F6F" w:rsidRDefault="00630F6F" w:rsidP="007471A8">
            <w:pPr>
              <w:tabs>
                <w:tab w:val="left" w:pos="-1440"/>
              </w:tabs>
              <w:contextualSpacing/>
              <w:jc w:val="right"/>
              <w:rPr>
                <w:sz w:val="16"/>
                <w:szCs w:val="16"/>
              </w:rPr>
            </w:pPr>
          </w:p>
          <w:p w:rsidR="00630F6F" w:rsidRDefault="00630F6F" w:rsidP="007471A8">
            <w:pPr>
              <w:tabs>
                <w:tab w:val="left" w:pos="-1440"/>
              </w:tabs>
              <w:contextualSpacing/>
              <w:jc w:val="right"/>
              <w:rPr>
                <w:sz w:val="16"/>
                <w:szCs w:val="16"/>
              </w:rPr>
            </w:pPr>
          </w:p>
          <w:p w:rsidR="00630F6F" w:rsidRDefault="00630F6F" w:rsidP="007471A8">
            <w:pPr>
              <w:tabs>
                <w:tab w:val="left" w:pos="-1440"/>
              </w:tabs>
              <w:contextualSpacing/>
              <w:jc w:val="right"/>
              <w:rPr>
                <w:sz w:val="16"/>
                <w:szCs w:val="16"/>
              </w:rPr>
            </w:pPr>
            <w:r>
              <w:rPr>
                <w:sz w:val="16"/>
                <w:szCs w:val="16"/>
              </w:rPr>
              <w:t>99.8%</w:t>
            </w:r>
          </w:p>
          <w:p w:rsidR="00630F6F" w:rsidRPr="007402B9" w:rsidRDefault="00630F6F" w:rsidP="007471A8">
            <w:pPr>
              <w:tabs>
                <w:tab w:val="left" w:pos="-1440"/>
              </w:tabs>
              <w:contextualSpacing/>
              <w:jc w:val="right"/>
              <w:rPr>
                <w:sz w:val="16"/>
                <w:szCs w:val="16"/>
              </w:rPr>
            </w:pPr>
            <w:r>
              <w:rPr>
                <w:sz w:val="16"/>
                <w:szCs w:val="16"/>
              </w:rPr>
              <w:t>99.9%</w:t>
            </w:r>
          </w:p>
        </w:tc>
        <w:tc>
          <w:tcPr>
            <w:tcW w:w="1764" w:type="dxa"/>
            <w:gridSpan w:val="2"/>
            <w:shd w:val="clear" w:color="auto" w:fill="auto"/>
            <w:vAlign w:val="bottom"/>
          </w:tcPr>
          <w:p w:rsidR="00630F6F" w:rsidRDefault="00630F6F" w:rsidP="007471A8">
            <w:pPr>
              <w:tabs>
                <w:tab w:val="left" w:pos="-1440"/>
              </w:tabs>
              <w:contextualSpacing/>
              <w:jc w:val="right"/>
              <w:rPr>
                <w:sz w:val="16"/>
                <w:szCs w:val="16"/>
              </w:rPr>
            </w:pPr>
            <w:r>
              <w:rPr>
                <w:sz w:val="16"/>
                <w:szCs w:val="16"/>
              </w:rPr>
              <w:t>N/A</w:t>
            </w:r>
          </w:p>
          <w:p w:rsidR="00630F6F" w:rsidRDefault="00630F6F" w:rsidP="007471A8">
            <w:pPr>
              <w:tabs>
                <w:tab w:val="left" w:pos="-1440"/>
              </w:tabs>
              <w:contextualSpacing/>
              <w:jc w:val="right"/>
              <w:rPr>
                <w:sz w:val="16"/>
                <w:szCs w:val="16"/>
              </w:rPr>
            </w:pPr>
            <w:r>
              <w:rPr>
                <w:sz w:val="16"/>
                <w:szCs w:val="16"/>
              </w:rPr>
              <w:t>N/A</w:t>
            </w:r>
          </w:p>
          <w:p w:rsidR="00630F6F" w:rsidRDefault="00630F6F" w:rsidP="007471A8">
            <w:pPr>
              <w:tabs>
                <w:tab w:val="left" w:pos="-1440"/>
              </w:tabs>
              <w:contextualSpacing/>
              <w:jc w:val="right"/>
              <w:rPr>
                <w:sz w:val="16"/>
                <w:szCs w:val="16"/>
              </w:rPr>
            </w:pPr>
          </w:p>
          <w:p w:rsidR="00630F6F" w:rsidRDefault="00630F6F" w:rsidP="007471A8">
            <w:pPr>
              <w:tabs>
                <w:tab w:val="left" w:pos="-1440"/>
              </w:tabs>
              <w:contextualSpacing/>
              <w:rPr>
                <w:sz w:val="16"/>
                <w:szCs w:val="16"/>
              </w:rPr>
            </w:pPr>
          </w:p>
          <w:p w:rsidR="00630F6F" w:rsidRDefault="00630F6F" w:rsidP="007471A8">
            <w:pPr>
              <w:tabs>
                <w:tab w:val="left" w:pos="-1440"/>
              </w:tabs>
              <w:contextualSpacing/>
              <w:jc w:val="right"/>
              <w:rPr>
                <w:sz w:val="16"/>
                <w:szCs w:val="16"/>
              </w:rPr>
            </w:pPr>
            <w:r>
              <w:rPr>
                <w:sz w:val="16"/>
                <w:szCs w:val="16"/>
              </w:rPr>
              <w:t>N/A</w:t>
            </w:r>
          </w:p>
          <w:p w:rsidR="00630F6F" w:rsidRPr="00EC6A39" w:rsidRDefault="00630F6F" w:rsidP="007471A8">
            <w:pPr>
              <w:tabs>
                <w:tab w:val="left" w:pos="-1440"/>
              </w:tabs>
              <w:contextualSpacing/>
              <w:jc w:val="right"/>
              <w:rPr>
                <w:sz w:val="16"/>
                <w:szCs w:val="16"/>
              </w:rPr>
            </w:pPr>
            <w:r>
              <w:rPr>
                <w:sz w:val="16"/>
                <w:szCs w:val="16"/>
              </w:rPr>
              <w:t>N/A</w:t>
            </w:r>
          </w:p>
        </w:tc>
        <w:tc>
          <w:tcPr>
            <w:tcW w:w="1728" w:type="dxa"/>
            <w:gridSpan w:val="2"/>
            <w:shd w:val="clear" w:color="auto" w:fill="auto"/>
            <w:vAlign w:val="bottom"/>
          </w:tcPr>
          <w:p w:rsidR="00630F6F" w:rsidRPr="003D6E76" w:rsidRDefault="00630F6F" w:rsidP="007471A8">
            <w:pPr>
              <w:tabs>
                <w:tab w:val="left" w:pos="-1440"/>
              </w:tabs>
              <w:contextualSpacing/>
              <w:jc w:val="right"/>
              <w:rPr>
                <w:sz w:val="16"/>
                <w:szCs w:val="16"/>
              </w:rPr>
            </w:pPr>
            <w:r w:rsidRPr="003D6E76">
              <w:rPr>
                <w:sz w:val="16"/>
                <w:szCs w:val="16"/>
              </w:rPr>
              <w:t>-</w:t>
            </w:r>
          </w:p>
          <w:p w:rsidR="00630F6F" w:rsidRPr="003D6E76" w:rsidRDefault="00630F6F" w:rsidP="007471A8">
            <w:pPr>
              <w:tabs>
                <w:tab w:val="left" w:pos="-1440"/>
              </w:tabs>
              <w:contextualSpacing/>
              <w:jc w:val="right"/>
              <w:rPr>
                <w:sz w:val="16"/>
                <w:szCs w:val="16"/>
              </w:rPr>
            </w:pPr>
            <w:r w:rsidRPr="003D6E76">
              <w:rPr>
                <w:sz w:val="16"/>
                <w:szCs w:val="16"/>
              </w:rPr>
              <w:t>-</w:t>
            </w:r>
          </w:p>
          <w:p w:rsidR="00630F6F" w:rsidRPr="003D6E76" w:rsidRDefault="00630F6F" w:rsidP="007471A8">
            <w:pPr>
              <w:tabs>
                <w:tab w:val="left" w:pos="-1440"/>
              </w:tabs>
              <w:contextualSpacing/>
              <w:jc w:val="right"/>
              <w:rPr>
                <w:sz w:val="16"/>
                <w:szCs w:val="16"/>
              </w:rPr>
            </w:pPr>
          </w:p>
          <w:p w:rsidR="00630F6F" w:rsidRPr="003D6E76" w:rsidRDefault="00630F6F" w:rsidP="007471A8">
            <w:pPr>
              <w:tabs>
                <w:tab w:val="left" w:pos="-1440"/>
              </w:tabs>
              <w:contextualSpacing/>
              <w:jc w:val="right"/>
              <w:rPr>
                <w:sz w:val="16"/>
                <w:szCs w:val="16"/>
              </w:rPr>
            </w:pPr>
            <w:r w:rsidRPr="003D6E76">
              <w:rPr>
                <w:sz w:val="16"/>
                <w:szCs w:val="16"/>
              </w:rPr>
              <w:t>-</w:t>
            </w:r>
          </w:p>
          <w:p w:rsidR="00630F6F" w:rsidRPr="003D6E76" w:rsidRDefault="00630F6F" w:rsidP="007471A8">
            <w:pPr>
              <w:tabs>
                <w:tab w:val="left" w:pos="-1440"/>
              </w:tabs>
              <w:contextualSpacing/>
              <w:jc w:val="right"/>
              <w:rPr>
                <w:sz w:val="16"/>
                <w:szCs w:val="16"/>
              </w:rPr>
            </w:pPr>
            <w:r w:rsidRPr="003D6E76">
              <w:rPr>
                <w:sz w:val="16"/>
                <w:szCs w:val="16"/>
              </w:rPr>
              <w:t>-</w:t>
            </w:r>
          </w:p>
        </w:tc>
        <w:tc>
          <w:tcPr>
            <w:tcW w:w="1728" w:type="dxa"/>
            <w:gridSpan w:val="2"/>
            <w:shd w:val="clear" w:color="auto" w:fill="auto"/>
            <w:vAlign w:val="bottom"/>
          </w:tcPr>
          <w:p w:rsidR="00630F6F" w:rsidRPr="003D6E76" w:rsidRDefault="00630F6F" w:rsidP="007471A8">
            <w:pPr>
              <w:tabs>
                <w:tab w:val="left" w:pos="-1440"/>
              </w:tabs>
              <w:contextualSpacing/>
              <w:jc w:val="right"/>
              <w:rPr>
                <w:sz w:val="16"/>
                <w:szCs w:val="16"/>
              </w:rPr>
            </w:pPr>
            <w:r w:rsidRPr="003D6E76">
              <w:rPr>
                <w:sz w:val="16"/>
                <w:szCs w:val="16"/>
              </w:rPr>
              <w:t>N/A</w:t>
            </w:r>
          </w:p>
          <w:p w:rsidR="00630F6F" w:rsidRPr="003D6E76" w:rsidRDefault="00630F6F" w:rsidP="007471A8">
            <w:pPr>
              <w:tabs>
                <w:tab w:val="left" w:pos="-1440"/>
              </w:tabs>
              <w:contextualSpacing/>
              <w:jc w:val="right"/>
              <w:rPr>
                <w:sz w:val="16"/>
                <w:szCs w:val="16"/>
              </w:rPr>
            </w:pPr>
            <w:r w:rsidRPr="003D6E76">
              <w:rPr>
                <w:sz w:val="16"/>
                <w:szCs w:val="16"/>
              </w:rPr>
              <w:t>N/A</w:t>
            </w:r>
          </w:p>
          <w:p w:rsidR="00630F6F" w:rsidRPr="003D6E76" w:rsidRDefault="00630F6F" w:rsidP="007471A8">
            <w:pPr>
              <w:tabs>
                <w:tab w:val="left" w:pos="-1440"/>
              </w:tabs>
              <w:contextualSpacing/>
              <w:jc w:val="right"/>
              <w:rPr>
                <w:sz w:val="16"/>
                <w:szCs w:val="16"/>
              </w:rPr>
            </w:pPr>
          </w:p>
          <w:p w:rsidR="00630F6F" w:rsidRPr="003D6E76" w:rsidRDefault="00630F6F" w:rsidP="007471A8">
            <w:pPr>
              <w:tabs>
                <w:tab w:val="left" w:pos="-1440"/>
              </w:tabs>
              <w:contextualSpacing/>
              <w:rPr>
                <w:sz w:val="16"/>
                <w:szCs w:val="16"/>
              </w:rPr>
            </w:pPr>
          </w:p>
          <w:p w:rsidR="00630F6F" w:rsidRPr="003D6E76" w:rsidRDefault="00630F6F" w:rsidP="007471A8">
            <w:pPr>
              <w:tabs>
                <w:tab w:val="left" w:pos="-1440"/>
              </w:tabs>
              <w:contextualSpacing/>
              <w:jc w:val="right"/>
              <w:rPr>
                <w:sz w:val="16"/>
                <w:szCs w:val="16"/>
              </w:rPr>
            </w:pPr>
            <w:r w:rsidRPr="003D6E76">
              <w:rPr>
                <w:sz w:val="16"/>
                <w:szCs w:val="16"/>
              </w:rPr>
              <w:t>N/A</w:t>
            </w:r>
          </w:p>
          <w:p w:rsidR="00630F6F" w:rsidRPr="003D6E76" w:rsidRDefault="00630F6F" w:rsidP="007471A8">
            <w:pPr>
              <w:tabs>
                <w:tab w:val="left" w:pos="-1440"/>
              </w:tabs>
              <w:contextualSpacing/>
              <w:jc w:val="right"/>
              <w:rPr>
                <w:sz w:val="16"/>
                <w:szCs w:val="16"/>
              </w:rPr>
            </w:pPr>
            <w:r w:rsidRPr="003D6E76">
              <w:rPr>
                <w:sz w:val="16"/>
                <w:szCs w:val="16"/>
              </w:rPr>
              <w:t>N/A</w:t>
            </w:r>
          </w:p>
        </w:tc>
      </w:tr>
      <w:tr w:rsidR="00630F6F" w:rsidRPr="003D6E76" w:rsidTr="009552BF">
        <w:trPr>
          <w:cantSplit/>
          <w:trHeight w:val="617"/>
          <w:jc w:val="center"/>
        </w:trPr>
        <w:tc>
          <w:tcPr>
            <w:tcW w:w="1570"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2880" w:type="dxa"/>
            <w:shd w:val="clear" w:color="auto" w:fill="auto"/>
            <w:vAlign w:val="center"/>
          </w:tcPr>
          <w:p w:rsidR="00630F6F" w:rsidRPr="00F71A82" w:rsidRDefault="00630F6F" w:rsidP="007471A8">
            <w:pPr>
              <w:contextualSpacing/>
              <w:rPr>
                <w:bCs/>
                <w:i/>
                <w:sz w:val="16"/>
                <w:szCs w:val="16"/>
              </w:rPr>
            </w:pPr>
            <w:r w:rsidRPr="002F223D">
              <w:rPr>
                <w:b/>
                <w:bCs/>
                <w:sz w:val="16"/>
                <w:szCs w:val="16"/>
              </w:rPr>
              <w:t xml:space="preserve"> </w:t>
            </w:r>
            <w:r>
              <w:rPr>
                <w:b/>
                <w:bCs/>
                <w:sz w:val="16"/>
                <w:szCs w:val="16"/>
              </w:rPr>
              <w:t>IAFIS/NGI: [New measures]</w:t>
            </w:r>
          </w:p>
          <w:p w:rsidR="00630F6F" w:rsidRPr="00963407" w:rsidRDefault="00630F6F" w:rsidP="007471A8">
            <w:pPr>
              <w:numPr>
                <w:ilvl w:val="0"/>
                <w:numId w:val="49"/>
              </w:numPr>
              <w:tabs>
                <w:tab w:val="clear" w:pos="936"/>
              </w:tabs>
              <w:ind w:left="99" w:hanging="99"/>
              <w:contextualSpacing/>
              <w:rPr>
                <w:b/>
                <w:bCs/>
                <w:sz w:val="16"/>
                <w:szCs w:val="16"/>
              </w:rPr>
            </w:pPr>
            <w:r>
              <w:rPr>
                <w:bCs/>
                <w:sz w:val="16"/>
                <w:szCs w:val="16"/>
              </w:rPr>
              <w:t>Average daily identification searches</w:t>
            </w:r>
          </w:p>
          <w:p w:rsidR="00630F6F" w:rsidRPr="00963407" w:rsidRDefault="00630F6F" w:rsidP="007471A8">
            <w:pPr>
              <w:numPr>
                <w:ilvl w:val="0"/>
                <w:numId w:val="49"/>
              </w:numPr>
              <w:tabs>
                <w:tab w:val="clear" w:pos="936"/>
              </w:tabs>
              <w:ind w:left="99" w:hanging="99"/>
              <w:contextualSpacing/>
              <w:rPr>
                <w:b/>
                <w:bCs/>
                <w:sz w:val="16"/>
                <w:szCs w:val="16"/>
              </w:rPr>
            </w:pPr>
            <w:r>
              <w:rPr>
                <w:bCs/>
                <w:sz w:val="16"/>
                <w:szCs w:val="16"/>
              </w:rPr>
              <w:t xml:space="preserve">Average daily latent searches </w:t>
            </w:r>
          </w:p>
          <w:p w:rsidR="00630F6F" w:rsidRPr="00F71A82" w:rsidRDefault="00630F6F" w:rsidP="007471A8">
            <w:pPr>
              <w:numPr>
                <w:ilvl w:val="0"/>
                <w:numId w:val="49"/>
              </w:numPr>
              <w:tabs>
                <w:tab w:val="clear" w:pos="936"/>
              </w:tabs>
              <w:ind w:left="99" w:hanging="99"/>
              <w:contextualSpacing/>
              <w:rPr>
                <w:b/>
                <w:bCs/>
                <w:sz w:val="16"/>
                <w:szCs w:val="16"/>
              </w:rPr>
            </w:pPr>
            <w:r>
              <w:rPr>
                <w:sz w:val="16"/>
                <w:szCs w:val="16"/>
              </w:rPr>
              <w:t>Response time for routine criminal submissions</w:t>
            </w:r>
          </w:p>
          <w:p w:rsidR="00630F6F" w:rsidRPr="00963407" w:rsidRDefault="00630F6F" w:rsidP="007471A8">
            <w:pPr>
              <w:numPr>
                <w:ilvl w:val="0"/>
                <w:numId w:val="49"/>
              </w:numPr>
              <w:tabs>
                <w:tab w:val="clear" w:pos="936"/>
              </w:tabs>
              <w:ind w:left="99" w:hanging="99"/>
              <w:contextualSpacing/>
              <w:rPr>
                <w:b/>
                <w:bCs/>
                <w:sz w:val="16"/>
                <w:szCs w:val="16"/>
              </w:rPr>
            </w:pPr>
            <w:r>
              <w:rPr>
                <w:sz w:val="16"/>
                <w:szCs w:val="16"/>
              </w:rPr>
              <w:t>Response time for routine civil submissions</w:t>
            </w:r>
          </w:p>
        </w:tc>
        <w:tc>
          <w:tcPr>
            <w:tcW w:w="1728" w:type="dxa"/>
            <w:gridSpan w:val="2"/>
            <w:shd w:val="clear" w:color="auto" w:fill="auto"/>
            <w:vAlign w:val="bottom"/>
          </w:tcPr>
          <w:p w:rsidR="00630F6F" w:rsidRDefault="00630F6F" w:rsidP="007471A8">
            <w:pPr>
              <w:contextualSpacing/>
              <w:jc w:val="right"/>
              <w:rPr>
                <w:sz w:val="16"/>
                <w:szCs w:val="16"/>
              </w:rPr>
            </w:pPr>
            <w:r>
              <w:rPr>
                <w:sz w:val="16"/>
                <w:szCs w:val="16"/>
              </w:rPr>
              <w:t>159,970</w:t>
            </w:r>
          </w:p>
          <w:p w:rsidR="00630F6F" w:rsidRDefault="00630F6F" w:rsidP="007471A8">
            <w:pPr>
              <w:contextualSpacing/>
              <w:jc w:val="right"/>
              <w:rPr>
                <w:sz w:val="16"/>
                <w:szCs w:val="16"/>
              </w:rPr>
            </w:pPr>
            <w:r>
              <w:rPr>
                <w:sz w:val="16"/>
                <w:szCs w:val="16"/>
              </w:rPr>
              <w:t>624</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2 hours</w:t>
            </w:r>
          </w:p>
          <w:p w:rsidR="00630F6F" w:rsidRDefault="00630F6F" w:rsidP="007471A8">
            <w:pPr>
              <w:contextualSpacing/>
              <w:jc w:val="right"/>
              <w:rPr>
                <w:sz w:val="16"/>
                <w:szCs w:val="16"/>
              </w:rPr>
            </w:pPr>
          </w:p>
          <w:p w:rsidR="00630F6F" w:rsidRPr="002F223D" w:rsidRDefault="00630F6F" w:rsidP="007471A8">
            <w:pPr>
              <w:contextualSpacing/>
              <w:jc w:val="right"/>
              <w:rPr>
                <w:sz w:val="16"/>
                <w:szCs w:val="16"/>
              </w:rPr>
            </w:pPr>
            <w:r>
              <w:rPr>
                <w:sz w:val="16"/>
                <w:szCs w:val="16"/>
              </w:rPr>
              <w:t>24 hours</w:t>
            </w:r>
          </w:p>
        </w:tc>
        <w:tc>
          <w:tcPr>
            <w:tcW w:w="1692" w:type="dxa"/>
            <w:gridSpan w:val="2"/>
            <w:shd w:val="clear" w:color="auto" w:fill="auto"/>
            <w:vAlign w:val="bottom"/>
          </w:tcPr>
          <w:p w:rsidR="00630F6F" w:rsidRDefault="00630F6F" w:rsidP="007471A8">
            <w:pPr>
              <w:tabs>
                <w:tab w:val="left" w:pos="-1440"/>
              </w:tabs>
              <w:contextualSpacing/>
              <w:jc w:val="right"/>
              <w:rPr>
                <w:sz w:val="16"/>
                <w:szCs w:val="16"/>
              </w:rPr>
            </w:pPr>
            <w:r>
              <w:rPr>
                <w:sz w:val="16"/>
                <w:szCs w:val="16"/>
              </w:rPr>
              <w:t>139,125</w:t>
            </w:r>
          </w:p>
          <w:p w:rsidR="00630F6F" w:rsidRDefault="00630F6F" w:rsidP="007471A8">
            <w:pPr>
              <w:tabs>
                <w:tab w:val="left" w:pos="-1440"/>
              </w:tabs>
              <w:contextualSpacing/>
              <w:jc w:val="right"/>
              <w:rPr>
                <w:sz w:val="16"/>
                <w:szCs w:val="16"/>
              </w:rPr>
            </w:pPr>
            <w:r>
              <w:rPr>
                <w:sz w:val="16"/>
                <w:szCs w:val="16"/>
              </w:rPr>
              <w:t>597</w:t>
            </w:r>
          </w:p>
          <w:p w:rsidR="00630F6F" w:rsidRDefault="00630F6F" w:rsidP="007471A8">
            <w:pPr>
              <w:tabs>
                <w:tab w:val="left" w:pos="-1440"/>
              </w:tabs>
              <w:contextualSpacing/>
              <w:jc w:val="right"/>
              <w:rPr>
                <w:sz w:val="16"/>
                <w:szCs w:val="16"/>
              </w:rPr>
            </w:pPr>
          </w:p>
          <w:p w:rsidR="00630F6F" w:rsidRDefault="00630F6F" w:rsidP="007471A8">
            <w:pPr>
              <w:tabs>
                <w:tab w:val="left" w:pos="-1440"/>
              </w:tabs>
              <w:contextualSpacing/>
              <w:jc w:val="right"/>
              <w:rPr>
                <w:sz w:val="16"/>
                <w:szCs w:val="16"/>
              </w:rPr>
            </w:pPr>
            <w:r>
              <w:rPr>
                <w:sz w:val="16"/>
                <w:szCs w:val="16"/>
              </w:rPr>
              <w:t>10 minutes</w:t>
            </w:r>
          </w:p>
          <w:p w:rsidR="00630F6F" w:rsidRDefault="00630F6F" w:rsidP="007471A8">
            <w:pPr>
              <w:tabs>
                <w:tab w:val="left" w:pos="-1440"/>
              </w:tabs>
              <w:contextualSpacing/>
              <w:jc w:val="right"/>
              <w:rPr>
                <w:sz w:val="16"/>
                <w:szCs w:val="16"/>
              </w:rPr>
            </w:pPr>
          </w:p>
          <w:p w:rsidR="00630F6F" w:rsidRPr="00452885" w:rsidRDefault="00630F6F" w:rsidP="007471A8">
            <w:pPr>
              <w:tabs>
                <w:tab w:val="left" w:pos="-1440"/>
              </w:tabs>
              <w:contextualSpacing/>
              <w:jc w:val="right"/>
              <w:rPr>
                <w:sz w:val="16"/>
                <w:szCs w:val="16"/>
              </w:rPr>
            </w:pPr>
            <w:r>
              <w:rPr>
                <w:sz w:val="16"/>
                <w:szCs w:val="16"/>
              </w:rPr>
              <w:t>1 hour, 5 minutes</w:t>
            </w:r>
          </w:p>
        </w:tc>
        <w:tc>
          <w:tcPr>
            <w:tcW w:w="1764" w:type="dxa"/>
            <w:gridSpan w:val="2"/>
            <w:shd w:val="clear" w:color="auto" w:fill="auto"/>
            <w:vAlign w:val="bottom"/>
          </w:tcPr>
          <w:p w:rsidR="00630F6F" w:rsidRPr="00095084" w:rsidRDefault="00630F6F" w:rsidP="007471A8">
            <w:pPr>
              <w:contextualSpacing/>
              <w:jc w:val="right"/>
              <w:rPr>
                <w:sz w:val="16"/>
                <w:szCs w:val="16"/>
              </w:rPr>
            </w:pPr>
            <w:r w:rsidRPr="00095084">
              <w:rPr>
                <w:sz w:val="16"/>
                <w:szCs w:val="16"/>
              </w:rPr>
              <w:t>187,706</w:t>
            </w:r>
          </w:p>
          <w:p w:rsidR="00630F6F" w:rsidRPr="00095084" w:rsidRDefault="00630F6F" w:rsidP="007471A8">
            <w:pPr>
              <w:contextualSpacing/>
              <w:jc w:val="right"/>
              <w:rPr>
                <w:sz w:val="16"/>
                <w:szCs w:val="16"/>
              </w:rPr>
            </w:pPr>
            <w:r w:rsidRPr="00095084">
              <w:rPr>
                <w:sz w:val="16"/>
                <w:szCs w:val="16"/>
              </w:rPr>
              <w:t>686</w:t>
            </w:r>
          </w:p>
          <w:p w:rsidR="00630F6F" w:rsidRPr="00095084" w:rsidRDefault="00630F6F" w:rsidP="007471A8">
            <w:pPr>
              <w:contextualSpacing/>
              <w:jc w:val="right"/>
              <w:rPr>
                <w:sz w:val="16"/>
                <w:szCs w:val="16"/>
              </w:rPr>
            </w:pPr>
          </w:p>
          <w:p w:rsidR="00630F6F" w:rsidRPr="00095084" w:rsidRDefault="00630F6F" w:rsidP="007471A8">
            <w:pPr>
              <w:contextualSpacing/>
              <w:jc w:val="right"/>
              <w:rPr>
                <w:sz w:val="16"/>
                <w:szCs w:val="16"/>
              </w:rPr>
            </w:pPr>
            <w:r w:rsidRPr="00095084">
              <w:rPr>
                <w:sz w:val="16"/>
                <w:szCs w:val="16"/>
              </w:rPr>
              <w:t>1 hour</w:t>
            </w:r>
          </w:p>
          <w:p w:rsidR="00630F6F" w:rsidRPr="00095084" w:rsidRDefault="00630F6F" w:rsidP="007471A8">
            <w:pPr>
              <w:contextualSpacing/>
              <w:jc w:val="right"/>
              <w:rPr>
                <w:sz w:val="16"/>
                <w:szCs w:val="16"/>
              </w:rPr>
            </w:pPr>
          </w:p>
          <w:p w:rsidR="00630F6F" w:rsidRPr="00095084" w:rsidRDefault="00630F6F" w:rsidP="007471A8">
            <w:pPr>
              <w:contextualSpacing/>
              <w:jc w:val="right"/>
              <w:rPr>
                <w:sz w:val="16"/>
                <w:szCs w:val="16"/>
              </w:rPr>
            </w:pPr>
            <w:r w:rsidRPr="00095084">
              <w:rPr>
                <w:sz w:val="16"/>
                <w:szCs w:val="16"/>
              </w:rPr>
              <w:t>12 hours</w:t>
            </w:r>
          </w:p>
        </w:tc>
        <w:tc>
          <w:tcPr>
            <w:tcW w:w="1728" w:type="dxa"/>
            <w:gridSpan w:val="2"/>
            <w:shd w:val="clear" w:color="auto" w:fill="auto"/>
            <w:vAlign w:val="bottom"/>
          </w:tcPr>
          <w:p w:rsidR="00630F6F" w:rsidRPr="00095084" w:rsidRDefault="00630F6F" w:rsidP="007471A8">
            <w:pPr>
              <w:tabs>
                <w:tab w:val="left" w:pos="-1440"/>
              </w:tabs>
              <w:contextualSpacing/>
              <w:jc w:val="right"/>
              <w:rPr>
                <w:sz w:val="16"/>
                <w:szCs w:val="16"/>
              </w:rPr>
            </w:pPr>
            <w:r w:rsidRPr="00095084">
              <w:rPr>
                <w:sz w:val="16"/>
                <w:szCs w:val="16"/>
              </w:rPr>
              <w:t>12,526</w:t>
            </w:r>
          </w:p>
          <w:p w:rsidR="00630F6F" w:rsidRPr="00095084" w:rsidRDefault="00630F6F" w:rsidP="007471A8">
            <w:pPr>
              <w:tabs>
                <w:tab w:val="left" w:pos="-1440"/>
              </w:tabs>
              <w:contextualSpacing/>
              <w:jc w:val="right"/>
              <w:rPr>
                <w:sz w:val="16"/>
                <w:szCs w:val="16"/>
              </w:rPr>
            </w:pPr>
            <w:r w:rsidRPr="00095084">
              <w:rPr>
                <w:sz w:val="16"/>
                <w:szCs w:val="16"/>
              </w:rPr>
              <w:t>67</w:t>
            </w:r>
          </w:p>
          <w:p w:rsidR="00630F6F" w:rsidRPr="00095084" w:rsidRDefault="00630F6F" w:rsidP="007471A8">
            <w:pPr>
              <w:tabs>
                <w:tab w:val="left" w:pos="-1440"/>
              </w:tabs>
              <w:contextualSpacing/>
              <w:jc w:val="right"/>
              <w:rPr>
                <w:sz w:val="16"/>
                <w:szCs w:val="16"/>
              </w:rPr>
            </w:pPr>
          </w:p>
          <w:p w:rsidR="00630F6F" w:rsidRPr="00095084" w:rsidRDefault="00630F6F" w:rsidP="007471A8">
            <w:pPr>
              <w:tabs>
                <w:tab w:val="left" w:pos="-1440"/>
              </w:tabs>
              <w:contextualSpacing/>
              <w:jc w:val="right"/>
              <w:rPr>
                <w:sz w:val="16"/>
                <w:szCs w:val="16"/>
              </w:rPr>
            </w:pPr>
            <w:r w:rsidRPr="00095084">
              <w:rPr>
                <w:sz w:val="16"/>
                <w:szCs w:val="16"/>
              </w:rPr>
              <w:t>30 minutes</w:t>
            </w:r>
          </w:p>
          <w:p w:rsidR="00630F6F" w:rsidRPr="00095084" w:rsidRDefault="00630F6F" w:rsidP="007471A8">
            <w:pPr>
              <w:tabs>
                <w:tab w:val="left" w:pos="-1440"/>
              </w:tabs>
              <w:contextualSpacing/>
              <w:jc w:val="right"/>
              <w:rPr>
                <w:sz w:val="16"/>
                <w:szCs w:val="16"/>
              </w:rPr>
            </w:pPr>
          </w:p>
          <w:p w:rsidR="00630F6F" w:rsidRPr="00095084" w:rsidRDefault="00630F6F" w:rsidP="007471A8">
            <w:pPr>
              <w:tabs>
                <w:tab w:val="left" w:pos="-1440"/>
              </w:tabs>
              <w:contextualSpacing/>
              <w:jc w:val="right"/>
              <w:rPr>
                <w:sz w:val="16"/>
                <w:szCs w:val="16"/>
              </w:rPr>
            </w:pPr>
            <w:r w:rsidRPr="00095084">
              <w:rPr>
                <w:sz w:val="16"/>
                <w:szCs w:val="16"/>
              </w:rPr>
              <w:t>6 hours</w:t>
            </w:r>
          </w:p>
        </w:tc>
        <w:tc>
          <w:tcPr>
            <w:tcW w:w="1728" w:type="dxa"/>
            <w:gridSpan w:val="2"/>
            <w:shd w:val="clear" w:color="auto" w:fill="auto"/>
            <w:vAlign w:val="bottom"/>
          </w:tcPr>
          <w:p w:rsidR="00630F6F" w:rsidRPr="00095084" w:rsidRDefault="00630F6F" w:rsidP="007471A8">
            <w:pPr>
              <w:contextualSpacing/>
              <w:jc w:val="right"/>
              <w:rPr>
                <w:sz w:val="16"/>
                <w:szCs w:val="16"/>
              </w:rPr>
            </w:pPr>
            <w:r w:rsidRPr="00095084">
              <w:rPr>
                <w:sz w:val="16"/>
                <w:szCs w:val="16"/>
              </w:rPr>
              <w:t>200,232</w:t>
            </w:r>
          </w:p>
          <w:p w:rsidR="00630F6F" w:rsidRPr="00095084" w:rsidRDefault="00630F6F" w:rsidP="007471A8">
            <w:pPr>
              <w:contextualSpacing/>
              <w:jc w:val="right"/>
              <w:rPr>
                <w:sz w:val="16"/>
                <w:szCs w:val="16"/>
              </w:rPr>
            </w:pPr>
            <w:r w:rsidRPr="00095084">
              <w:rPr>
                <w:sz w:val="16"/>
                <w:szCs w:val="16"/>
              </w:rPr>
              <w:t>753</w:t>
            </w:r>
          </w:p>
          <w:p w:rsidR="00630F6F" w:rsidRPr="00095084" w:rsidRDefault="00630F6F" w:rsidP="007471A8">
            <w:pPr>
              <w:contextualSpacing/>
              <w:jc w:val="right"/>
              <w:rPr>
                <w:sz w:val="16"/>
                <w:szCs w:val="16"/>
              </w:rPr>
            </w:pPr>
          </w:p>
          <w:p w:rsidR="00630F6F" w:rsidRPr="00095084" w:rsidRDefault="00630F6F" w:rsidP="007471A8">
            <w:pPr>
              <w:contextualSpacing/>
              <w:jc w:val="right"/>
              <w:rPr>
                <w:sz w:val="16"/>
                <w:szCs w:val="16"/>
              </w:rPr>
            </w:pPr>
            <w:r w:rsidRPr="00095084">
              <w:rPr>
                <w:sz w:val="16"/>
                <w:szCs w:val="16"/>
              </w:rPr>
              <w:t>30 minutes</w:t>
            </w:r>
          </w:p>
          <w:p w:rsidR="00630F6F" w:rsidRPr="00095084" w:rsidRDefault="00630F6F" w:rsidP="007471A8">
            <w:pPr>
              <w:contextualSpacing/>
              <w:jc w:val="right"/>
              <w:rPr>
                <w:sz w:val="16"/>
                <w:szCs w:val="16"/>
              </w:rPr>
            </w:pPr>
          </w:p>
          <w:p w:rsidR="00630F6F" w:rsidRPr="00095084" w:rsidRDefault="00630F6F" w:rsidP="007471A8">
            <w:pPr>
              <w:contextualSpacing/>
              <w:jc w:val="right"/>
              <w:rPr>
                <w:sz w:val="16"/>
                <w:szCs w:val="16"/>
              </w:rPr>
            </w:pPr>
            <w:r w:rsidRPr="00095084">
              <w:rPr>
                <w:sz w:val="16"/>
                <w:szCs w:val="16"/>
              </w:rPr>
              <w:t>6 hours</w:t>
            </w:r>
          </w:p>
        </w:tc>
      </w:tr>
      <w:tr w:rsidR="00630F6F" w:rsidRPr="003D6E76" w:rsidTr="009552BF">
        <w:trPr>
          <w:cantSplit/>
          <w:trHeight w:val="318"/>
          <w:jc w:val="center"/>
        </w:trPr>
        <w:tc>
          <w:tcPr>
            <w:tcW w:w="1570" w:type="dxa"/>
            <w:shd w:val="clear" w:color="auto" w:fill="auto"/>
            <w:vAlign w:val="center"/>
          </w:tcPr>
          <w:p w:rsidR="00630F6F" w:rsidRPr="002F223D" w:rsidRDefault="00630F6F" w:rsidP="007471A8">
            <w:pPr>
              <w:contextualSpacing/>
              <w:rPr>
                <w:b/>
                <w:bCs/>
                <w:sz w:val="16"/>
                <w:szCs w:val="16"/>
              </w:rPr>
            </w:pPr>
            <w:r w:rsidRPr="002F223D">
              <w:rPr>
                <w:b/>
                <w:bCs/>
                <w:sz w:val="16"/>
                <w:szCs w:val="16"/>
              </w:rPr>
              <w:t>Performance Measure</w:t>
            </w:r>
          </w:p>
        </w:tc>
        <w:tc>
          <w:tcPr>
            <w:tcW w:w="2880" w:type="dxa"/>
            <w:shd w:val="clear" w:color="auto" w:fill="auto"/>
            <w:vAlign w:val="bottom"/>
          </w:tcPr>
          <w:p w:rsidR="00630F6F" w:rsidRPr="002F223D" w:rsidRDefault="00630F6F" w:rsidP="007471A8">
            <w:pPr>
              <w:contextualSpacing/>
              <w:rPr>
                <w:b/>
                <w:bCs/>
                <w:sz w:val="16"/>
                <w:szCs w:val="16"/>
              </w:rPr>
            </w:pPr>
            <w:r w:rsidRPr="002F223D">
              <w:rPr>
                <w:b/>
                <w:bCs/>
                <w:sz w:val="16"/>
                <w:szCs w:val="16"/>
              </w:rPr>
              <w:t xml:space="preserve"> NCIC:</w:t>
            </w:r>
          </w:p>
          <w:p w:rsidR="00630F6F" w:rsidRPr="002F223D" w:rsidRDefault="00630F6F" w:rsidP="007471A8">
            <w:pPr>
              <w:numPr>
                <w:ilvl w:val="0"/>
                <w:numId w:val="49"/>
              </w:numPr>
              <w:tabs>
                <w:tab w:val="clear" w:pos="936"/>
              </w:tabs>
              <w:ind w:left="99" w:hanging="99"/>
              <w:contextualSpacing/>
              <w:rPr>
                <w:sz w:val="16"/>
                <w:szCs w:val="16"/>
              </w:rPr>
            </w:pPr>
            <w:r w:rsidRPr="002F223D">
              <w:rPr>
                <w:sz w:val="16"/>
                <w:szCs w:val="16"/>
              </w:rPr>
              <w:t>System availability</w:t>
            </w:r>
          </w:p>
          <w:p w:rsidR="00630F6F" w:rsidRPr="002F223D" w:rsidRDefault="00630F6F" w:rsidP="007471A8">
            <w:pPr>
              <w:numPr>
                <w:ilvl w:val="0"/>
                <w:numId w:val="49"/>
              </w:numPr>
              <w:tabs>
                <w:tab w:val="clear" w:pos="936"/>
              </w:tabs>
              <w:ind w:left="99" w:hanging="99"/>
              <w:contextualSpacing/>
              <w:rPr>
                <w:b/>
                <w:bCs/>
                <w:sz w:val="16"/>
                <w:szCs w:val="16"/>
              </w:rPr>
            </w:pPr>
            <w:r w:rsidRPr="002F223D">
              <w:rPr>
                <w:sz w:val="16"/>
                <w:szCs w:val="16"/>
              </w:rPr>
              <w:t>Downtime in minutes</w:t>
            </w:r>
          </w:p>
        </w:tc>
        <w:tc>
          <w:tcPr>
            <w:tcW w:w="1728" w:type="dxa"/>
            <w:gridSpan w:val="2"/>
            <w:shd w:val="clear" w:color="auto" w:fill="auto"/>
            <w:vAlign w:val="bottom"/>
          </w:tcPr>
          <w:p w:rsidR="00630F6F" w:rsidRPr="002F223D" w:rsidRDefault="00630F6F" w:rsidP="007471A8">
            <w:pPr>
              <w:contextualSpacing/>
              <w:jc w:val="right"/>
              <w:rPr>
                <w:sz w:val="16"/>
                <w:szCs w:val="16"/>
              </w:rPr>
            </w:pPr>
            <w:r w:rsidRPr="0067227C">
              <w:rPr>
                <w:sz w:val="16"/>
                <w:szCs w:val="16"/>
              </w:rPr>
              <w:t>99.7%</w:t>
            </w:r>
          </w:p>
          <w:p w:rsidR="00630F6F" w:rsidRPr="002F223D" w:rsidRDefault="00630F6F" w:rsidP="007471A8">
            <w:pPr>
              <w:contextualSpacing/>
              <w:jc w:val="right"/>
              <w:rPr>
                <w:sz w:val="16"/>
                <w:szCs w:val="16"/>
              </w:rPr>
            </w:pPr>
            <w:r w:rsidRPr="002F223D">
              <w:rPr>
                <w:sz w:val="16"/>
                <w:szCs w:val="16"/>
              </w:rPr>
              <w:t>1,440</w:t>
            </w:r>
          </w:p>
        </w:tc>
        <w:tc>
          <w:tcPr>
            <w:tcW w:w="1692" w:type="dxa"/>
            <w:gridSpan w:val="2"/>
            <w:shd w:val="clear" w:color="auto" w:fill="auto"/>
            <w:vAlign w:val="bottom"/>
          </w:tcPr>
          <w:p w:rsidR="00630F6F" w:rsidRDefault="00630F6F" w:rsidP="007471A8">
            <w:pPr>
              <w:tabs>
                <w:tab w:val="left" w:pos="-1440"/>
              </w:tabs>
              <w:contextualSpacing/>
              <w:jc w:val="right"/>
              <w:rPr>
                <w:sz w:val="16"/>
                <w:szCs w:val="16"/>
              </w:rPr>
            </w:pPr>
            <w:r>
              <w:rPr>
                <w:sz w:val="16"/>
                <w:szCs w:val="16"/>
              </w:rPr>
              <w:t>99.76%</w:t>
            </w:r>
          </w:p>
          <w:p w:rsidR="00630F6F" w:rsidRPr="00452885" w:rsidRDefault="00630F6F" w:rsidP="007471A8">
            <w:pPr>
              <w:tabs>
                <w:tab w:val="left" w:pos="-1440"/>
              </w:tabs>
              <w:contextualSpacing/>
              <w:jc w:val="right"/>
              <w:rPr>
                <w:sz w:val="16"/>
                <w:szCs w:val="16"/>
              </w:rPr>
            </w:pPr>
            <w:r>
              <w:rPr>
                <w:sz w:val="16"/>
                <w:szCs w:val="16"/>
              </w:rPr>
              <w:t>1,273</w:t>
            </w:r>
          </w:p>
        </w:tc>
        <w:tc>
          <w:tcPr>
            <w:tcW w:w="1764" w:type="dxa"/>
            <w:gridSpan w:val="2"/>
            <w:shd w:val="clear" w:color="auto" w:fill="auto"/>
            <w:vAlign w:val="bottom"/>
          </w:tcPr>
          <w:p w:rsidR="00630F6F" w:rsidRPr="0067227C" w:rsidRDefault="00630F6F" w:rsidP="007471A8">
            <w:pPr>
              <w:contextualSpacing/>
              <w:jc w:val="right"/>
              <w:rPr>
                <w:sz w:val="16"/>
                <w:szCs w:val="16"/>
              </w:rPr>
            </w:pPr>
            <w:r w:rsidRPr="0067227C">
              <w:rPr>
                <w:sz w:val="16"/>
                <w:szCs w:val="16"/>
              </w:rPr>
              <w:t>99.5%</w:t>
            </w:r>
          </w:p>
          <w:p w:rsidR="00630F6F" w:rsidRPr="0067227C" w:rsidRDefault="00630F6F" w:rsidP="007471A8">
            <w:pPr>
              <w:contextualSpacing/>
              <w:jc w:val="right"/>
              <w:rPr>
                <w:sz w:val="16"/>
                <w:szCs w:val="16"/>
              </w:rPr>
            </w:pPr>
            <w:r w:rsidRPr="0067227C">
              <w:rPr>
                <w:sz w:val="16"/>
                <w:szCs w:val="16"/>
              </w:rPr>
              <w:t>1,440</w:t>
            </w:r>
          </w:p>
        </w:tc>
        <w:tc>
          <w:tcPr>
            <w:tcW w:w="1728" w:type="dxa"/>
            <w:gridSpan w:val="2"/>
            <w:shd w:val="clear" w:color="auto" w:fill="auto"/>
            <w:vAlign w:val="bottom"/>
          </w:tcPr>
          <w:p w:rsidR="00630F6F" w:rsidRPr="0067227C" w:rsidRDefault="00630F6F" w:rsidP="007471A8">
            <w:pPr>
              <w:tabs>
                <w:tab w:val="left" w:pos="-1440"/>
              </w:tabs>
              <w:contextualSpacing/>
              <w:jc w:val="right"/>
              <w:rPr>
                <w:sz w:val="16"/>
                <w:szCs w:val="16"/>
              </w:rPr>
            </w:pPr>
            <w:r w:rsidRPr="0067227C">
              <w:rPr>
                <w:sz w:val="16"/>
                <w:szCs w:val="16"/>
              </w:rPr>
              <w:t>-</w:t>
            </w:r>
          </w:p>
          <w:p w:rsidR="00630F6F" w:rsidRPr="0067227C" w:rsidRDefault="00630F6F" w:rsidP="007471A8">
            <w:pPr>
              <w:tabs>
                <w:tab w:val="left" w:pos="-1440"/>
              </w:tabs>
              <w:contextualSpacing/>
              <w:jc w:val="right"/>
              <w:rPr>
                <w:sz w:val="16"/>
                <w:szCs w:val="16"/>
              </w:rPr>
            </w:pPr>
            <w:r w:rsidRPr="0067227C">
              <w:rPr>
                <w:sz w:val="16"/>
                <w:szCs w:val="16"/>
              </w:rPr>
              <w:t>-</w:t>
            </w:r>
          </w:p>
        </w:tc>
        <w:tc>
          <w:tcPr>
            <w:tcW w:w="1728" w:type="dxa"/>
            <w:gridSpan w:val="2"/>
            <w:shd w:val="clear" w:color="auto" w:fill="auto"/>
            <w:vAlign w:val="bottom"/>
          </w:tcPr>
          <w:p w:rsidR="00630F6F" w:rsidRPr="0067227C" w:rsidRDefault="00630F6F" w:rsidP="007471A8">
            <w:pPr>
              <w:contextualSpacing/>
              <w:jc w:val="right"/>
              <w:rPr>
                <w:sz w:val="16"/>
                <w:szCs w:val="16"/>
              </w:rPr>
            </w:pPr>
            <w:r w:rsidRPr="0067227C">
              <w:rPr>
                <w:sz w:val="16"/>
                <w:szCs w:val="16"/>
              </w:rPr>
              <w:t>99.5%</w:t>
            </w:r>
          </w:p>
          <w:p w:rsidR="00630F6F" w:rsidRPr="0067227C" w:rsidRDefault="00630F6F" w:rsidP="007471A8">
            <w:pPr>
              <w:contextualSpacing/>
              <w:jc w:val="right"/>
              <w:rPr>
                <w:sz w:val="16"/>
                <w:szCs w:val="16"/>
              </w:rPr>
            </w:pPr>
            <w:r w:rsidRPr="0067227C">
              <w:rPr>
                <w:sz w:val="16"/>
                <w:szCs w:val="16"/>
              </w:rPr>
              <w:t>1,440</w:t>
            </w:r>
          </w:p>
        </w:tc>
      </w:tr>
      <w:tr w:rsidR="00630F6F" w:rsidRPr="003D6E76" w:rsidTr="009552BF">
        <w:trPr>
          <w:cantSplit/>
          <w:trHeight w:val="678"/>
          <w:jc w:val="center"/>
        </w:trPr>
        <w:tc>
          <w:tcPr>
            <w:tcW w:w="1570" w:type="dxa"/>
            <w:shd w:val="clear" w:color="auto" w:fill="auto"/>
            <w:vAlign w:val="center"/>
          </w:tcPr>
          <w:p w:rsidR="00630F6F" w:rsidRPr="002F223D" w:rsidRDefault="00630F6F" w:rsidP="007471A8">
            <w:pPr>
              <w:contextualSpacing/>
              <w:rPr>
                <w:b/>
                <w:bCs/>
                <w:sz w:val="16"/>
                <w:szCs w:val="16"/>
              </w:rPr>
            </w:pPr>
            <w:r w:rsidRPr="002F223D">
              <w:rPr>
                <w:b/>
                <w:bCs/>
                <w:sz w:val="16"/>
                <w:szCs w:val="16"/>
              </w:rPr>
              <w:t>Performance Measure</w:t>
            </w:r>
          </w:p>
        </w:tc>
        <w:tc>
          <w:tcPr>
            <w:tcW w:w="2880" w:type="dxa"/>
            <w:shd w:val="clear" w:color="auto" w:fill="auto"/>
          </w:tcPr>
          <w:p w:rsidR="00630F6F" w:rsidRPr="002F223D" w:rsidRDefault="00630F6F" w:rsidP="007471A8">
            <w:pPr>
              <w:contextualSpacing/>
              <w:rPr>
                <w:b/>
                <w:bCs/>
                <w:sz w:val="16"/>
                <w:szCs w:val="16"/>
              </w:rPr>
            </w:pPr>
            <w:r w:rsidRPr="002F223D">
              <w:rPr>
                <w:b/>
                <w:bCs/>
                <w:sz w:val="16"/>
                <w:szCs w:val="16"/>
              </w:rPr>
              <w:t xml:space="preserve"> NICS:</w:t>
            </w:r>
          </w:p>
          <w:p w:rsidR="00630F6F" w:rsidRPr="002F223D" w:rsidRDefault="00630F6F" w:rsidP="007471A8">
            <w:pPr>
              <w:contextualSpacing/>
              <w:rPr>
                <w:sz w:val="16"/>
                <w:szCs w:val="16"/>
              </w:rPr>
            </w:pPr>
            <w:r w:rsidRPr="002F223D">
              <w:rPr>
                <w:sz w:val="16"/>
                <w:szCs w:val="16"/>
              </w:rPr>
              <w:t>% of NICS checks with an Immediate Determination</w:t>
            </w:r>
          </w:p>
        </w:tc>
        <w:tc>
          <w:tcPr>
            <w:tcW w:w="1728" w:type="dxa"/>
            <w:gridSpan w:val="2"/>
            <w:shd w:val="clear" w:color="auto" w:fill="auto"/>
            <w:vAlign w:val="center"/>
          </w:tcPr>
          <w:p w:rsidR="00630F6F" w:rsidRPr="002F223D" w:rsidRDefault="00630F6F" w:rsidP="007471A8">
            <w:pPr>
              <w:tabs>
                <w:tab w:val="left" w:pos="-1440"/>
              </w:tabs>
              <w:contextualSpacing/>
              <w:jc w:val="right"/>
              <w:rPr>
                <w:sz w:val="16"/>
                <w:szCs w:val="16"/>
              </w:rPr>
            </w:pPr>
            <w:r w:rsidRPr="002F223D">
              <w:rPr>
                <w:sz w:val="16"/>
                <w:szCs w:val="16"/>
              </w:rPr>
              <w:t>90.0%</w:t>
            </w:r>
          </w:p>
        </w:tc>
        <w:tc>
          <w:tcPr>
            <w:tcW w:w="1692" w:type="dxa"/>
            <w:gridSpan w:val="2"/>
            <w:shd w:val="clear" w:color="auto" w:fill="auto"/>
            <w:vAlign w:val="center"/>
          </w:tcPr>
          <w:p w:rsidR="00630F6F" w:rsidRPr="002F223D" w:rsidRDefault="00630F6F" w:rsidP="007471A8">
            <w:pPr>
              <w:tabs>
                <w:tab w:val="left" w:pos="-1440"/>
              </w:tabs>
              <w:contextualSpacing/>
              <w:jc w:val="right"/>
              <w:rPr>
                <w:sz w:val="16"/>
                <w:szCs w:val="16"/>
              </w:rPr>
            </w:pPr>
            <w:r>
              <w:rPr>
                <w:sz w:val="16"/>
                <w:szCs w:val="16"/>
              </w:rPr>
              <w:t>91.4%</w:t>
            </w:r>
          </w:p>
        </w:tc>
        <w:tc>
          <w:tcPr>
            <w:tcW w:w="1764" w:type="dxa"/>
            <w:gridSpan w:val="2"/>
            <w:shd w:val="clear" w:color="auto" w:fill="auto"/>
            <w:vAlign w:val="center"/>
          </w:tcPr>
          <w:p w:rsidR="00630F6F" w:rsidRPr="00EC6A39" w:rsidRDefault="00630F6F" w:rsidP="007471A8">
            <w:pPr>
              <w:tabs>
                <w:tab w:val="left" w:pos="-1440"/>
              </w:tabs>
              <w:contextualSpacing/>
              <w:jc w:val="right"/>
              <w:rPr>
                <w:sz w:val="16"/>
                <w:szCs w:val="16"/>
              </w:rPr>
            </w:pPr>
            <w:r w:rsidRPr="00EC6A39">
              <w:rPr>
                <w:sz w:val="16"/>
                <w:szCs w:val="16"/>
              </w:rPr>
              <w:t>90</w:t>
            </w:r>
            <w:r>
              <w:rPr>
                <w:sz w:val="16"/>
                <w:szCs w:val="16"/>
              </w:rPr>
              <w:t>.0</w:t>
            </w:r>
            <w:r w:rsidRPr="00EC6A39">
              <w:rPr>
                <w:sz w:val="16"/>
                <w:szCs w:val="16"/>
              </w:rPr>
              <w:t>%</w:t>
            </w:r>
          </w:p>
        </w:tc>
        <w:tc>
          <w:tcPr>
            <w:tcW w:w="1728" w:type="dxa"/>
            <w:gridSpan w:val="2"/>
            <w:shd w:val="clear" w:color="auto" w:fill="auto"/>
            <w:vAlign w:val="center"/>
          </w:tcPr>
          <w:p w:rsidR="00630F6F" w:rsidRPr="003D6E76" w:rsidRDefault="00630F6F" w:rsidP="007471A8">
            <w:pPr>
              <w:tabs>
                <w:tab w:val="left" w:pos="-1440"/>
              </w:tabs>
              <w:contextualSpacing/>
              <w:jc w:val="right"/>
              <w:rPr>
                <w:sz w:val="16"/>
                <w:szCs w:val="16"/>
              </w:rPr>
            </w:pPr>
            <w:r w:rsidRPr="003D6E76">
              <w:rPr>
                <w:sz w:val="16"/>
                <w:szCs w:val="16"/>
              </w:rPr>
              <w:t>-</w:t>
            </w:r>
          </w:p>
        </w:tc>
        <w:tc>
          <w:tcPr>
            <w:tcW w:w="1728" w:type="dxa"/>
            <w:gridSpan w:val="2"/>
            <w:shd w:val="clear" w:color="auto" w:fill="auto"/>
            <w:vAlign w:val="center"/>
          </w:tcPr>
          <w:p w:rsidR="00630F6F" w:rsidRPr="003D6E76" w:rsidRDefault="00630F6F" w:rsidP="007471A8">
            <w:pPr>
              <w:tabs>
                <w:tab w:val="left" w:pos="-1440"/>
              </w:tabs>
              <w:contextualSpacing/>
              <w:jc w:val="right"/>
              <w:rPr>
                <w:sz w:val="16"/>
                <w:szCs w:val="16"/>
              </w:rPr>
            </w:pPr>
            <w:r w:rsidRPr="003D6E76">
              <w:rPr>
                <w:sz w:val="16"/>
                <w:szCs w:val="16"/>
              </w:rPr>
              <w:t>90.0%</w:t>
            </w:r>
          </w:p>
        </w:tc>
      </w:tr>
      <w:tr w:rsidR="00630F6F" w:rsidRPr="003D6E76" w:rsidTr="009552BF">
        <w:trPr>
          <w:cantSplit/>
          <w:trHeight w:val="678"/>
          <w:jc w:val="center"/>
        </w:trPr>
        <w:tc>
          <w:tcPr>
            <w:tcW w:w="1570" w:type="dxa"/>
            <w:shd w:val="clear" w:color="auto" w:fill="auto"/>
            <w:vAlign w:val="center"/>
          </w:tcPr>
          <w:p w:rsidR="00630F6F" w:rsidRPr="002C586C" w:rsidRDefault="00630F6F" w:rsidP="007471A8">
            <w:pPr>
              <w:contextualSpacing/>
              <w:rPr>
                <w:b/>
                <w:bCs/>
                <w:sz w:val="16"/>
                <w:szCs w:val="16"/>
              </w:rPr>
            </w:pPr>
            <w:r>
              <w:rPr>
                <w:b/>
                <w:bCs/>
                <w:sz w:val="16"/>
                <w:szCs w:val="16"/>
              </w:rPr>
              <w:lastRenderedPageBreak/>
              <w:t>Performance Measure</w:t>
            </w:r>
          </w:p>
        </w:tc>
        <w:tc>
          <w:tcPr>
            <w:tcW w:w="2880" w:type="dxa"/>
            <w:shd w:val="clear" w:color="auto" w:fill="auto"/>
          </w:tcPr>
          <w:p w:rsidR="00630F6F" w:rsidRPr="002C586C" w:rsidRDefault="00630F6F" w:rsidP="007471A8">
            <w:pPr>
              <w:contextualSpacing/>
              <w:rPr>
                <w:b/>
                <w:bCs/>
                <w:sz w:val="16"/>
                <w:szCs w:val="16"/>
              </w:rPr>
            </w:pPr>
            <w:r w:rsidRPr="002C586C">
              <w:rPr>
                <w:bCs/>
                <w:sz w:val="16"/>
                <w:szCs w:val="16"/>
              </w:rPr>
              <w:t>Average turnaround time for Federal DNA Sample entry in the National DNA Index System (NDIS) of submissions fulfilling the processing and upload requirements</w:t>
            </w:r>
            <w:r>
              <w:rPr>
                <w:bCs/>
                <w:sz w:val="16"/>
                <w:szCs w:val="16"/>
              </w:rPr>
              <w:t xml:space="preserve"> </w:t>
            </w:r>
            <w:r>
              <w:rPr>
                <w:b/>
                <w:bCs/>
                <w:sz w:val="16"/>
                <w:szCs w:val="16"/>
              </w:rPr>
              <w:t>[New measure]</w:t>
            </w:r>
          </w:p>
        </w:tc>
        <w:tc>
          <w:tcPr>
            <w:tcW w:w="1728" w:type="dxa"/>
            <w:gridSpan w:val="2"/>
            <w:shd w:val="clear" w:color="auto" w:fill="auto"/>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1692" w:type="dxa"/>
            <w:gridSpan w:val="2"/>
            <w:shd w:val="clear" w:color="auto" w:fill="auto"/>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1764" w:type="dxa"/>
            <w:gridSpan w:val="2"/>
            <w:shd w:val="clear" w:color="auto" w:fill="auto"/>
            <w:vAlign w:val="center"/>
          </w:tcPr>
          <w:p w:rsidR="00630F6F" w:rsidRPr="00EC6A39" w:rsidRDefault="00630F6F" w:rsidP="007471A8">
            <w:pPr>
              <w:tabs>
                <w:tab w:val="left" w:pos="-1440"/>
              </w:tabs>
              <w:contextualSpacing/>
              <w:jc w:val="right"/>
              <w:rPr>
                <w:sz w:val="16"/>
                <w:szCs w:val="16"/>
              </w:rPr>
            </w:pPr>
            <w:r>
              <w:rPr>
                <w:sz w:val="16"/>
                <w:szCs w:val="16"/>
              </w:rPr>
              <w:t>30 days</w:t>
            </w:r>
          </w:p>
        </w:tc>
        <w:tc>
          <w:tcPr>
            <w:tcW w:w="1728" w:type="dxa"/>
            <w:gridSpan w:val="2"/>
            <w:shd w:val="clear" w:color="auto" w:fill="auto"/>
            <w:vAlign w:val="center"/>
          </w:tcPr>
          <w:p w:rsidR="00630F6F" w:rsidRPr="003D6E76" w:rsidRDefault="00630F6F" w:rsidP="007471A8">
            <w:pPr>
              <w:tabs>
                <w:tab w:val="left" w:pos="-1440"/>
              </w:tabs>
              <w:contextualSpacing/>
              <w:jc w:val="right"/>
              <w:rPr>
                <w:sz w:val="16"/>
                <w:szCs w:val="16"/>
              </w:rPr>
            </w:pPr>
            <w:r w:rsidRPr="003D6E76">
              <w:rPr>
                <w:sz w:val="16"/>
                <w:szCs w:val="16"/>
              </w:rPr>
              <w:t>-</w:t>
            </w:r>
          </w:p>
        </w:tc>
        <w:tc>
          <w:tcPr>
            <w:tcW w:w="1728" w:type="dxa"/>
            <w:gridSpan w:val="2"/>
            <w:shd w:val="clear" w:color="auto" w:fill="auto"/>
            <w:vAlign w:val="center"/>
          </w:tcPr>
          <w:p w:rsidR="00630F6F" w:rsidRPr="003D6E76" w:rsidRDefault="00630F6F" w:rsidP="007471A8">
            <w:pPr>
              <w:tabs>
                <w:tab w:val="left" w:pos="-1440"/>
              </w:tabs>
              <w:contextualSpacing/>
              <w:jc w:val="right"/>
              <w:rPr>
                <w:sz w:val="16"/>
                <w:szCs w:val="16"/>
              </w:rPr>
            </w:pPr>
            <w:r w:rsidRPr="003D6E76">
              <w:rPr>
                <w:sz w:val="16"/>
                <w:szCs w:val="16"/>
              </w:rPr>
              <w:t>30 days</w:t>
            </w:r>
          </w:p>
        </w:tc>
      </w:tr>
      <w:tr w:rsidR="00630F6F" w:rsidRPr="003D6E76" w:rsidTr="009552BF">
        <w:trPr>
          <w:cantSplit/>
          <w:trHeight w:val="345"/>
          <w:jc w:val="center"/>
        </w:trPr>
        <w:tc>
          <w:tcPr>
            <w:tcW w:w="1570" w:type="dxa"/>
            <w:shd w:val="clear" w:color="auto" w:fill="auto"/>
            <w:vAlign w:val="center"/>
          </w:tcPr>
          <w:p w:rsidR="00630F6F" w:rsidRPr="002F223D" w:rsidRDefault="00630F6F" w:rsidP="007471A8">
            <w:pPr>
              <w:contextualSpacing/>
            </w:pPr>
            <w:r w:rsidRPr="002F223D">
              <w:rPr>
                <w:b/>
                <w:bCs/>
                <w:sz w:val="16"/>
                <w:szCs w:val="16"/>
              </w:rPr>
              <w:t>Performance Measure</w:t>
            </w:r>
          </w:p>
        </w:tc>
        <w:tc>
          <w:tcPr>
            <w:tcW w:w="2880" w:type="dxa"/>
            <w:shd w:val="clear" w:color="auto" w:fill="auto"/>
            <w:vAlign w:val="center"/>
          </w:tcPr>
          <w:p w:rsidR="00630F6F" w:rsidRPr="002F223D" w:rsidRDefault="00630F6F" w:rsidP="007471A8">
            <w:pPr>
              <w:contextualSpacing/>
              <w:rPr>
                <w:sz w:val="16"/>
                <w:szCs w:val="16"/>
              </w:rPr>
            </w:pPr>
            <w:r w:rsidRPr="002F223D">
              <w:rPr>
                <w:sz w:val="16"/>
                <w:szCs w:val="16"/>
              </w:rPr>
              <w:t>Student-weeks of Instruction at the Hazardous Devices School (HDS)</w:t>
            </w:r>
          </w:p>
        </w:tc>
        <w:tc>
          <w:tcPr>
            <w:tcW w:w="1728" w:type="dxa"/>
            <w:gridSpan w:val="2"/>
            <w:shd w:val="clear" w:color="auto" w:fill="auto"/>
            <w:vAlign w:val="center"/>
          </w:tcPr>
          <w:p w:rsidR="00630F6F" w:rsidRPr="002F223D" w:rsidRDefault="00630F6F" w:rsidP="007471A8">
            <w:pPr>
              <w:contextualSpacing/>
              <w:jc w:val="right"/>
              <w:rPr>
                <w:sz w:val="16"/>
                <w:szCs w:val="16"/>
              </w:rPr>
            </w:pPr>
            <w:r w:rsidRPr="002F223D">
              <w:rPr>
                <w:sz w:val="16"/>
                <w:szCs w:val="16"/>
              </w:rPr>
              <w:t>2,668</w:t>
            </w:r>
          </w:p>
        </w:tc>
        <w:tc>
          <w:tcPr>
            <w:tcW w:w="1692" w:type="dxa"/>
            <w:gridSpan w:val="2"/>
            <w:shd w:val="clear" w:color="auto" w:fill="auto"/>
            <w:vAlign w:val="center"/>
          </w:tcPr>
          <w:p w:rsidR="00630F6F" w:rsidRPr="002F223D" w:rsidRDefault="00630F6F" w:rsidP="007471A8">
            <w:pPr>
              <w:contextualSpacing/>
              <w:jc w:val="right"/>
              <w:rPr>
                <w:sz w:val="16"/>
                <w:szCs w:val="16"/>
              </w:rPr>
            </w:pPr>
            <w:r>
              <w:rPr>
                <w:sz w:val="16"/>
                <w:szCs w:val="16"/>
              </w:rPr>
              <w:t>2,295</w:t>
            </w:r>
          </w:p>
        </w:tc>
        <w:tc>
          <w:tcPr>
            <w:tcW w:w="1764" w:type="dxa"/>
            <w:gridSpan w:val="2"/>
            <w:shd w:val="clear" w:color="auto" w:fill="auto"/>
            <w:vAlign w:val="center"/>
          </w:tcPr>
          <w:p w:rsidR="00630F6F" w:rsidRPr="002F223D" w:rsidRDefault="00630F6F" w:rsidP="007471A8">
            <w:pPr>
              <w:contextualSpacing/>
              <w:jc w:val="right"/>
              <w:rPr>
                <w:sz w:val="16"/>
                <w:szCs w:val="16"/>
              </w:rPr>
            </w:pPr>
            <w:r w:rsidRPr="00EC6A39">
              <w:rPr>
                <w:sz w:val="16"/>
                <w:szCs w:val="16"/>
              </w:rPr>
              <w:t>2</w:t>
            </w:r>
            <w:r>
              <w:rPr>
                <w:sz w:val="16"/>
                <w:szCs w:val="16"/>
              </w:rPr>
              <w:t>,</w:t>
            </w:r>
            <w:r w:rsidRPr="00EC6A39">
              <w:rPr>
                <w:sz w:val="16"/>
                <w:szCs w:val="16"/>
              </w:rPr>
              <w:t>668</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2,668</w:t>
            </w:r>
          </w:p>
        </w:tc>
      </w:tr>
      <w:tr w:rsidR="00630F6F" w:rsidRPr="003D6E76" w:rsidTr="009552BF">
        <w:trPr>
          <w:cantSplit/>
          <w:trHeight w:val="435"/>
          <w:jc w:val="center"/>
        </w:trPr>
        <w:tc>
          <w:tcPr>
            <w:tcW w:w="1570"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2880" w:type="dxa"/>
            <w:shd w:val="clear" w:color="auto" w:fill="auto"/>
            <w:vAlign w:val="center"/>
          </w:tcPr>
          <w:p w:rsidR="00630F6F" w:rsidRPr="00B13EAF" w:rsidRDefault="00630F6F" w:rsidP="007471A8">
            <w:pPr>
              <w:contextualSpacing/>
              <w:rPr>
                <w:b/>
                <w:sz w:val="16"/>
                <w:szCs w:val="16"/>
              </w:rPr>
            </w:pPr>
            <w:r w:rsidRPr="00B13EAF">
              <w:rPr>
                <w:b/>
                <w:sz w:val="16"/>
                <w:szCs w:val="16"/>
              </w:rPr>
              <w:t>N-</w:t>
            </w:r>
            <w:proofErr w:type="spellStart"/>
            <w:r w:rsidRPr="00B13EAF">
              <w:rPr>
                <w:b/>
                <w:sz w:val="16"/>
                <w:szCs w:val="16"/>
              </w:rPr>
              <w:t>DEx</w:t>
            </w:r>
            <w:proofErr w:type="spellEnd"/>
            <w:r w:rsidRPr="00B13EAF">
              <w:rPr>
                <w:b/>
                <w:sz w:val="16"/>
                <w:szCs w:val="16"/>
              </w:rPr>
              <w:t>: [New measure]</w:t>
            </w:r>
          </w:p>
          <w:p w:rsidR="00630F6F" w:rsidRPr="002C586C" w:rsidRDefault="00630F6F" w:rsidP="007471A8">
            <w:pPr>
              <w:contextualSpacing/>
              <w:rPr>
                <w:b/>
                <w:sz w:val="16"/>
                <w:szCs w:val="16"/>
              </w:rPr>
            </w:pPr>
            <w:r w:rsidRPr="002C586C">
              <w:rPr>
                <w:sz w:val="16"/>
                <w:szCs w:val="16"/>
              </w:rPr>
              <w:t>Percent of population covered by N-</w:t>
            </w:r>
            <w:proofErr w:type="spellStart"/>
            <w:r w:rsidRPr="002C586C">
              <w:rPr>
                <w:sz w:val="16"/>
                <w:szCs w:val="16"/>
              </w:rPr>
              <w:t>DEx</w:t>
            </w:r>
            <w:proofErr w:type="spellEnd"/>
            <w:r>
              <w:rPr>
                <w:sz w:val="16"/>
                <w:szCs w:val="16"/>
              </w:rPr>
              <w:t xml:space="preserve"> via state and local law enforcement participation</w:t>
            </w:r>
          </w:p>
        </w:tc>
        <w:tc>
          <w:tcPr>
            <w:tcW w:w="1728" w:type="dxa"/>
            <w:gridSpan w:val="2"/>
            <w:shd w:val="clear" w:color="auto" w:fill="auto"/>
            <w:vAlign w:val="center"/>
          </w:tcPr>
          <w:p w:rsidR="00630F6F" w:rsidRPr="002F223D" w:rsidRDefault="00630F6F" w:rsidP="007471A8">
            <w:pPr>
              <w:contextualSpacing/>
              <w:jc w:val="right"/>
              <w:rPr>
                <w:sz w:val="16"/>
                <w:szCs w:val="16"/>
              </w:rPr>
            </w:pPr>
            <w:r>
              <w:rPr>
                <w:sz w:val="16"/>
                <w:szCs w:val="16"/>
              </w:rPr>
              <w:t>43%</w:t>
            </w:r>
          </w:p>
        </w:tc>
        <w:tc>
          <w:tcPr>
            <w:tcW w:w="1692" w:type="dxa"/>
            <w:gridSpan w:val="2"/>
            <w:shd w:val="clear" w:color="auto" w:fill="auto"/>
            <w:vAlign w:val="center"/>
          </w:tcPr>
          <w:p w:rsidR="00630F6F" w:rsidRPr="002F223D" w:rsidRDefault="00630F6F" w:rsidP="007471A8">
            <w:pPr>
              <w:contextualSpacing/>
              <w:jc w:val="right"/>
              <w:rPr>
                <w:sz w:val="16"/>
                <w:szCs w:val="16"/>
              </w:rPr>
            </w:pPr>
            <w:r>
              <w:rPr>
                <w:sz w:val="16"/>
                <w:szCs w:val="16"/>
              </w:rPr>
              <w:t>35.3%</w:t>
            </w:r>
          </w:p>
        </w:tc>
        <w:tc>
          <w:tcPr>
            <w:tcW w:w="1764" w:type="dxa"/>
            <w:gridSpan w:val="2"/>
            <w:shd w:val="clear" w:color="auto" w:fill="auto"/>
            <w:vAlign w:val="center"/>
          </w:tcPr>
          <w:p w:rsidR="00630F6F" w:rsidRPr="00EC6A39" w:rsidRDefault="00630F6F" w:rsidP="007471A8">
            <w:pPr>
              <w:contextualSpacing/>
              <w:jc w:val="right"/>
              <w:rPr>
                <w:sz w:val="16"/>
                <w:szCs w:val="16"/>
              </w:rPr>
            </w:pPr>
            <w:r>
              <w:rPr>
                <w:sz w:val="16"/>
                <w:szCs w:val="16"/>
              </w:rPr>
              <w:t>50%</w:t>
            </w:r>
          </w:p>
        </w:tc>
        <w:tc>
          <w:tcPr>
            <w:tcW w:w="1728" w:type="dxa"/>
            <w:gridSpan w:val="2"/>
            <w:shd w:val="clear" w:color="auto" w:fill="auto"/>
            <w:vAlign w:val="center"/>
          </w:tcPr>
          <w:p w:rsidR="00630F6F" w:rsidRPr="003D6E76" w:rsidRDefault="00630F6F" w:rsidP="007471A8">
            <w:pPr>
              <w:contextualSpacing/>
              <w:jc w:val="right"/>
              <w:rPr>
                <w:sz w:val="16"/>
                <w:szCs w:val="16"/>
              </w:rPr>
            </w:pPr>
            <w:r>
              <w:rPr>
                <w:sz w:val="16"/>
                <w:szCs w:val="16"/>
              </w:rPr>
              <w:t>8%</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58%</w:t>
            </w:r>
          </w:p>
        </w:tc>
      </w:tr>
      <w:tr w:rsidR="00630F6F" w:rsidRPr="003D6E76" w:rsidTr="009552BF">
        <w:trPr>
          <w:cantSplit/>
          <w:trHeight w:val="435"/>
          <w:jc w:val="center"/>
        </w:trPr>
        <w:tc>
          <w:tcPr>
            <w:tcW w:w="1570"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2880" w:type="dxa"/>
            <w:shd w:val="clear" w:color="auto" w:fill="auto"/>
            <w:vAlign w:val="center"/>
          </w:tcPr>
          <w:p w:rsidR="00630F6F" w:rsidRPr="002C586C" w:rsidRDefault="00630F6F" w:rsidP="007471A8">
            <w:pPr>
              <w:contextualSpacing/>
              <w:rPr>
                <w:b/>
                <w:sz w:val="16"/>
                <w:szCs w:val="16"/>
              </w:rPr>
            </w:pPr>
            <w:r w:rsidRPr="002C586C">
              <w:rPr>
                <w:sz w:val="16"/>
                <w:szCs w:val="16"/>
              </w:rPr>
              <w:t>Number of products and services deployed in support of customers</w:t>
            </w:r>
            <w:r>
              <w:rPr>
                <w:sz w:val="16"/>
                <w:szCs w:val="16"/>
              </w:rPr>
              <w:t xml:space="preserve"> </w:t>
            </w:r>
            <w:r>
              <w:rPr>
                <w:b/>
                <w:sz w:val="16"/>
                <w:szCs w:val="16"/>
              </w:rPr>
              <w:t>[New measure]</w:t>
            </w:r>
          </w:p>
        </w:tc>
        <w:tc>
          <w:tcPr>
            <w:tcW w:w="1728" w:type="dxa"/>
            <w:gridSpan w:val="2"/>
            <w:shd w:val="clear" w:color="auto" w:fill="auto"/>
            <w:vAlign w:val="center"/>
          </w:tcPr>
          <w:p w:rsidR="00630F6F" w:rsidRDefault="00630F6F" w:rsidP="007471A8">
            <w:pPr>
              <w:contextualSpacing/>
              <w:jc w:val="right"/>
              <w:rPr>
                <w:sz w:val="16"/>
                <w:szCs w:val="16"/>
              </w:rPr>
            </w:pPr>
            <w:r>
              <w:rPr>
                <w:sz w:val="16"/>
                <w:szCs w:val="16"/>
              </w:rPr>
              <w:t>N/A</w:t>
            </w:r>
          </w:p>
        </w:tc>
        <w:tc>
          <w:tcPr>
            <w:tcW w:w="1692" w:type="dxa"/>
            <w:gridSpan w:val="2"/>
            <w:shd w:val="clear" w:color="auto" w:fill="auto"/>
            <w:vAlign w:val="center"/>
          </w:tcPr>
          <w:p w:rsidR="00630F6F" w:rsidRPr="002F223D" w:rsidRDefault="00630F6F" w:rsidP="007471A8">
            <w:pPr>
              <w:contextualSpacing/>
              <w:jc w:val="right"/>
              <w:rPr>
                <w:sz w:val="16"/>
                <w:szCs w:val="16"/>
              </w:rPr>
            </w:pPr>
            <w:r>
              <w:rPr>
                <w:sz w:val="16"/>
                <w:szCs w:val="16"/>
              </w:rPr>
              <w:t>299</w:t>
            </w:r>
          </w:p>
        </w:tc>
        <w:tc>
          <w:tcPr>
            <w:tcW w:w="1764" w:type="dxa"/>
            <w:gridSpan w:val="2"/>
            <w:shd w:val="clear" w:color="auto" w:fill="auto"/>
            <w:vAlign w:val="center"/>
          </w:tcPr>
          <w:p w:rsidR="00630F6F" w:rsidRPr="00EC6A39" w:rsidRDefault="00630F6F" w:rsidP="007471A8">
            <w:pPr>
              <w:contextualSpacing/>
              <w:jc w:val="right"/>
              <w:rPr>
                <w:sz w:val="16"/>
                <w:szCs w:val="16"/>
              </w:rPr>
            </w:pPr>
            <w:r>
              <w:rPr>
                <w:sz w:val="16"/>
                <w:szCs w:val="16"/>
              </w:rPr>
              <w:t>260</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5</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265</w:t>
            </w:r>
          </w:p>
        </w:tc>
      </w:tr>
      <w:tr w:rsidR="00630F6F" w:rsidRPr="003D6E76" w:rsidTr="009552BF">
        <w:trPr>
          <w:cantSplit/>
          <w:trHeight w:val="462"/>
          <w:jc w:val="center"/>
        </w:trPr>
        <w:tc>
          <w:tcPr>
            <w:tcW w:w="1570" w:type="dxa"/>
            <w:shd w:val="clear" w:color="auto" w:fill="auto"/>
            <w:vAlign w:val="center"/>
          </w:tcPr>
          <w:p w:rsidR="00630F6F" w:rsidRDefault="00630F6F" w:rsidP="007471A8">
            <w:pPr>
              <w:contextualSpacing/>
              <w:rPr>
                <w:b/>
                <w:bCs/>
                <w:color w:val="000000"/>
                <w:sz w:val="16"/>
                <w:szCs w:val="16"/>
              </w:rPr>
            </w:pPr>
            <w:r>
              <w:rPr>
                <w:b/>
                <w:bCs/>
                <w:color w:val="000000"/>
                <w:sz w:val="16"/>
                <w:szCs w:val="16"/>
              </w:rPr>
              <w:t>Performance Measure</w:t>
            </w:r>
          </w:p>
        </w:tc>
        <w:tc>
          <w:tcPr>
            <w:tcW w:w="2880" w:type="dxa"/>
            <w:shd w:val="clear" w:color="auto" w:fill="auto"/>
            <w:vAlign w:val="center"/>
          </w:tcPr>
          <w:p w:rsidR="00630F6F" w:rsidRDefault="00630F6F" w:rsidP="007471A8">
            <w:pPr>
              <w:pStyle w:val="Heading3"/>
              <w:contextualSpacing/>
              <w:rPr>
                <w:bCs w:val="0"/>
                <w:sz w:val="16"/>
                <w:szCs w:val="16"/>
              </w:rPr>
            </w:pPr>
            <w:r>
              <w:rPr>
                <w:bCs w:val="0"/>
                <w:sz w:val="16"/>
                <w:szCs w:val="16"/>
              </w:rPr>
              <w:t>LEO: [New measure]</w:t>
            </w:r>
          </w:p>
          <w:p w:rsidR="00630F6F" w:rsidRPr="00345CC4" w:rsidRDefault="00630F6F" w:rsidP="007471A8">
            <w:pPr>
              <w:pStyle w:val="Heading3"/>
              <w:contextualSpacing/>
              <w:rPr>
                <w:bCs w:val="0"/>
                <w:sz w:val="16"/>
                <w:szCs w:val="16"/>
              </w:rPr>
            </w:pPr>
            <w:r>
              <w:rPr>
                <w:b w:val="0"/>
                <w:bCs w:val="0"/>
                <w:sz w:val="16"/>
                <w:szCs w:val="16"/>
              </w:rPr>
              <w:t xml:space="preserve">Number of </w:t>
            </w:r>
            <w:proofErr w:type="gramStart"/>
            <w:r>
              <w:rPr>
                <w:b w:val="0"/>
                <w:bCs w:val="0"/>
                <w:sz w:val="16"/>
                <w:szCs w:val="16"/>
              </w:rPr>
              <w:t>active  members</w:t>
            </w:r>
            <w:proofErr w:type="gramEnd"/>
          </w:p>
        </w:tc>
        <w:tc>
          <w:tcPr>
            <w:tcW w:w="1728" w:type="dxa"/>
            <w:gridSpan w:val="2"/>
            <w:shd w:val="clear" w:color="auto" w:fill="auto"/>
            <w:vAlign w:val="center"/>
          </w:tcPr>
          <w:p w:rsidR="00630F6F" w:rsidRPr="003A622B" w:rsidRDefault="00630F6F" w:rsidP="007471A8">
            <w:pPr>
              <w:contextualSpacing/>
              <w:jc w:val="right"/>
              <w:rPr>
                <w:sz w:val="16"/>
                <w:szCs w:val="16"/>
              </w:rPr>
            </w:pPr>
            <w:r>
              <w:rPr>
                <w:sz w:val="16"/>
                <w:szCs w:val="16"/>
              </w:rPr>
              <w:t>62,980</w:t>
            </w:r>
          </w:p>
        </w:tc>
        <w:tc>
          <w:tcPr>
            <w:tcW w:w="1692" w:type="dxa"/>
            <w:gridSpan w:val="2"/>
            <w:shd w:val="clear" w:color="auto" w:fill="auto"/>
            <w:vAlign w:val="center"/>
          </w:tcPr>
          <w:p w:rsidR="00630F6F" w:rsidRPr="002C728B" w:rsidRDefault="00630F6F" w:rsidP="007471A8">
            <w:pPr>
              <w:contextualSpacing/>
              <w:jc w:val="right"/>
              <w:rPr>
                <w:sz w:val="16"/>
                <w:szCs w:val="16"/>
                <w:highlight w:val="yellow"/>
              </w:rPr>
            </w:pPr>
            <w:r w:rsidRPr="00095084">
              <w:rPr>
                <w:sz w:val="16"/>
                <w:szCs w:val="16"/>
              </w:rPr>
              <w:t>55,147</w:t>
            </w:r>
          </w:p>
        </w:tc>
        <w:tc>
          <w:tcPr>
            <w:tcW w:w="1764" w:type="dxa"/>
            <w:gridSpan w:val="2"/>
            <w:shd w:val="clear" w:color="auto" w:fill="auto"/>
            <w:vAlign w:val="center"/>
          </w:tcPr>
          <w:p w:rsidR="00630F6F" w:rsidRPr="003A622B" w:rsidRDefault="00630F6F" w:rsidP="007471A8">
            <w:pPr>
              <w:contextualSpacing/>
              <w:jc w:val="right"/>
              <w:rPr>
                <w:sz w:val="16"/>
                <w:szCs w:val="16"/>
              </w:rPr>
            </w:pPr>
            <w:r>
              <w:rPr>
                <w:sz w:val="16"/>
                <w:szCs w:val="16"/>
              </w:rPr>
              <w:t>64,980</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124,000</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188,980</w:t>
            </w:r>
          </w:p>
        </w:tc>
      </w:tr>
      <w:tr w:rsidR="00630F6F" w:rsidRPr="003D6E76" w:rsidTr="009552BF">
        <w:trPr>
          <w:cantSplit/>
          <w:trHeight w:val="1065"/>
          <w:jc w:val="center"/>
        </w:trPr>
        <w:tc>
          <w:tcPr>
            <w:tcW w:w="1570" w:type="dxa"/>
            <w:shd w:val="clear" w:color="auto" w:fill="auto"/>
            <w:vAlign w:val="center"/>
          </w:tcPr>
          <w:p w:rsidR="00630F6F" w:rsidRPr="00537201" w:rsidRDefault="00630F6F" w:rsidP="007471A8">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Customer Satisfaction</w:t>
            </w:r>
          </w:p>
        </w:tc>
        <w:tc>
          <w:tcPr>
            <w:tcW w:w="2880" w:type="dxa"/>
            <w:shd w:val="clear" w:color="auto" w:fill="auto"/>
          </w:tcPr>
          <w:p w:rsidR="00630F6F" w:rsidRPr="00345CC4" w:rsidRDefault="00630F6F" w:rsidP="007471A8">
            <w:pPr>
              <w:pStyle w:val="Heading3"/>
              <w:contextualSpacing/>
              <w:rPr>
                <w:bCs w:val="0"/>
                <w:sz w:val="16"/>
                <w:szCs w:val="16"/>
              </w:rPr>
            </w:pPr>
            <w:r w:rsidRPr="00345CC4">
              <w:rPr>
                <w:bCs w:val="0"/>
                <w:sz w:val="16"/>
                <w:szCs w:val="16"/>
              </w:rPr>
              <w:t>LEO:</w:t>
            </w:r>
            <w:r>
              <w:rPr>
                <w:bCs w:val="0"/>
                <w:sz w:val="16"/>
                <w:szCs w:val="16"/>
              </w:rPr>
              <w:t xml:space="preserve"> [Discontinued measure]</w:t>
            </w:r>
          </w:p>
          <w:p w:rsidR="00630F6F" w:rsidRPr="00345CC4" w:rsidRDefault="00630F6F" w:rsidP="007471A8">
            <w:pPr>
              <w:pStyle w:val="Heading3"/>
              <w:contextualSpacing/>
              <w:rPr>
                <w:bCs w:val="0"/>
                <w:sz w:val="14"/>
                <w:szCs w:val="16"/>
              </w:rPr>
            </w:pPr>
            <w:proofErr w:type="gramStart"/>
            <w:r w:rsidRPr="00345CC4">
              <w:rPr>
                <w:b w:val="0"/>
                <w:bCs w:val="0"/>
                <w:sz w:val="16"/>
                <w:szCs w:val="16"/>
              </w:rPr>
              <w:t>% of users who visit the Law Enforcement Online (LEO) service (which provides intelligence dissemination) more than one month out of each year.</w:t>
            </w:r>
            <w:proofErr w:type="gramEnd"/>
          </w:p>
        </w:tc>
        <w:tc>
          <w:tcPr>
            <w:tcW w:w="1728" w:type="dxa"/>
            <w:gridSpan w:val="2"/>
            <w:shd w:val="clear" w:color="auto" w:fill="auto"/>
            <w:vAlign w:val="center"/>
          </w:tcPr>
          <w:p w:rsidR="00630F6F" w:rsidRPr="003A622B" w:rsidRDefault="00630F6F" w:rsidP="007471A8">
            <w:pPr>
              <w:contextualSpacing/>
              <w:jc w:val="right"/>
              <w:rPr>
                <w:sz w:val="16"/>
                <w:szCs w:val="16"/>
              </w:rPr>
            </w:pPr>
            <w:r w:rsidRPr="003A622B">
              <w:rPr>
                <w:sz w:val="16"/>
                <w:szCs w:val="16"/>
              </w:rPr>
              <w:t>44%</w:t>
            </w:r>
          </w:p>
        </w:tc>
        <w:tc>
          <w:tcPr>
            <w:tcW w:w="1692" w:type="dxa"/>
            <w:gridSpan w:val="2"/>
            <w:shd w:val="clear" w:color="auto" w:fill="auto"/>
            <w:vAlign w:val="center"/>
          </w:tcPr>
          <w:p w:rsidR="00630F6F" w:rsidRPr="002C728B" w:rsidRDefault="00630F6F" w:rsidP="007471A8">
            <w:pPr>
              <w:contextualSpacing/>
              <w:jc w:val="right"/>
              <w:rPr>
                <w:sz w:val="16"/>
                <w:szCs w:val="16"/>
                <w:highlight w:val="yellow"/>
              </w:rPr>
            </w:pPr>
            <w:r w:rsidRPr="00EE41E8">
              <w:rPr>
                <w:sz w:val="16"/>
                <w:szCs w:val="16"/>
              </w:rPr>
              <w:t>41%</w:t>
            </w:r>
          </w:p>
        </w:tc>
        <w:tc>
          <w:tcPr>
            <w:tcW w:w="1764" w:type="dxa"/>
            <w:gridSpan w:val="2"/>
            <w:shd w:val="clear" w:color="auto" w:fill="auto"/>
            <w:vAlign w:val="center"/>
          </w:tcPr>
          <w:p w:rsidR="00630F6F" w:rsidRPr="003A622B" w:rsidRDefault="00630F6F" w:rsidP="007471A8">
            <w:pPr>
              <w:contextualSpacing/>
              <w:jc w:val="right"/>
              <w:rPr>
                <w:sz w:val="16"/>
                <w:szCs w:val="16"/>
              </w:rPr>
            </w:pPr>
            <w:r>
              <w:rPr>
                <w:sz w:val="16"/>
                <w:szCs w:val="16"/>
              </w:rPr>
              <w:t>N/A</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 xml:space="preserve">N/A </w:t>
            </w:r>
          </w:p>
        </w:tc>
        <w:tc>
          <w:tcPr>
            <w:tcW w:w="1728" w:type="dxa"/>
            <w:gridSpan w:val="2"/>
            <w:shd w:val="clear" w:color="auto" w:fill="auto"/>
            <w:vAlign w:val="center"/>
          </w:tcPr>
          <w:p w:rsidR="00630F6F" w:rsidRPr="003D6E76" w:rsidRDefault="00630F6F" w:rsidP="007471A8">
            <w:pPr>
              <w:contextualSpacing/>
              <w:jc w:val="right"/>
              <w:rPr>
                <w:sz w:val="16"/>
                <w:szCs w:val="16"/>
              </w:rPr>
            </w:pPr>
            <w:r w:rsidRPr="003D6E76">
              <w:rPr>
                <w:sz w:val="16"/>
                <w:szCs w:val="16"/>
              </w:rPr>
              <w:t>N/A</w:t>
            </w:r>
          </w:p>
        </w:tc>
      </w:tr>
      <w:tr w:rsidR="00630F6F" w:rsidRPr="003D6E76" w:rsidTr="009552BF">
        <w:trPr>
          <w:cantSplit/>
          <w:trHeight w:val="722"/>
          <w:jc w:val="center"/>
        </w:trPr>
        <w:tc>
          <w:tcPr>
            <w:tcW w:w="13090" w:type="dxa"/>
            <w:gridSpan w:val="12"/>
            <w:shd w:val="clear" w:color="auto" w:fill="auto"/>
          </w:tcPr>
          <w:p w:rsidR="00630F6F" w:rsidRPr="003D6E76" w:rsidRDefault="00630F6F" w:rsidP="007471A8">
            <w:pPr>
              <w:contextualSpacing/>
              <w:rPr>
                <w:i/>
                <w:iCs/>
                <w:sz w:val="16"/>
                <w:szCs w:val="16"/>
              </w:rPr>
            </w:pPr>
            <w:r w:rsidRPr="003D6E76">
              <w:rPr>
                <w:b/>
                <w:bCs/>
                <w:sz w:val="16"/>
                <w:szCs w:val="16"/>
              </w:rPr>
              <w:t>Data Definition, Validation, Verification, and Limitations:</w:t>
            </w:r>
            <w:r w:rsidRPr="003D6E76">
              <w:rPr>
                <w:i/>
                <w:iCs/>
                <w:sz w:val="16"/>
                <w:szCs w:val="16"/>
              </w:rPr>
              <w:t xml:space="preserve"> </w:t>
            </w:r>
          </w:p>
          <w:p w:rsidR="00630F6F" w:rsidRPr="00095084" w:rsidRDefault="00630F6F" w:rsidP="007471A8">
            <w:pPr>
              <w:numPr>
                <w:ilvl w:val="0"/>
                <w:numId w:val="46"/>
              </w:numPr>
              <w:tabs>
                <w:tab w:val="clear" w:pos="720"/>
              </w:tabs>
              <w:ind w:left="180" w:hanging="180"/>
              <w:contextualSpacing/>
              <w:rPr>
                <w:sz w:val="16"/>
                <w:szCs w:val="16"/>
              </w:rPr>
            </w:pPr>
            <w:r w:rsidRPr="00095084">
              <w:rPr>
                <w:sz w:val="16"/>
                <w:szCs w:val="16"/>
              </w:rPr>
              <w:t xml:space="preserve">IAFIS Response Times are captured automatically from in-house developed software code residing on the Electronic Fingerprint Transaction Standard (EFTS) Fingerprint Conversion (EFCON) System. The software that captures this information, time stamps all incoming and out-going transactions and produces a report that calculates transaction response times.  The developed code for this requirement was rigorously tested through System Integration and Test (SIT) prior to being put into operations.  The information produced by EFCON was validated using Transaction Status (TS), a contractor developed statistical capture program that runs on the Integrated Automated Fingerprint Identification System.  The data collected from EFCON is imported into a spreadsheet to calculate the average response time and percentage for electronic criminal and electronic civil responses.  CJIS Division staff review this information prior to release. </w:t>
            </w:r>
          </w:p>
          <w:p w:rsidR="00630F6F" w:rsidRPr="00095084" w:rsidRDefault="00630F6F" w:rsidP="007471A8">
            <w:pPr>
              <w:numPr>
                <w:ilvl w:val="0"/>
                <w:numId w:val="46"/>
              </w:numPr>
              <w:tabs>
                <w:tab w:val="clear" w:pos="720"/>
              </w:tabs>
              <w:ind w:left="180" w:hanging="180"/>
              <w:contextualSpacing/>
              <w:rPr>
                <w:sz w:val="16"/>
                <w:szCs w:val="16"/>
              </w:rPr>
            </w:pPr>
            <w:r w:rsidRPr="00095084">
              <w:rPr>
                <w:sz w:val="16"/>
                <w:szCs w:val="16"/>
              </w:rPr>
              <w:t>NCIC Transaction Volumes are captured similarly to the IAFIS Response Time statistics in that they are also capture automatically from developed code.  This program was developed as a requirement by a contractor during the development of the NCIC 2000 system.  The developed code for this requirement was also rigorously tested through System Integration and Test (SIT) prior to being put into operations. The information produced in the NCIC reports is also validated by CJIS Division staff prior to release.</w:t>
            </w:r>
          </w:p>
          <w:p w:rsidR="00630F6F" w:rsidRPr="00095084" w:rsidRDefault="00630F6F" w:rsidP="007471A8">
            <w:pPr>
              <w:numPr>
                <w:ilvl w:val="0"/>
                <w:numId w:val="46"/>
              </w:numPr>
              <w:tabs>
                <w:tab w:val="clear" w:pos="720"/>
              </w:tabs>
              <w:ind w:left="180" w:hanging="180"/>
              <w:contextualSpacing/>
              <w:rPr>
                <w:sz w:val="16"/>
                <w:szCs w:val="16"/>
              </w:rPr>
            </w:pPr>
            <w:r w:rsidRPr="00095084">
              <w:rPr>
                <w:sz w:val="16"/>
                <w:szCs w:val="16"/>
              </w:rPr>
              <w:t>System Availability data are collected manually from System Management Center (SMC) logs.  System Availability is based on the time a system is out of service until it is returned to service as recorded by SMC personnel.  CJIS Division staff input the information into spreadsheets that calculate percent averages.  The algorithms used within the spreadsheets were validated prior to being used by in-house personnel.  The System Availability figures are tracked closely on a weekly basis by Systems Managers and the Section Chief in charge of the operations and maintenance of the CJIS Division's systems.</w:t>
            </w:r>
          </w:p>
          <w:p w:rsidR="00630F6F" w:rsidRPr="00095084" w:rsidRDefault="00630F6F" w:rsidP="007471A8">
            <w:pPr>
              <w:numPr>
                <w:ilvl w:val="0"/>
                <w:numId w:val="46"/>
              </w:numPr>
              <w:tabs>
                <w:tab w:val="clear" w:pos="720"/>
              </w:tabs>
              <w:ind w:left="180" w:hanging="180"/>
              <w:contextualSpacing/>
              <w:rPr>
                <w:sz w:val="16"/>
                <w:szCs w:val="16"/>
              </w:rPr>
            </w:pPr>
            <w:r w:rsidRPr="00095084">
              <w:rPr>
                <w:sz w:val="16"/>
                <w:szCs w:val="16"/>
              </w:rPr>
              <w:t>HDS data are maintained in central files and databases located at the HDS.  The HDS Program Administrator reviews and approves all statistical accomplishment data for dissemination.</w:t>
            </w:r>
          </w:p>
          <w:p w:rsidR="00630F6F" w:rsidRPr="00B24009" w:rsidRDefault="00630F6F" w:rsidP="007471A8">
            <w:pPr>
              <w:numPr>
                <w:ilvl w:val="0"/>
                <w:numId w:val="46"/>
              </w:numPr>
              <w:tabs>
                <w:tab w:val="clear" w:pos="720"/>
              </w:tabs>
              <w:ind w:left="180" w:hanging="180"/>
              <w:contextualSpacing/>
              <w:rPr>
                <w:sz w:val="16"/>
                <w:szCs w:val="16"/>
              </w:rPr>
            </w:pPr>
            <w:r w:rsidRPr="00095084">
              <w:rPr>
                <w:sz w:val="16"/>
                <w:szCs w:val="16"/>
              </w:rPr>
              <w:t>N-</w:t>
            </w:r>
            <w:proofErr w:type="spellStart"/>
            <w:r w:rsidRPr="00095084">
              <w:rPr>
                <w:sz w:val="16"/>
                <w:szCs w:val="16"/>
              </w:rPr>
              <w:t>DEx</w:t>
            </w:r>
            <w:proofErr w:type="spellEnd"/>
            <w:r w:rsidRPr="00095084">
              <w:rPr>
                <w:sz w:val="16"/>
                <w:szCs w:val="16"/>
              </w:rPr>
              <w:t xml:space="preserve"> targets are estimated based upon limited historical data.  Marketing results are dependent upon executive advocacy, state policy and technical readiness for participation.</w:t>
            </w:r>
          </w:p>
        </w:tc>
      </w:tr>
    </w:tbl>
    <w:p w:rsidR="00630F6F" w:rsidRDefault="00630F6F" w:rsidP="007471A8">
      <w:pPr>
        <w:contextualSpacing/>
      </w:pPr>
    </w:p>
    <w:p w:rsidR="00630F6F" w:rsidRDefault="00630F6F" w:rsidP="007471A8">
      <w:pPr>
        <w:contextualSpacing/>
      </w:pPr>
      <w:r>
        <w:br w:type="page"/>
      </w:r>
    </w:p>
    <w:tbl>
      <w:tblPr>
        <w:tblW w:w="14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09"/>
        <w:gridCol w:w="871"/>
        <w:gridCol w:w="872"/>
        <w:gridCol w:w="871"/>
        <w:gridCol w:w="866"/>
        <w:gridCol w:w="877"/>
        <w:gridCol w:w="894"/>
        <w:gridCol w:w="801"/>
        <w:gridCol w:w="819"/>
        <w:gridCol w:w="810"/>
        <w:gridCol w:w="900"/>
        <w:gridCol w:w="900"/>
      </w:tblGrid>
      <w:tr w:rsidR="00630F6F" w:rsidRPr="002F223D" w:rsidTr="00B2684D">
        <w:trPr>
          <w:trHeight w:val="630"/>
          <w:jc w:val="center"/>
        </w:trPr>
        <w:tc>
          <w:tcPr>
            <w:tcW w:w="4577" w:type="dxa"/>
            <w:gridSpan w:val="2"/>
            <w:vMerge w:val="restart"/>
            <w:shd w:val="clear" w:color="auto" w:fill="auto"/>
            <w:vAlign w:val="center"/>
          </w:tcPr>
          <w:p w:rsidR="00630F6F" w:rsidRPr="002F223D" w:rsidRDefault="00630F6F" w:rsidP="007471A8">
            <w:pPr>
              <w:contextualSpacing/>
              <w:jc w:val="center"/>
              <w:rPr>
                <w:b/>
                <w:bCs/>
                <w:sz w:val="16"/>
                <w:szCs w:val="16"/>
              </w:rPr>
            </w:pPr>
            <w:r>
              <w:rPr>
                <w:b/>
                <w:bCs/>
                <w:sz w:val="16"/>
                <w:szCs w:val="16"/>
              </w:rPr>
              <w:lastRenderedPageBreak/>
              <w:t xml:space="preserve"> </w:t>
            </w:r>
            <w:r w:rsidRPr="002F223D">
              <w:rPr>
                <w:b/>
                <w:bCs/>
                <w:sz w:val="16"/>
                <w:szCs w:val="16"/>
              </w:rPr>
              <w:t>Performance Report and Performance Plan Targets</w:t>
            </w:r>
          </w:p>
        </w:tc>
        <w:tc>
          <w:tcPr>
            <w:tcW w:w="871" w:type="dxa"/>
            <w:shd w:val="clear" w:color="auto" w:fill="FFAC99"/>
            <w:noWrap/>
            <w:vAlign w:val="center"/>
          </w:tcPr>
          <w:p w:rsidR="00630F6F" w:rsidRPr="002F223D" w:rsidRDefault="00630F6F" w:rsidP="007471A8">
            <w:pPr>
              <w:contextualSpacing/>
              <w:jc w:val="center"/>
              <w:rPr>
                <w:b/>
                <w:bCs/>
                <w:sz w:val="16"/>
                <w:szCs w:val="16"/>
              </w:rPr>
            </w:pPr>
            <w:r w:rsidRPr="002F223D">
              <w:rPr>
                <w:b/>
                <w:bCs/>
                <w:sz w:val="16"/>
                <w:szCs w:val="16"/>
              </w:rPr>
              <w:t>FY 2003</w:t>
            </w:r>
          </w:p>
        </w:tc>
        <w:tc>
          <w:tcPr>
            <w:tcW w:w="872" w:type="dxa"/>
            <w:shd w:val="clear" w:color="auto" w:fill="FFAC99"/>
            <w:noWrap/>
            <w:vAlign w:val="center"/>
          </w:tcPr>
          <w:p w:rsidR="00630F6F" w:rsidRPr="002F223D" w:rsidRDefault="00630F6F" w:rsidP="007471A8">
            <w:pPr>
              <w:contextualSpacing/>
              <w:jc w:val="center"/>
              <w:rPr>
                <w:b/>
                <w:bCs/>
                <w:sz w:val="16"/>
                <w:szCs w:val="16"/>
              </w:rPr>
            </w:pPr>
            <w:r w:rsidRPr="002F223D">
              <w:rPr>
                <w:b/>
                <w:bCs/>
                <w:sz w:val="16"/>
                <w:szCs w:val="16"/>
              </w:rPr>
              <w:t>FY 2004</w:t>
            </w:r>
          </w:p>
        </w:tc>
        <w:tc>
          <w:tcPr>
            <w:tcW w:w="871" w:type="dxa"/>
            <w:shd w:val="clear" w:color="auto" w:fill="FFAC99"/>
            <w:vAlign w:val="center"/>
          </w:tcPr>
          <w:p w:rsidR="00630F6F" w:rsidRPr="002F223D" w:rsidRDefault="00630F6F" w:rsidP="007471A8">
            <w:pPr>
              <w:contextualSpacing/>
              <w:jc w:val="center"/>
              <w:rPr>
                <w:b/>
                <w:bCs/>
                <w:sz w:val="16"/>
                <w:szCs w:val="16"/>
              </w:rPr>
            </w:pPr>
            <w:r w:rsidRPr="002F223D">
              <w:rPr>
                <w:b/>
                <w:bCs/>
                <w:sz w:val="16"/>
                <w:szCs w:val="16"/>
              </w:rPr>
              <w:t>FY 2005</w:t>
            </w:r>
          </w:p>
        </w:tc>
        <w:tc>
          <w:tcPr>
            <w:tcW w:w="866" w:type="dxa"/>
            <w:shd w:val="clear" w:color="auto" w:fill="FFAC99"/>
            <w:noWrap/>
            <w:vAlign w:val="center"/>
          </w:tcPr>
          <w:p w:rsidR="00630F6F" w:rsidRPr="002F223D" w:rsidRDefault="00630F6F" w:rsidP="007471A8">
            <w:pPr>
              <w:contextualSpacing/>
              <w:jc w:val="center"/>
              <w:rPr>
                <w:b/>
                <w:bCs/>
                <w:sz w:val="16"/>
                <w:szCs w:val="16"/>
              </w:rPr>
            </w:pPr>
            <w:r w:rsidRPr="002F223D">
              <w:rPr>
                <w:b/>
                <w:bCs/>
                <w:sz w:val="16"/>
                <w:szCs w:val="16"/>
              </w:rPr>
              <w:t>FY 2006</w:t>
            </w:r>
          </w:p>
        </w:tc>
        <w:tc>
          <w:tcPr>
            <w:tcW w:w="877" w:type="dxa"/>
            <w:shd w:val="clear" w:color="auto" w:fill="FFAC99"/>
            <w:vAlign w:val="center"/>
          </w:tcPr>
          <w:p w:rsidR="00630F6F" w:rsidRPr="002F223D" w:rsidRDefault="00630F6F" w:rsidP="007471A8">
            <w:pPr>
              <w:contextualSpacing/>
              <w:jc w:val="center"/>
              <w:rPr>
                <w:b/>
                <w:bCs/>
                <w:sz w:val="16"/>
                <w:szCs w:val="16"/>
              </w:rPr>
            </w:pPr>
            <w:r w:rsidRPr="002F223D">
              <w:rPr>
                <w:b/>
                <w:bCs/>
                <w:sz w:val="16"/>
                <w:szCs w:val="16"/>
              </w:rPr>
              <w:t>FY 2007</w:t>
            </w:r>
          </w:p>
        </w:tc>
        <w:tc>
          <w:tcPr>
            <w:tcW w:w="894" w:type="dxa"/>
            <w:shd w:val="clear" w:color="auto" w:fill="FFAC99"/>
            <w:vAlign w:val="center"/>
          </w:tcPr>
          <w:p w:rsidR="00630F6F" w:rsidRPr="002F223D" w:rsidRDefault="00630F6F" w:rsidP="007471A8">
            <w:pPr>
              <w:contextualSpacing/>
              <w:jc w:val="center"/>
              <w:rPr>
                <w:b/>
                <w:bCs/>
                <w:sz w:val="16"/>
                <w:szCs w:val="16"/>
              </w:rPr>
            </w:pPr>
            <w:r w:rsidRPr="002F223D">
              <w:rPr>
                <w:b/>
                <w:bCs/>
                <w:sz w:val="16"/>
                <w:szCs w:val="16"/>
              </w:rPr>
              <w:t>FY 2008</w:t>
            </w:r>
          </w:p>
        </w:tc>
        <w:tc>
          <w:tcPr>
            <w:tcW w:w="801" w:type="dxa"/>
            <w:shd w:val="clear" w:color="auto" w:fill="FFAC99"/>
            <w:vAlign w:val="center"/>
          </w:tcPr>
          <w:p w:rsidR="00630F6F" w:rsidRPr="002F223D" w:rsidRDefault="00630F6F" w:rsidP="007471A8">
            <w:pPr>
              <w:contextualSpacing/>
              <w:jc w:val="center"/>
              <w:rPr>
                <w:b/>
                <w:bCs/>
                <w:sz w:val="16"/>
                <w:szCs w:val="16"/>
              </w:rPr>
            </w:pPr>
            <w:r w:rsidRPr="002F223D">
              <w:rPr>
                <w:b/>
                <w:bCs/>
                <w:sz w:val="16"/>
                <w:szCs w:val="16"/>
              </w:rPr>
              <w:t>FY 200</w:t>
            </w:r>
            <w:r>
              <w:rPr>
                <w:b/>
                <w:bCs/>
                <w:sz w:val="16"/>
                <w:szCs w:val="16"/>
              </w:rPr>
              <w:t>9</w:t>
            </w:r>
          </w:p>
        </w:tc>
        <w:tc>
          <w:tcPr>
            <w:tcW w:w="819" w:type="dxa"/>
            <w:shd w:val="clear" w:color="auto" w:fill="FFAC99"/>
            <w:vAlign w:val="center"/>
          </w:tcPr>
          <w:p w:rsidR="00630F6F" w:rsidRPr="002F223D" w:rsidRDefault="00630F6F" w:rsidP="007471A8">
            <w:pPr>
              <w:contextualSpacing/>
              <w:jc w:val="center"/>
              <w:rPr>
                <w:b/>
                <w:bCs/>
                <w:sz w:val="16"/>
                <w:szCs w:val="16"/>
              </w:rPr>
            </w:pPr>
            <w:r w:rsidRPr="002F223D">
              <w:rPr>
                <w:b/>
                <w:bCs/>
                <w:sz w:val="16"/>
                <w:szCs w:val="16"/>
              </w:rPr>
              <w:t>FY 20</w:t>
            </w:r>
            <w:r>
              <w:rPr>
                <w:b/>
                <w:bCs/>
                <w:sz w:val="16"/>
                <w:szCs w:val="16"/>
              </w:rPr>
              <w:t>1</w:t>
            </w:r>
            <w:r w:rsidRPr="002F223D">
              <w:rPr>
                <w:b/>
                <w:bCs/>
                <w:sz w:val="16"/>
                <w:szCs w:val="16"/>
              </w:rPr>
              <w:t>0</w:t>
            </w:r>
          </w:p>
        </w:tc>
        <w:tc>
          <w:tcPr>
            <w:tcW w:w="810" w:type="dxa"/>
            <w:shd w:val="clear" w:color="auto" w:fill="FFAC99"/>
            <w:vAlign w:val="center"/>
          </w:tcPr>
          <w:p w:rsidR="00630F6F" w:rsidRPr="002F223D" w:rsidRDefault="00630F6F" w:rsidP="007471A8">
            <w:pPr>
              <w:contextualSpacing/>
              <w:jc w:val="center"/>
              <w:rPr>
                <w:b/>
                <w:bCs/>
                <w:sz w:val="16"/>
                <w:szCs w:val="16"/>
              </w:rPr>
            </w:pPr>
            <w:r w:rsidRPr="002F223D">
              <w:rPr>
                <w:b/>
                <w:bCs/>
                <w:sz w:val="16"/>
                <w:szCs w:val="16"/>
              </w:rPr>
              <w:t>FY 201</w:t>
            </w:r>
            <w:r>
              <w:rPr>
                <w:b/>
                <w:bCs/>
                <w:sz w:val="16"/>
                <w:szCs w:val="16"/>
              </w:rPr>
              <w:t>1</w:t>
            </w:r>
          </w:p>
        </w:tc>
        <w:tc>
          <w:tcPr>
            <w:tcW w:w="900" w:type="dxa"/>
            <w:shd w:val="clear" w:color="auto" w:fill="FFAC99"/>
            <w:vAlign w:val="center"/>
          </w:tcPr>
          <w:p w:rsidR="00630F6F" w:rsidRPr="002F223D" w:rsidRDefault="00630F6F" w:rsidP="007471A8">
            <w:pPr>
              <w:contextualSpacing/>
              <w:jc w:val="center"/>
              <w:rPr>
                <w:b/>
                <w:bCs/>
                <w:sz w:val="16"/>
                <w:szCs w:val="16"/>
              </w:rPr>
            </w:pPr>
            <w:r w:rsidRPr="002F223D">
              <w:rPr>
                <w:b/>
                <w:bCs/>
                <w:sz w:val="16"/>
                <w:szCs w:val="16"/>
              </w:rPr>
              <w:t>FY 201</w:t>
            </w:r>
            <w:r>
              <w:rPr>
                <w:b/>
                <w:bCs/>
                <w:sz w:val="16"/>
                <w:szCs w:val="16"/>
              </w:rPr>
              <w:t>2</w:t>
            </w:r>
          </w:p>
        </w:tc>
        <w:tc>
          <w:tcPr>
            <w:tcW w:w="900" w:type="dxa"/>
            <w:shd w:val="clear" w:color="auto" w:fill="FFAC99"/>
            <w:vAlign w:val="center"/>
          </w:tcPr>
          <w:p w:rsidR="00630F6F" w:rsidRPr="002F223D" w:rsidRDefault="00630F6F" w:rsidP="007471A8">
            <w:pPr>
              <w:contextualSpacing/>
              <w:jc w:val="center"/>
              <w:rPr>
                <w:b/>
                <w:bCs/>
                <w:sz w:val="16"/>
                <w:szCs w:val="16"/>
              </w:rPr>
            </w:pPr>
            <w:r>
              <w:rPr>
                <w:b/>
                <w:bCs/>
                <w:sz w:val="16"/>
                <w:szCs w:val="16"/>
              </w:rPr>
              <w:t>FY 2013</w:t>
            </w:r>
          </w:p>
        </w:tc>
      </w:tr>
      <w:tr w:rsidR="00630F6F" w:rsidRPr="002F223D" w:rsidTr="009552BF">
        <w:trPr>
          <w:trHeight w:val="332"/>
          <w:jc w:val="center"/>
        </w:trPr>
        <w:tc>
          <w:tcPr>
            <w:tcW w:w="4577" w:type="dxa"/>
            <w:gridSpan w:val="2"/>
            <w:vMerge/>
            <w:shd w:val="clear" w:color="auto" w:fill="auto"/>
            <w:vAlign w:val="center"/>
          </w:tcPr>
          <w:p w:rsidR="00630F6F" w:rsidRPr="002F223D" w:rsidRDefault="00630F6F" w:rsidP="007471A8">
            <w:pPr>
              <w:contextualSpacing/>
              <w:rPr>
                <w:b/>
                <w:bCs/>
                <w:sz w:val="16"/>
                <w:szCs w:val="16"/>
              </w:rPr>
            </w:pPr>
          </w:p>
        </w:tc>
        <w:tc>
          <w:tcPr>
            <w:tcW w:w="871" w:type="dxa"/>
            <w:shd w:val="clear" w:color="auto" w:fill="auto"/>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72" w:type="dxa"/>
            <w:shd w:val="clear" w:color="auto" w:fill="auto"/>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71" w:type="dxa"/>
            <w:shd w:val="clear" w:color="auto" w:fill="auto"/>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66" w:type="dxa"/>
            <w:shd w:val="clear" w:color="auto" w:fill="auto"/>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77" w:type="dxa"/>
            <w:shd w:val="clear" w:color="auto" w:fill="auto"/>
            <w:noWrap/>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94" w:type="dxa"/>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01" w:type="dxa"/>
            <w:shd w:val="clear" w:color="auto" w:fill="auto"/>
            <w:noWrap/>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19" w:type="dxa"/>
            <w:shd w:val="clear" w:color="auto" w:fill="auto"/>
            <w:vAlign w:val="center"/>
          </w:tcPr>
          <w:p w:rsidR="00630F6F" w:rsidRPr="00DC5745" w:rsidRDefault="00630F6F" w:rsidP="007471A8">
            <w:pPr>
              <w:contextualSpacing/>
              <w:jc w:val="center"/>
              <w:rPr>
                <w:b/>
                <w:bCs/>
                <w:sz w:val="16"/>
                <w:szCs w:val="16"/>
              </w:rPr>
            </w:pPr>
            <w:r w:rsidRPr="00DC5745">
              <w:rPr>
                <w:b/>
                <w:bCs/>
                <w:sz w:val="16"/>
                <w:szCs w:val="16"/>
              </w:rPr>
              <w:t>Actual</w:t>
            </w:r>
          </w:p>
        </w:tc>
        <w:tc>
          <w:tcPr>
            <w:tcW w:w="810" w:type="dxa"/>
            <w:tcBorders>
              <w:bottom w:val="single" w:sz="4" w:space="0" w:color="auto"/>
            </w:tcBorders>
            <w:shd w:val="clear" w:color="auto" w:fill="auto"/>
            <w:vAlign w:val="center"/>
          </w:tcPr>
          <w:p w:rsidR="00630F6F" w:rsidRPr="00DC5745" w:rsidRDefault="00630F6F" w:rsidP="007471A8">
            <w:pPr>
              <w:contextualSpacing/>
              <w:jc w:val="center"/>
              <w:rPr>
                <w:b/>
                <w:bCs/>
                <w:sz w:val="16"/>
                <w:szCs w:val="16"/>
              </w:rPr>
            </w:pPr>
            <w:r>
              <w:rPr>
                <w:b/>
                <w:bCs/>
                <w:sz w:val="16"/>
                <w:szCs w:val="16"/>
              </w:rPr>
              <w:t>Actual</w:t>
            </w:r>
          </w:p>
        </w:tc>
        <w:tc>
          <w:tcPr>
            <w:tcW w:w="900" w:type="dxa"/>
            <w:tcBorders>
              <w:bottom w:val="single" w:sz="4" w:space="0" w:color="auto"/>
            </w:tcBorders>
            <w:shd w:val="clear" w:color="auto" w:fill="auto"/>
            <w:vAlign w:val="center"/>
          </w:tcPr>
          <w:p w:rsidR="00630F6F" w:rsidRPr="00DC5745" w:rsidRDefault="00630F6F" w:rsidP="007471A8">
            <w:pPr>
              <w:contextualSpacing/>
              <w:jc w:val="center"/>
              <w:rPr>
                <w:b/>
                <w:bCs/>
                <w:sz w:val="16"/>
                <w:szCs w:val="16"/>
              </w:rPr>
            </w:pPr>
            <w:r w:rsidRPr="00DC5745">
              <w:rPr>
                <w:b/>
                <w:bCs/>
                <w:sz w:val="16"/>
                <w:szCs w:val="16"/>
              </w:rPr>
              <w:t>Target</w:t>
            </w:r>
          </w:p>
        </w:tc>
        <w:tc>
          <w:tcPr>
            <w:tcW w:w="900" w:type="dxa"/>
            <w:tcBorders>
              <w:bottom w:val="single" w:sz="4" w:space="0" w:color="auto"/>
            </w:tcBorders>
            <w:vAlign w:val="center"/>
          </w:tcPr>
          <w:p w:rsidR="00630F6F" w:rsidRPr="00DC5745" w:rsidRDefault="00630F6F" w:rsidP="007471A8">
            <w:pPr>
              <w:contextualSpacing/>
              <w:jc w:val="center"/>
              <w:rPr>
                <w:b/>
                <w:bCs/>
                <w:sz w:val="16"/>
                <w:szCs w:val="16"/>
              </w:rPr>
            </w:pPr>
            <w:r>
              <w:rPr>
                <w:b/>
                <w:bCs/>
                <w:sz w:val="16"/>
                <w:szCs w:val="16"/>
              </w:rPr>
              <w:t>Target</w:t>
            </w:r>
          </w:p>
        </w:tc>
      </w:tr>
      <w:tr w:rsidR="00630F6F" w:rsidRPr="00EC6A39" w:rsidTr="009552BF">
        <w:trPr>
          <w:trHeight w:val="1610"/>
          <w:jc w:val="center"/>
        </w:trPr>
        <w:tc>
          <w:tcPr>
            <w:tcW w:w="1368" w:type="dxa"/>
            <w:shd w:val="clear" w:color="auto" w:fill="auto"/>
            <w:vAlign w:val="center"/>
          </w:tcPr>
          <w:p w:rsidR="00630F6F" w:rsidRPr="002F223D" w:rsidRDefault="00630F6F" w:rsidP="007471A8">
            <w:pPr>
              <w:contextualSpacing/>
            </w:pPr>
            <w:r w:rsidRPr="002F223D">
              <w:rPr>
                <w:b/>
                <w:bCs/>
                <w:sz w:val="16"/>
                <w:szCs w:val="16"/>
              </w:rPr>
              <w:t>Efficiency Measures</w:t>
            </w:r>
          </w:p>
        </w:tc>
        <w:tc>
          <w:tcPr>
            <w:tcW w:w="3209" w:type="dxa"/>
            <w:shd w:val="clear" w:color="auto" w:fill="auto"/>
            <w:noWrap/>
            <w:vAlign w:val="center"/>
          </w:tcPr>
          <w:p w:rsidR="00630F6F" w:rsidRPr="002F223D" w:rsidRDefault="00630F6F" w:rsidP="007471A8">
            <w:pPr>
              <w:contextualSpacing/>
              <w:rPr>
                <w:b/>
                <w:bCs/>
                <w:sz w:val="16"/>
                <w:szCs w:val="16"/>
              </w:rPr>
            </w:pPr>
            <w:r w:rsidRPr="002F223D">
              <w:rPr>
                <w:b/>
                <w:bCs/>
                <w:sz w:val="16"/>
                <w:szCs w:val="16"/>
              </w:rPr>
              <w:t>IAFIS:</w:t>
            </w:r>
            <w:r>
              <w:rPr>
                <w:b/>
                <w:bCs/>
                <w:sz w:val="16"/>
                <w:szCs w:val="16"/>
              </w:rPr>
              <w:t xml:space="preserve"> [Discontinued measures]</w:t>
            </w:r>
          </w:p>
          <w:p w:rsidR="00630F6F" w:rsidRPr="002F223D" w:rsidRDefault="00630F6F" w:rsidP="007471A8">
            <w:pPr>
              <w:contextualSpacing/>
              <w:rPr>
                <w:sz w:val="16"/>
                <w:szCs w:val="16"/>
              </w:rPr>
            </w:pPr>
            <w:r w:rsidRPr="002F223D">
              <w:rPr>
                <w:sz w:val="16"/>
                <w:szCs w:val="16"/>
              </w:rPr>
              <w:t xml:space="preserve">% of electronically submitted fingerprint identification requests: </w:t>
            </w:r>
          </w:p>
          <w:p w:rsidR="00630F6F" w:rsidRPr="002F223D" w:rsidRDefault="00630F6F" w:rsidP="007471A8">
            <w:pPr>
              <w:contextualSpacing/>
              <w:rPr>
                <w:sz w:val="16"/>
                <w:szCs w:val="16"/>
              </w:rPr>
            </w:pPr>
            <w:r w:rsidRPr="002F223D">
              <w:rPr>
                <w:sz w:val="16"/>
                <w:szCs w:val="16"/>
                <w:u w:val="single"/>
              </w:rPr>
              <w:t>Criminal</w:t>
            </w:r>
            <w:r w:rsidRPr="002F223D">
              <w:rPr>
                <w:sz w:val="16"/>
                <w:szCs w:val="16"/>
              </w:rPr>
              <w:t>:</w:t>
            </w:r>
          </w:p>
          <w:p w:rsidR="00630F6F" w:rsidRPr="002F223D" w:rsidRDefault="00630F6F" w:rsidP="007471A8">
            <w:pPr>
              <w:numPr>
                <w:ilvl w:val="0"/>
                <w:numId w:val="49"/>
              </w:numPr>
              <w:tabs>
                <w:tab w:val="clear" w:pos="936"/>
              </w:tabs>
              <w:ind w:left="99" w:hanging="99"/>
              <w:contextualSpacing/>
              <w:rPr>
                <w:sz w:val="16"/>
                <w:szCs w:val="16"/>
              </w:rPr>
            </w:pPr>
            <w:r w:rsidRPr="002F223D">
              <w:rPr>
                <w:sz w:val="16"/>
                <w:szCs w:val="16"/>
              </w:rPr>
              <w:t>General checks completed w/in 2 hours</w:t>
            </w:r>
          </w:p>
          <w:p w:rsidR="00630F6F" w:rsidRPr="002F223D" w:rsidRDefault="00630F6F" w:rsidP="007471A8">
            <w:pPr>
              <w:numPr>
                <w:ilvl w:val="0"/>
                <w:numId w:val="50"/>
              </w:numPr>
              <w:tabs>
                <w:tab w:val="clear" w:pos="936"/>
              </w:tabs>
              <w:ind w:left="99" w:hanging="99"/>
              <w:contextualSpacing/>
              <w:rPr>
                <w:sz w:val="16"/>
                <w:szCs w:val="16"/>
              </w:rPr>
            </w:pPr>
            <w:r w:rsidRPr="002F223D">
              <w:rPr>
                <w:sz w:val="16"/>
                <w:szCs w:val="16"/>
              </w:rPr>
              <w:t>DHS checks completed w/in 72 hours</w:t>
            </w:r>
          </w:p>
          <w:p w:rsidR="00630F6F" w:rsidRPr="002F223D" w:rsidRDefault="00630F6F" w:rsidP="007471A8">
            <w:pPr>
              <w:contextualSpacing/>
              <w:rPr>
                <w:sz w:val="16"/>
                <w:szCs w:val="16"/>
              </w:rPr>
            </w:pPr>
            <w:r w:rsidRPr="002F223D">
              <w:rPr>
                <w:sz w:val="16"/>
                <w:szCs w:val="16"/>
                <w:u w:val="single"/>
              </w:rPr>
              <w:t>Civil</w:t>
            </w:r>
            <w:r w:rsidRPr="002F223D">
              <w:rPr>
                <w:sz w:val="16"/>
                <w:szCs w:val="16"/>
              </w:rPr>
              <w:t xml:space="preserve">: </w:t>
            </w:r>
          </w:p>
          <w:p w:rsidR="00630F6F" w:rsidRPr="002F223D" w:rsidRDefault="00630F6F" w:rsidP="007471A8">
            <w:pPr>
              <w:numPr>
                <w:ilvl w:val="0"/>
                <w:numId w:val="49"/>
              </w:numPr>
              <w:tabs>
                <w:tab w:val="clear" w:pos="936"/>
              </w:tabs>
              <w:ind w:left="99" w:hanging="99"/>
              <w:contextualSpacing/>
              <w:rPr>
                <w:sz w:val="16"/>
                <w:szCs w:val="16"/>
              </w:rPr>
            </w:pPr>
            <w:r w:rsidRPr="002F223D">
              <w:rPr>
                <w:sz w:val="16"/>
                <w:szCs w:val="16"/>
              </w:rPr>
              <w:t>General checks completed w/in 24 hours</w:t>
            </w:r>
          </w:p>
          <w:p w:rsidR="00630F6F" w:rsidRPr="002F223D" w:rsidRDefault="00630F6F" w:rsidP="007471A8">
            <w:pPr>
              <w:numPr>
                <w:ilvl w:val="0"/>
                <w:numId w:val="49"/>
              </w:numPr>
              <w:tabs>
                <w:tab w:val="clear" w:pos="936"/>
              </w:tabs>
              <w:ind w:left="99" w:hanging="99"/>
              <w:contextualSpacing/>
              <w:rPr>
                <w:sz w:val="16"/>
                <w:szCs w:val="16"/>
              </w:rPr>
            </w:pPr>
            <w:r w:rsidRPr="002F223D">
              <w:rPr>
                <w:sz w:val="16"/>
                <w:szCs w:val="16"/>
              </w:rPr>
              <w:t xml:space="preserve">DOS checks completed w/in 15 minutes </w:t>
            </w:r>
          </w:p>
        </w:tc>
        <w:tc>
          <w:tcPr>
            <w:tcW w:w="871" w:type="dxa"/>
            <w:shd w:val="clear" w:color="auto" w:fill="auto"/>
            <w:noWrap/>
            <w:vAlign w:val="bottom"/>
          </w:tcPr>
          <w:p w:rsidR="00630F6F" w:rsidRPr="002F223D" w:rsidRDefault="00630F6F" w:rsidP="007471A8">
            <w:pPr>
              <w:tabs>
                <w:tab w:val="left" w:pos="-1440"/>
              </w:tabs>
              <w:ind w:right="320"/>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91.6%</w:t>
            </w:r>
          </w:p>
          <w:p w:rsidR="00630F6F" w:rsidRPr="002F223D"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97.5%</w:t>
            </w:r>
          </w:p>
          <w:p w:rsidR="00630F6F"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tc>
        <w:tc>
          <w:tcPr>
            <w:tcW w:w="872" w:type="dxa"/>
            <w:shd w:val="clear" w:color="auto" w:fill="auto"/>
            <w:noWrap/>
            <w:vAlign w:val="bottom"/>
          </w:tcPr>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94.8%</w:t>
            </w:r>
          </w:p>
          <w:p w:rsidR="00630F6F" w:rsidRPr="002F223D"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99.2%</w:t>
            </w:r>
          </w:p>
          <w:p w:rsidR="00630F6F"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tc>
        <w:tc>
          <w:tcPr>
            <w:tcW w:w="871" w:type="dxa"/>
            <w:shd w:val="clear" w:color="auto" w:fill="auto"/>
            <w:noWrap/>
            <w:vAlign w:val="bottom"/>
          </w:tcPr>
          <w:p w:rsidR="00630F6F" w:rsidRPr="002F223D" w:rsidRDefault="00630F6F" w:rsidP="007471A8">
            <w:pPr>
              <w:tabs>
                <w:tab w:val="left" w:pos="-1440"/>
              </w:tabs>
              <w:contextualSpacing/>
              <w:jc w:val="right"/>
              <w:rPr>
                <w:sz w:val="16"/>
                <w:szCs w:val="16"/>
              </w:rPr>
            </w:pPr>
            <w:r w:rsidRPr="002F223D">
              <w:rPr>
                <w:sz w:val="16"/>
                <w:szCs w:val="16"/>
              </w:rPr>
              <w:t>96.5%</w:t>
            </w:r>
          </w:p>
          <w:p w:rsidR="00630F6F" w:rsidRPr="002F223D"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99.2%</w:t>
            </w:r>
          </w:p>
          <w:p w:rsidR="00630F6F"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tc>
        <w:tc>
          <w:tcPr>
            <w:tcW w:w="866" w:type="dxa"/>
            <w:shd w:val="clear" w:color="auto" w:fill="auto"/>
            <w:noWrap/>
            <w:vAlign w:val="bottom"/>
          </w:tcPr>
          <w:p w:rsidR="00630F6F" w:rsidRPr="002F223D" w:rsidRDefault="00630F6F" w:rsidP="007471A8">
            <w:pPr>
              <w:tabs>
                <w:tab w:val="left" w:pos="-1440"/>
              </w:tabs>
              <w:contextualSpacing/>
              <w:jc w:val="right"/>
              <w:rPr>
                <w:sz w:val="16"/>
                <w:szCs w:val="16"/>
              </w:rPr>
            </w:pPr>
            <w:r w:rsidRPr="002F223D">
              <w:rPr>
                <w:sz w:val="16"/>
                <w:szCs w:val="16"/>
              </w:rPr>
              <w:t>97%</w:t>
            </w:r>
          </w:p>
          <w:p w:rsidR="00630F6F" w:rsidRPr="002F223D"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98%</w:t>
            </w:r>
          </w:p>
          <w:p w:rsidR="00630F6F"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tc>
        <w:tc>
          <w:tcPr>
            <w:tcW w:w="877" w:type="dxa"/>
            <w:vAlign w:val="bottom"/>
          </w:tcPr>
          <w:p w:rsidR="00630F6F" w:rsidRPr="002F223D" w:rsidRDefault="00630F6F" w:rsidP="007471A8">
            <w:pPr>
              <w:tabs>
                <w:tab w:val="left" w:pos="-1440"/>
              </w:tabs>
              <w:contextualSpacing/>
              <w:jc w:val="right"/>
              <w:rPr>
                <w:sz w:val="16"/>
                <w:szCs w:val="16"/>
              </w:rPr>
            </w:pPr>
            <w:r w:rsidRPr="002F223D">
              <w:rPr>
                <w:sz w:val="16"/>
                <w:szCs w:val="16"/>
              </w:rPr>
              <w:t>98.0%</w:t>
            </w:r>
          </w:p>
          <w:p w:rsidR="00630F6F" w:rsidRPr="002F223D"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98.8%</w:t>
            </w:r>
          </w:p>
          <w:p w:rsidR="00630F6F"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tc>
        <w:tc>
          <w:tcPr>
            <w:tcW w:w="894" w:type="dxa"/>
            <w:shd w:val="clear" w:color="auto" w:fill="auto"/>
            <w:noWrap/>
            <w:vAlign w:val="bottom"/>
          </w:tcPr>
          <w:p w:rsidR="00630F6F" w:rsidRPr="002F223D" w:rsidRDefault="00630F6F" w:rsidP="007471A8">
            <w:pPr>
              <w:tabs>
                <w:tab w:val="left" w:pos="-1440"/>
              </w:tabs>
              <w:contextualSpacing/>
              <w:jc w:val="right"/>
              <w:rPr>
                <w:sz w:val="16"/>
                <w:szCs w:val="16"/>
              </w:rPr>
            </w:pPr>
            <w:r w:rsidRPr="002F223D">
              <w:rPr>
                <w:sz w:val="16"/>
                <w:szCs w:val="16"/>
              </w:rPr>
              <w:t>97.9%</w:t>
            </w:r>
          </w:p>
          <w:p w:rsidR="00630F6F" w:rsidRPr="002F223D"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sidRPr="002F223D">
              <w:rPr>
                <w:sz w:val="16"/>
                <w:szCs w:val="16"/>
              </w:rPr>
              <w:t>98.5%</w:t>
            </w:r>
          </w:p>
          <w:p w:rsidR="00630F6F" w:rsidRDefault="00630F6F" w:rsidP="007471A8">
            <w:pPr>
              <w:tabs>
                <w:tab w:val="left" w:pos="-1440"/>
              </w:tabs>
              <w:contextualSpacing/>
              <w:jc w:val="right"/>
              <w:rPr>
                <w:sz w:val="16"/>
                <w:szCs w:val="16"/>
              </w:rPr>
            </w:pPr>
            <w:r w:rsidRPr="002F223D">
              <w:rPr>
                <w:sz w:val="16"/>
                <w:szCs w:val="16"/>
              </w:rPr>
              <w:t>N/A</w:t>
            </w:r>
          </w:p>
          <w:p w:rsidR="00630F6F" w:rsidRPr="002F223D" w:rsidRDefault="00630F6F" w:rsidP="007471A8">
            <w:pPr>
              <w:tabs>
                <w:tab w:val="left" w:pos="-1440"/>
              </w:tabs>
              <w:contextualSpacing/>
              <w:jc w:val="right"/>
              <w:rPr>
                <w:sz w:val="16"/>
                <w:szCs w:val="16"/>
              </w:rPr>
            </w:pPr>
          </w:p>
        </w:tc>
        <w:tc>
          <w:tcPr>
            <w:tcW w:w="801" w:type="dxa"/>
            <w:shd w:val="clear" w:color="auto" w:fill="auto"/>
            <w:noWrap/>
            <w:vAlign w:val="bottom"/>
          </w:tcPr>
          <w:p w:rsidR="00630F6F" w:rsidRPr="001A1FA0" w:rsidRDefault="00630F6F" w:rsidP="007471A8">
            <w:pPr>
              <w:tabs>
                <w:tab w:val="left" w:pos="-1440"/>
              </w:tabs>
              <w:contextualSpacing/>
              <w:jc w:val="right"/>
              <w:rPr>
                <w:sz w:val="16"/>
                <w:szCs w:val="16"/>
              </w:rPr>
            </w:pPr>
            <w:r>
              <w:rPr>
                <w:sz w:val="16"/>
                <w:szCs w:val="16"/>
              </w:rPr>
              <w:t>98.2</w:t>
            </w:r>
            <w:r w:rsidRPr="001A1FA0">
              <w:rPr>
                <w:sz w:val="16"/>
                <w:szCs w:val="16"/>
              </w:rPr>
              <w:t>%</w:t>
            </w:r>
          </w:p>
          <w:p w:rsidR="00630F6F" w:rsidRPr="001A1FA0" w:rsidRDefault="00630F6F" w:rsidP="007471A8">
            <w:pPr>
              <w:tabs>
                <w:tab w:val="left" w:pos="-1440"/>
              </w:tabs>
              <w:contextualSpacing/>
              <w:jc w:val="right"/>
              <w:rPr>
                <w:sz w:val="16"/>
                <w:szCs w:val="16"/>
              </w:rPr>
            </w:pPr>
            <w:r>
              <w:rPr>
                <w:sz w:val="16"/>
                <w:szCs w:val="16"/>
              </w:rPr>
              <w:t>100</w:t>
            </w:r>
            <w:r w:rsidRPr="001A1FA0">
              <w:rPr>
                <w:sz w:val="16"/>
                <w:szCs w:val="16"/>
              </w:rPr>
              <w:t>%</w:t>
            </w:r>
          </w:p>
          <w:p w:rsidR="00630F6F" w:rsidRPr="001A1FA0" w:rsidRDefault="00630F6F" w:rsidP="007471A8">
            <w:pPr>
              <w:tabs>
                <w:tab w:val="left" w:pos="-1440"/>
              </w:tabs>
              <w:contextualSpacing/>
              <w:jc w:val="right"/>
              <w:rPr>
                <w:sz w:val="16"/>
                <w:szCs w:val="16"/>
              </w:rPr>
            </w:pPr>
          </w:p>
          <w:p w:rsidR="00630F6F" w:rsidRPr="001A1FA0" w:rsidRDefault="00630F6F" w:rsidP="007471A8">
            <w:pPr>
              <w:tabs>
                <w:tab w:val="left" w:pos="-1440"/>
              </w:tabs>
              <w:contextualSpacing/>
              <w:jc w:val="right"/>
              <w:rPr>
                <w:sz w:val="16"/>
                <w:szCs w:val="16"/>
              </w:rPr>
            </w:pPr>
            <w:r w:rsidRPr="001A1FA0">
              <w:rPr>
                <w:sz w:val="16"/>
                <w:szCs w:val="16"/>
              </w:rPr>
              <w:t>98.8%</w:t>
            </w:r>
          </w:p>
          <w:p w:rsidR="00630F6F" w:rsidRDefault="00630F6F" w:rsidP="007471A8">
            <w:pPr>
              <w:tabs>
                <w:tab w:val="left" w:pos="-1440"/>
              </w:tabs>
              <w:contextualSpacing/>
              <w:jc w:val="right"/>
              <w:rPr>
                <w:sz w:val="16"/>
                <w:szCs w:val="16"/>
              </w:rPr>
            </w:pPr>
            <w:r w:rsidRPr="001A1FA0">
              <w:rPr>
                <w:sz w:val="16"/>
                <w:szCs w:val="16"/>
              </w:rPr>
              <w:t>99.7%</w:t>
            </w:r>
          </w:p>
          <w:p w:rsidR="00630F6F" w:rsidRPr="007402B9" w:rsidRDefault="00630F6F" w:rsidP="007471A8">
            <w:pPr>
              <w:tabs>
                <w:tab w:val="left" w:pos="-1440"/>
              </w:tabs>
              <w:contextualSpacing/>
              <w:jc w:val="right"/>
              <w:rPr>
                <w:sz w:val="16"/>
                <w:szCs w:val="16"/>
              </w:rPr>
            </w:pPr>
          </w:p>
        </w:tc>
        <w:tc>
          <w:tcPr>
            <w:tcW w:w="819" w:type="dxa"/>
            <w:shd w:val="clear" w:color="auto" w:fill="auto"/>
            <w:vAlign w:val="bottom"/>
          </w:tcPr>
          <w:p w:rsidR="00630F6F" w:rsidRDefault="00630F6F" w:rsidP="007471A8">
            <w:pPr>
              <w:tabs>
                <w:tab w:val="left" w:pos="-1440"/>
              </w:tabs>
              <w:contextualSpacing/>
              <w:jc w:val="right"/>
              <w:rPr>
                <w:sz w:val="16"/>
                <w:szCs w:val="16"/>
              </w:rPr>
            </w:pPr>
            <w:r>
              <w:rPr>
                <w:sz w:val="16"/>
                <w:szCs w:val="16"/>
              </w:rPr>
              <w:t>99.32%</w:t>
            </w:r>
          </w:p>
          <w:p w:rsidR="00630F6F" w:rsidRDefault="00630F6F" w:rsidP="007471A8">
            <w:pPr>
              <w:tabs>
                <w:tab w:val="left" w:pos="-1440"/>
              </w:tabs>
              <w:contextualSpacing/>
              <w:jc w:val="right"/>
              <w:rPr>
                <w:sz w:val="16"/>
                <w:szCs w:val="16"/>
              </w:rPr>
            </w:pPr>
            <w:r>
              <w:rPr>
                <w:sz w:val="16"/>
                <w:szCs w:val="16"/>
              </w:rPr>
              <w:t>99.51%</w:t>
            </w:r>
          </w:p>
          <w:p w:rsidR="00630F6F" w:rsidRDefault="00630F6F" w:rsidP="007471A8">
            <w:pPr>
              <w:tabs>
                <w:tab w:val="left" w:pos="-1440"/>
              </w:tabs>
              <w:contextualSpacing/>
              <w:jc w:val="right"/>
              <w:rPr>
                <w:sz w:val="16"/>
                <w:szCs w:val="16"/>
              </w:rPr>
            </w:pPr>
          </w:p>
          <w:p w:rsidR="00630F6F" w:rsidRDefault="00630F6F" w:rsidP="007471A8">
            <w:pPr>
              <w:tabs>
                <w:tab w:val="left" w:pos="-1440"/>
              </w:tabs>
              <w:contextualSpacing/>
              <w:jc w:val="right"/>
              <w:rPr>
                <w:sz w:val="16"/>
                <w:szCs w:val="16"/>
              </w:rPr>
            </w:pPr>
            <w:r>
              <w:rPr>
                <w:sz w:val="16"/>
                <w:szCs w:val="16"/>
              </w:rPr>
              <w:t>99.70%</w:t>
            </w:r>
          </w:p>
          <w:p w:rsidR="00630F6F" w:rsidRDefault="00630F6F" w:rsidP="007471A8">
            <w:pPr>
              <w:tabs>
                <w:tab w:val="left" w:pos="-1440"/>
              </w:tabs>
              <w:contextualSpacing/>
              <w:jc w:val="right"/>
              <w:rPr>
                <w:sz w:val="16"/>
                <w:szCs w:val="16"/>
              </w:rPr>
            </w:pPr>
            <w:r>
              <w:rPr>
                <w:sz w:val="16"/>
                <w:szCs w:val="16"/>
              </w:rPr>
              <w:t>99.11%</w:t>
            </w:r>
          </w:p>
          <w:p w:rsidR="00630F6F" w:rsidRPr="007402B9" w:rsidRDefault="00630F6F" w:rsidP="007471A8">
            <w:pPr>
              <w:tabs>
                <w:tab w:val="left" w:pos="-1440"/>
              </w:tabs>
              <w:contextualSpacing/>
              <w:jc w:val="right"/>
              <w:rPr>
                <w:sz w:val="16"/>
                <w:szCs w:val="16"/>
              </w:rPr>
            </w:pPr>
          </w:p>
        </w:tc>
        <w:tc>
          <w:tcPr>
            <w:tcW w:w="810" w:type="dxa"/>
            <w:shd w:val="clear" w:color="auto" w:fill="auto"/>
            <w:vAlign w:val="bottom"/>
          </w:tcPr>
          <w:p w:rsidR="00630F6F" w:rsidRPr="00EE41E8" w:rsidRDefault="00630F6F" w:rsidP="007471A8">
            <w:pPr>
              <w:tabs>
                <w:tab w:val="left" w:pos="-1440"/>
              </w:tabs>
              <w:contextualSpacing/>
              <w:jc w:val="right"/>
              <w:rPr>
                <w:sz w:val="16"/>
                <w:szCs w:val="16"/>
              </w:rPr>
            </w:pPr>
            <w:r w:rsidRPr="00EE41E8">
              <w:rPr>
                <w:sz w:val="16"/>
                <w:szCs w:val="16"/>
              </w:rPr>
              <w:t>99.3%</w:t>
            </w:r>
          </w:p>
          <w:p w:rsidR="00630F6F" w:rsidRPr="00EE41E8" w:rsidRDefault="00630F6F" w:rsidP="007471A8">
            <w:pPr>
              <w:tabs>
                <w:tab w:val="left" w:pos="-1440"/>
              </w:tabs>
              <w:contextualSpacing/>
              <w:jc w:val="right"/>
              <w:rPr>
                <w:sz w:val="16"/>
                <w:szCs w:val="16"/>
              </w:rPr>
            </w:pPr>
            <w:r w:rsidRPr="00EE41E8">
              <w:rPr>
                <w:sz w:val="16"/>
                <w:szCs w:val="16"/>
              </w:rPr>
              <w:t>100%</w:t>
            </w:r>
          </w:p>
          <w:p w:rsidR="00630F6F" w:rsidRPr="00EE41E8" w:rsidRDefault="00630F6F" w:rsidP="007471A8">
            <w:pPr>
              <w:tabs>
                <w:tab w:val="left" w:pos="-1440"/>
              </w:tabs>
              <w:contextualSpacing/>
              <w:jc w:val="right"/>
              <w:rPr>
                <w:sz w:val="16"/>
                <w:szCs w:val="16"/>
              </w:rPr>
            </w:pPr>
          </w:p>
          <w:p w:rsidR="00630F6F" w:rsidRPr="00EE41E8" w:rsidRDefault="00630F6F" w:rsidP="007471A8">
            <w:pPr>
              <w:tabs>
                <w:tab w:val="left" w:pos="-1440"/>
              </w:tabs>
              <w:contextualSpacing/>
              <w:jc w:val="right"/>
              <w:rPr>
                <w:sz w:val="16"/>
                <w:szCs w:val="16"/>
              </w:rPr>
            </w:pPr>
            <w:r w:rsidRPr="00EE41E8">
              <w:rPr>
                <w:sz w:val="16"/>
                <w:szCs w:val="16"/>
              </w:rPr>
              <w:t>99.8%</w:t>
            </w:r>
          </w:p>
          <w:p w:rsidR="00630F6F" w:rsidRPr="00EE41E8" w:rsidRDefault="00630F6F" w:rsidP="007471A8">
            <w:pPr>
              <w:tabs>
                <w:tab w:val="left" w:pos="-1440"/>
              </w:tabs>
              <w:contextualSpacing/>
              <w:jc w:val="right"/>
              <w:rPr>
                <w:sz w:val="16"/>
                <w:szCs w:val="16"/>
              </w:rPr>
            </w:pPr>
            <w:r w:rsidRPr="00EE41E8">
              <w:rPr>
                <w:sz w:val="16"/>
                <w:szCs w:val="16"/>
              </w:rPr>
              <w:t>99.9%</w:t>
            </w:r>
          </w:p>
          <w:p w:rsidR="00630F6F" w:rsidRPr="00AB74AA" w:rsidRDefault="00630F6F" w:rsidP="007471A8">
            <w:pPr>
              <w:tabs>
                <w:tab w:val="left" w:pos="-1440"/>
              </w:tabs>
              <w:contextualSpacing/>
              <w:jc w:val="right"/>
              <w:rPr>
                <w:sz w:val="16"/>
                <w:szCs w:val="16"/>
                <w:highlight w:val="yellow"/>
              </w:rPr>
            </w:pPr>
          </w:p>
        </w:tc>
        <w:tc>
          <w:tcPr>
            <w:tcW w:w="900" w:type="dxa"/>
            <w:shd w:val="clear" w:color="auto" w:fill="auto"/>
            <w:noWrap/>
            <w:vAlign w:val="bottom"/>
          </w:tcPr>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p>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p>
        </w:tc>
        <w:tc>
          <w:tcPr>
            <w:tcW w:w="900" w:type="dxa"/>
            <w:tcBorders>
              <w:bottom w:val="single" w:sz="4" w:space="0" w:color="auto"/>
            </w:tcBorders>
            <w:shd w:val="clear" w:color="auto" w:fill="auto"/>
            <w:vAlign w:val="bottom"/>
          </w:tcPr>
          <w:p w:rsidR="00630F6F" w:rsidRPr="0042179B" w:rsidRDefault="00630F6F" w:rsidP="007471A8">
            <w:pPr>
              <w:tabs>
                <w:tab w:val="left" w:pos="-1440"/>
              </w:tabs>
              <w:contextualSpacing/>
              <w:jc w:val="right"/>
              <w:rPr>
                <w:sz w:val="16"/>
                <w:szCs w:val="16"/>
              </w:rPr>
            </w:pPr>
          </w:p>
          <w:p w:rsidR="00630F6F" w:rsidRPr="0042179B" w:rsidRDefault="00630F6F" w:rsidP="007471A8">
            <w:pPr>
              <w:tabs>
                <w:tab w:val="left" w:pos="-1440"/>
              </w:tabs>
              <w:contextualSpacing/>
              <w:jc w:val="right"/>
              <w:rPr>
                <w:sz w:val="16"/>
                <w:szCs w:val="16"/>
              </w:rPr>
            </w:pPr>
          </w:p>
          <w:p w:rsidR="00630F6F" w:rsidRPr="0042179B" w:rsidRDefault="00630F6F" w:rsidP="007471A8">
            <w:pPr>
              <w:tabs>
                <w:tab w:val="left" w:pos="-1440"/>
              </w:tabs>
              <w:contextualSpacing/>
              <w:jc w:val="right"/>
              <w:rPr>
                <w:sz w:val="16"/>
                <w:szCs w:val="16"/>
              </w:rPr>
            </w:pPr>
          </w:p>
          <w:p w:rsidR="00630F6F" w:rsidRPr="0042179B" w:rsidRDefault="00630F6F" w:rsidP="007471A8">
            <w:pPr>
              <w:tabs>
                <w:tab w:val="left" w:pos="-1440"/>
              </w:tabs>
              <w:contextualSpacing/>
              <w:jc w:val="right"/>
              <w:rPr>
                <w:sz w:val="16"/>
                <w:szCs w:val="16"/>
              </w:rPr>
            </w:pPr>
          </w:p>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p>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r w:rsidRPr="0042179B">
              <w:rPr>
                <w:sz w:val="16"/>
                <w:szCs w:val="16"/>
              </w:rPr>
              <w:t>N/A</w:t>
            </w:r>
          </w:p>
          <w:p w:rsidR="00630F6F" w:rsidRPr="0042179B" w:rsidRDefault="00630F6F" w:rsidP="007471A8">
            <w:pPr>
              <w:tabs>
                <w:tab w:val="left" w:pos="-1440"/>
              </w:tabs>
              <w:contextualSpacing/>
              <w:jc w:val="right"/>
              <w:rPr>
                <w:sz w:val="16"/>
                <w:szCs w:val="16"/>
              </w:rPr>
            </w:pPr>
          </w:p>
        </w:tc>
      </w:tr>
      <w:tr w:rsidR="00630F6F" w:rsidRPr="00EC6A39" w:rsidTr="009552BF">
        <w:trPr>
          <w:trHeight w:val="600"/>
          <w:jc w:val="center"/>
        </w:trPr>
        <w:tc>
          <w:tcPr>
            <w:tcW w:w="1368"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3209" w:type="dxa"/>
            <w:shd w:val="clear" w:color="auto" w:fill="auto"/>
            <w:noWrap/>
            <w:vAlign w:val="center"/>
          </w:tcPr>
          <w:p w:rsidR="00630F6F" w:rsidRPr="00F71A82" w:rsidRDefault="00630F6F" w:rsidP="007471A8">
            <w:pPr>
              <w:contextualSpacing/>
              <w:rPr>
                <w:bCs/>
                <w:i/>
                <w:sz w:val="16"/>
                <w:szCs w:val="16"/>
              </w:rPr>
            </w:pPr>
            <w:r w:rsidRPr="002F223D">
              <w:rPr>
                <w:b/>
                <w:bCs/>
                <w:sz w:val="16"/>
                <w:szCs w:val="16"/>
              </w:rPr>
              <w:t xml:space="preserve"> </w:t>
            </w:r>
            <w:r>
              <w:rPr>
                <w:b/>
                <w:bCs/>
                <w:sz w:val="16"/>
                <w:szCs w:val="16"/>
              </w:rPr>
              <w:t>IAFIS/NGI: [New measures]</w:t>
            </w:r>
          </w:p>
          <w:p w:rsidR="00630F6F" w:rsidRPr="00963407" w:rsidRDefault="00630F6F" w:rsidP="007471A8">
            <w:pPr>
              <w:numPr>
                <w:ilvl w:val="0"/>
                <w:numId w:val="49"/>
              </w:numPr>
              <w:tabs>
                <w:tab w:val="clear" w:pos="936"/>
              </w:tabs>
              <w:ind w:left="99" w:hanging="99"/>
              <w:contextualSpacing/>
              <w:rPr>
                <w:b/>
                <w:bCs/>
                <w:sz w:val="16"/>
                <w:szCs w:val="16"/>
              </w:rPr>
            </w:pPr>
            <w:r>
              <w:rPr>
                <w:bCs/>
                <w:sz w:val="16"/>
                <w:szCs w:val="16"/>
              </w:rPr>
              <w:t xml:space="preserve">Average daily identification searches </w:t>
            </w:r>
          </w:p>
          <w:p w:rsidR="00630F6F" w:rsidRPr="00963407" w:rsidRDefault="00630F6F" w:rsidP="007471A8">
            <w:pPr>
              <w:numPr>
                <w:ilvl w:val="0"/>
                <w:numId w:val="49"/>
              </w:numPr>
              <w:tabs>
                <w:tab w:val="clear" w:pos="936"/>
              </w:tabs>
              <w:ind w:left="99" w:hanging="99"/>
              <w:contextualSpacing/>
              <w:rPr>
                <w:b/>
                <w:bCs/>
                <w:sz w:val="16"/>
                <w:szCs w:val="16"/>
              </w:rPr>
            </w:pPr>
            <w:r>
              <w:rPr>
                <w:bCs/>
                <w:sz w:val="16"/>
                <w:szCs w:val="16"/>
              </w:rPr>
              <w:t>Average daily latent searches</w:t>
            </w:r>
          </w:p>
          <w:p w:rsidR="00630F6F" w:rsidRPr="00F71A82" w:rsidRDefault="00630F6F" w:rsidP="007471A8">
            <w:pPr>
              <w:numPr>
                <w:ilvl w:val="0"/>
                <w:numId w:val="49"/>
              </w:numPr>
              <w:tabs>
                <w:tab w:val="clear" w:pos="936"/>
              </w:tabs>
              <w:ind w:left="99" w:hanging="99"/>
              <w:contextualSpacing/>
              <w:rPr>
                <w:b/>
                <w:bCs/>
                <w:sz w:val="16"/>
                <w:szCs w:val="16"/>
              </w:rPr>
            </w:pPr>
            <w:r>
              <w:rPr>
                <w:sz w:val="16"/>
                <w:szCs w:val="16"/>
              </w:rPr>
              <w:t>Response time for routine criminal submissions</w:t>
            </w:r>
          </w:p>
          <w:p w:rsidR="00630F6F" w:rsidRPr="00963407" w:rsidRDefault="00630F6F" w:rsidP="007471A8">
            <w:pPr>
              <w:numPr>
                <w:ilvl w:val="0"/>
                <w:numId w:val="49"/>
              </w:numPr>
              <w:tabs>
                <w:tab w:val="clear" w:pos="936"/>
              </w:tabs>
              <w:ind w:left="99" w:hanging="99"/>
              <w:contextualSpacing/>
              <w:rPr>
                <w:b/>
                <w:bCs/>
                <w:sz w:val="16"/>
                <w:szCs w:val="16"/>
              </w:rPr>
            </w:pPr>
            <w:r>
              <w:rPr>
                <w:sz w:val="16"/>
                <w:szCs w:val="16"/>
              </w:rPr>
              <w:t>Response time for routine civil submissions</w:t>
            </w:r>
          </w:p>
        </w:tc>
        <w:tc>
          <w:tcPr>
            <w:tcW w:w="871" w:type="dxa"/>
            <w:shd w:val="clear" w:color="auto" w:fill="auto"/>
            <w:noWrap/>
            <w:vAlign w:val="bottom"/>
          </w:tcPr>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Pr="002F223D" w:rsidRDefault="00630F6F" w:rsidP="007471A8">
            <w:pPr>
              <w:contextualSpacing/>
              <w:jc w:val="right"/>
              <w:rPr>
                <w:sz w:val="16"/>
                <w:szCs w:val="16"/>
              </w:rPr>
            </w:pPr>
            <w:r>
              <w:rPr>
                <w:sz w:val="16"/>
                <w:szCs w:val="16"/>
              </w:rPr>
              <w:t>N/A</w:t>
            </w:r>
          </w:p>
        </w:tc>
        <w:tc>
          <w:tcPr>
            <w:tcW w:w="872" w:type="dxa"/>
            <w:shd w:val="clear" w:color="auto" w:fill="auto"/>
            <w:noWrap/>
            <w:vAlign w:val="bottom"/>
          </w:tcPr>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Pr="00452885" w:rsidRDefault="00630F6F" w:rsidP="007471A8">
            <w:pPr>
              <w:contextualSpacing/>
              <w:jc w:val="right"/>
              <w:rPr>
                <w:sz w:val="16"/>
                <w:szCs w:val="16"/>
              </w:rPr>
            </w:pPr>
            <w:r>
              <w:rPr>
                <w:sz w:val="16"/>
                <w:szCs w:val="16"/>
              </w:rPr>
              <w:t>N/A</w:t>
            </w:r>
          </w:p>
        </w:tc>
        <w:tc>
          <w:tcPr>
            <w:tcW w:w="871" w:type="dxa"/>
            <w:shd w:val="clear" w:color="auto" w:fill="auto"/>
            <w:noWrap/>
            <w:vAlign w:val="bottom"/>
          </w:tcPr>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Pr="002F223D" w:rsidRDefault="00630F6F" w:rsidP="007471A8">
            <w:pPr>
              <w:contextualSpacing/>
              <w:jc w:val="right"/>
              <w:rPr>
                <w:sz w:val="16"/>
                <w:szCs w:val="16"/>
              </w:rPr>
            </w:pPr>
            <w:r>
              <w:rPr>
                <w:sz w:val="16"/>
                <w:szCs w:val="16"/>
              </w:rPr>
              <w:t>N/A</w:t>
            </w:r>
          </w:p>
        </w:tc>
        <w:tc>
          <w:tcPr>
            <w:tcW w:w="866" w:type="dxa"/>
            <w:shd w:val="clear" w:color="auto" w:fill="auto"/>
            <w:noWrap/>
            <w:vAlign w:val="bottom"/>
          </w:tcPr>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Pr="002F223D" w:rsidRDefault="00630F6F" w:rsidP="007471A8">
            <w:pPr>
              <w:contextualSpacing/>
              <w:jc w:val="right"/>
              <w:rPr>
                <w:sz w:val="16"/>
                <w:szCs w:val="16"/>
              </w:rPr>
            </w:pPr>
            <w:r>
              <w:rPr>
                <w:sz w:val="16"/>
                <w:szCs w:val="16"/>
              </w:rPr>
              <w:t>N/A</w:t>
            </w:r>
          </w:p>
        </w:tc>
        <w:tc>
          <w:tcPr>
            <w:tcW w:w="877" w:type="dxa"/>
            <w:vAlign w:val="bottom"/>
          </w:tcPr>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Pr="00EC6A39" w:rsidRDefault="00630F6F" w:rsidP="007471A8">
            <w:pPr>
              <w:contextualSpacing/>
              <w:jc w:val="right"/>
              <w:rPr>
                <w:sz w:val="16"/>
                <w:szCs w:val="16"/>
              </w:rPr>
            </w:pPr>
            <w:r>
              <w:rPr>
                <w:sz w:val="16"/>
                <w:szCs w:val="16"/>
              </w:rPr>
              <w:t>N/A</w:t>
            </w:r>
          </w:p>
        </w:tc>
        <w:tc>
          <w:tcPr>
            <w:tcW w:w="894" w:type="dxa"/>
            <w:shd w:val="clear" w:color="auto" w:fill="auto"/>
            <w:noWrap/>
            <w:vAlign w:val="bottom"/>
          </w:tcPr>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Pr="002F223D" w:rsidRDefault="00630F6F" w:rsidP="007471A8">
            <w:pPr>
              <w:contextualSpacing/>
              <w:jc w:val="right"/>
              <w:rPr>
                <w:sz w:val="16"/>
                <w:szCs w:val="16"/>
              </w:rPr>
            </w:pPr>
            <w:r>
              <w:rPr>
                <w:sz w:val="16"/>
                <w:szCs w:val="16"/>
              </w:rPr>
              <w:t>N/A</w:t>
            </w:r>
          </w:p>
        </w:tc>
        <w:tc>
          <w:tcPr>
            <w:tcW w:w="801" w:type="dxa"/>
            <w:shd w:val="clear" w:color="auto" w:fill="auto"/>
            <w:noWrap/>
            <w:vAlign w:val="bottom"/>
          </w:tcPr>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r>
              <w:rPr>
                <w:sz w:val="16"/>
                <w:szCs w:val="16"/>
              </w:rPr>
              <w:t>N/A</w:t>
            </w:r>
          </w:p>
          <w:p w:rsidR="00630F6F" w:rsidRDefault="00630F6F" w:rsidP="007471A8">
            <w:pPr>
              <w:contextualSpacing/>
              <w:jc w:val="right"/>
              <w:rPr>
                <w:sz w:val="16"/>
                <w:szCs w:val="16"/>
              </w:rPr>
            </w:pPr>
          </w:p>
          <w:p w:rsidR="00630F6F" w:rsidRDefault="00630F6F" w:rsidP="007471A8">
            <w:pPr>
              <w:contextualSpacing/>
              <w:jc w:val="right"/>
              <w:rPr>
                <w:sz w:val="16"/>
                <w:szCs w:val="16"/>
              </w:rPr>
            </w:pPr>
            <w:r>
              <w:rPr>
                <w:sz w:val="16"/>
                <w:szCs w:val="16"/>
              </w:rPr>
              <w:t>N/A</w:t>
            </w:r>
          </w:p>
        </w:tc>
        <w:tc>
          <w:tcPr>
            <w:tcW w:w="819" w:type="dxa"/>
            <w:shd w:val="clear" w:color="auto" w:fill="auto"/>
            <w:vAlign w:val="bottom"/>
          </w:tcPr>
          <w:p w:rsidR="00630F6F" w:rsidRDefault="00630F6F" w:rsidP="007471A8">
            <w:pPr>
              <w:tabs>
                <w:tab w:val="left" w:pos="-1440"/>
              </w:tabs>
              <w:contextualSpacing/>
              <w:jc w:val="right"/>
              <w:rPr>
                <w:sz w:val="16"/>
                <w:szCs w:val="16"/>
              </w:rPr>
            </w:pPr>
            <w:r>
              <w:rPr>
                <w:sz w:val="16"/>
                <w:szCs w:val="16"/>
              </w:rPr>
              <w:t>132,064</w:t>
            </w:r>
          </w:p>
          <w:p w:rsidR="00630F6F" w:rsidRDefault="00630F6F" w:rsidP="007471A8">
            <w:pPr>
              <w:tabs>
                <w:tab w:val="left" w:pos="-1440"/>
              </w:tabs>
              <w:contextualSpacing/>
              <w:jc w:val="right"/>
              <w:rPr>
                <w:sz w:val="16"/>
                <w:szCs w:val="16"/>
              </w:rPr>
            </w:pPr>
          </w:p>
          <w:p w:rsidR="00630F6F" w:rsidRDefault="00630F6F" w:rsidP="007471A8">
            <w:pPr>
              <w:tabs>
                <w:tab w:val="left" w:pos="-1440"/>
              </w:tabs>
              <w:contextualSpacing/>
              <w:jc w:val="right"/>
              <w:rPr>
                <w:sz w:val="16"/>
                <w:szCs w:val="16"/>
              </w:rPr>
            </w:pPr>
            <w:r>
              <w:rPr>
                <w:sz w:val="16"/>
                <w:szCs w:val="16"/>
              </w:rPr>
              <w:t>682</w:t>
            </w:r>
          </w:p>
          <w:p w:rsidR="00630F6F" w:rsidRDefault="00630F6F" w:rsidP="007471A8">
            <w:pPr>
              <w:tabs>
                <w:tab w:val="left" w:pos="-1440"/>
              </w:tabs>
              <w:contextualSpacing/>
              <w:jc w:val="right"/>
              <w:rPr>
                <w:sz w:val="16"/>
                <w:szCs w:val="16"/>
              </w:rPr>
            </w:pPr>
            <w:r>
              <w:rPr>
                <w:sz w:val="16"/>
                <w:szCs w:val="16"/>
              </w:rPr>
              <w:t>8m 42s</w:t>
            </w:r>
          </w:p>
          <w:p w:rsidR="00630F6F" w:rsidRDefault="00630F6F" w:rsidP="007471A8">
            <w:pPr>
              <w:tabs>
                <w:tab w:val="left" w:pos="-1440"/>
              </w:tabs>
              <w:contextualSpacing/>
              <w:jc w:val="right"/>
              <w:rPr>
                <w:sz w:val="16"/>
                <w:szCs w:val="16"/>
              </w:rPr>
            </w:pPr>
          </w:p>
          <w:p w:rsidR="00630F6F" w:rsidRPr="002F223D" w:rsidRDefault="00630F6F" w:rsidP="007471A8">
            <w:pPr>
              <w:tabs>
                <w:tab w:val="left" w:pos="-1440"/>
              </w:tabs>
              <w:contextualSpacing/>
              <w:jc w:val="right"/>
              <w:rPr>
                <w:sz w:val="16"/>
                <w:szCs w:val="16"/>
              </w:rPr>
            </w:pPr>
            <w:r>
              <w:rPr>
                <w:sz w:val="16"/>
                <w:szCs w:val="16"/>
              </w:rPr>
              <w:t>55m24s</w:t>
            </w:r>
          </w:p>
        </w:tc>
        <w:tc>
          <w:tcPr>
            <w:tcW w:w="810" w:type="dxa"/>
            <w:shd w:val="clear" w:color="auto" w:fill="auto"/>
            <w:vAlign w:val="bottom"/>
          </w:tcPr>
          <w:p w:rsidR="00630F6F" w:rsidRPr="004A0127" w:rsidRDefault="00630F6F" w:rsidP="007471A8">
            <w:pPr>
              <w:contextualSpacing/>
              <w:jc w:val="right"/>
              <w:rPr>
                <w:sz w:val="16"/>
                <w:szCs w:val="16"/>
              </w:rPr>
            </w:pPr>
            <w:r w:rsidRPr="004A0127">
              <w:rPr>
                <w:sz w:val="16"/>
                <w:szCs w:val="16"/>
              </w:rPr>
              <w:t>139,125</w:t>
            </w:r>
          </w:p>
          <w:p w:rsidR="00630F6F" w:rsidRPr="004A0127" w:rsidRDefault="00630F6F" w:rsidP="007471A8">
            <w:pPr>
              <w:contextualSpacing/>
              <w:jc w:val="right"/>
              <w:rPr>
                <w:sz w:val="16"/>
                <w:szCs w:val="16"/>
              </w:rPr>
            </w:pPr>
          </w:p>
          <w:p w:rsidR="00630F6F" w:rsidRPr="004A0127" w:rsidRDefault="00630F6F" w:rsidP="007471A8">
            <w:pPr>
              <w:contextualSpacing/>
              <w:jc w:val="right"/>
              <w:rPr>
                <w:sz w:val="16"/>
                <w:szCs w:val="16"/>
              </w:rPr>
            </w:pPr>
            <w:r w:rsidRPr="004A0127">
              <w:rPr>
                <w:sz w:val="16"/>
                <w:szCs w:val="16"/>
              </w:rPr>
              <w:t>597</w:t>
            </w:r>
          </w:p>
          <w:p w:rsidR="00630F6F" w:rsidRPr="004A0127" w:rsidRDefault="00630F6F" w:rsidP="007471A8">
            <w:pPr>
              <w:contextualSpacing/>
              <w:jc w:val="right"/>
              <w:rPr>
                <w:sz w:val="16"/>
                <w:szCs w:val="16"/>
              </w:rPr>
            </w:pPr>
            <w:r w:rsidRPr="004A0127">
              <w:rPr>
                <w:sz w:val="16"/>
                <w:szCs w:val="16"/>
              </w:rPr>
              <w:t>10 min</w:t>
            </w:r>
          </w:p>
          <w:p w:rsidR="00630F6F" w:rsidRPr="004A0127" w:rsidRDefault="00630F6F" w:rsidP="007471A8">
            <w:pPr>
              <w:contextualSpacing/>
              <w:jc w:val="right"/>
              <w:rPr>
                <w:sz w:val="16"/>
                <w:szCs w:val="16"/>
              </w:rPr>
            </w:pPr>
          </w:p>
          <w:p w:rsidR="00630F6F" w:rsidRPr="004A0127" w:rsidRDefault="00630F6F" w:rsidP="007471A8">
            <w:pPr>
              <w:tabs>
                <w:tab w:val="left" w:pos="-1440"/>
              </w:tabs>
              <w:contextualSpacing/>
              <w:jc w:val="right"/>
              <w:rPr>
                <w:sz w:val="16"/>
                <w:szCs w:val="16"/>
              </w:rPr>
            </w:pPr>
            <w:r w:rsidRPr="004A0127">
              <w:rPr>
                <w:sz w:val="16"/>
                <w:szCs w:val="16"/>
              </w:rPr>
              <w:t>1 hr 5 m</w:t>
            </w:r>
          </w:p>
        </w:tc>
        <w:tc>
          <w:tcPr>
            <w:tcW w:w="900" w:type="dxa"/>
            <w:shd w:val="clear" w:color="auto" w:fill="auto"/>
            <w:noWrap/>
            <w:vAlign w:val="bottom"/>
          </w:tcPr>
          <w:p w:rsidR="00630F6F" w:rsidRPr="004A0127" w:rsidRDefault="00630F6F" w:rsidP="007471A8">
            <w:pPr>
              <w:tabs>
                <w:tab w:val="left" w:pos="-1440"/>
              </w:tabs>
              <w:contextualSpacing/>
              <w:jc w:val="right"/>
              <w:rPr>
                <w:sz w:val="16"/>
                <w:szCs w:val="16"/>
              </w:rPr>
            </w:pPr>
            <w:r w:rsidRPr="004A0127">
              <w:rPr>
                <w:sz w:val="16"/>
                <w:szCs w:val="16"/>
              </w:rPr>
              <w:t>187,706</w:t>
            </w:r>
          </w:p>
          <w:p w:rsidR="00630F6F" w:rsidRPr="004A0127" w:rsidRDefault="00630F6F" w:rsidP="007471A8">
            <w:pPr>
              <w:tabs>
                <w:tab w:val="left" w:pos="-1440"/>
              </w:tabs>
              <w:contextualSpacing/>
              <w:jc w:val="right"/>
              <w:rPr>
                <w:sz w:val="16"/>
                <w:szCs w:val="16"/>
              </w:rPr>
            </w:pPr>
          </w:p>
          <w:p w:rsidR="00630F6F" w:rsidRPr="004A0127" w:rsidRDefault="00630F6F" w:rsidP="007471A8">
            <w:pPr>
              <w:tabs>
                <w:tab w:val="left" w:pos="-1440"/>
              </w:tabs>
              <w:contextualSpacing/>
              <w:jc w:val="right"/>
              <w:rPr>
                <w:sz w:val="16"/>
                <w:szCs w:val="16"/>
              </w:rPr>
            </w:pPr>
            <w:r w:rsidRPr="004A0127">
              <w:rPr>
                <w:sz w:val="16"/>
                <w:szCs w:val="16"/>
              </w:rPr>
              <w:t>686</w:t>
            </w:r>
          </w:p>
          <w:p w:rsidR="00630F6F" w:rsidRPr="004A0127" w:rsidRDefault="00630F6F" w:rsidP="007471A8">
            <w:pPr>
              <w:tabs>
                <w:tab w:val="left" w:pos="-1440"/>
              </w:tabs>
              <w:contextualSpacing/>
              <w:jc w:val="right"/>
              <w:rPr>
                <w:sz w:val="16"/>
                <w:szCs w:val="16"/>
              </w:rPr>
            </w:pPr>
            <w:r w:rsidRPr="004A0127">
              <w:rPr>
                <w:sz w:val="16"/>
                <w:szCs w:val="16"/>
              </w:rPr>
              <w:t>1 hour</w:t>
            </w:r>
          </w:p>
          <w:p w:rsidR="00630F6F" w:rsidRPr="004A0127" w:rsidRDefault="00630F6F" w:rsidP="007471A8">
            <w:pPr>
              <w:tabs>
                <w:tab w:val="left" w:pos="-1440"/>
              </w:tabs>
              <w:contextualSpacing/>
              <w:jc w:val="right"/>
              <w:rPr>
                <w:sz w:val="16"/>
                <w:szCs w:val="16"/>
              </w:rPr>
            </w:pPr>
          </w:p>
          <w:p w:rsidR="00630F6F" w:rsidRPr="004A0127" w:rsidRDefault="00630F6F" w:rsidP="007471A8">
            <w:pPr>
              <w:tabs>
                <w:tab w:val="left" w:pos="-1440"/>
              </w:tabs>
              <w:contextualSpacing/>
              <w:jc w:val="right"/>
              <w:rPr>
                <w:sz w:val="16"/>
                <w:szCs w:val="16"/>
              </w:rPr>
            </w:pPr>
            <w:r w:rsidRPr="004A0127">
              <w:rPr>
                <w:sz w:val="16"/>
                <w:szCs w:val="16"/>
              </w:rPr>
              <w:t>12 hours</w:t>
            </w:r>
          </w:p>
        </w:tc>
        <w:tc>
          <w:tcPr>
            <w:tcW w:w="900" w:type="dxa"/>
            <w:shd w:val="clear" w:color="auto" w:fill="auto"/>
          </w:tcPr>
          <w:p w:rsidR="00630F6F" w:rsidRPr="004A0127" w:rsidRDefault="00630F6F" w:rsidP="007471A8">
            <w:pPr>
              <w:tabs>
                <w:tab w:val="left" w:pos="-1440"/>
              </w:tabs>
              <w:contextualSpacing/>
              <w:jc w:val="right"/>
              <w:rPr>
                <w:sz w:val="16"/>
                <w:szCs w:val="16"/>
              </w:rPr>
            </w:pPr>
          </w:p>
          <w:p w:rsidR="00630F6F" w:rsidRPr="004A0127" w:rsidRDefault="00630F6F" w:rsidP="007471A8">
            <w:pPr>
              <w:tabs>
                <w:tab w:val="left" w:pos="-1440"/>
              </w:tabs>
              <w:contextualSpacing/>
              <w:jc w:val="right"/>
              <w:rPr>
                <w:sz w:val="16"/>
                <w:szCs w:val="16"/>
              </w:rPr>
            </w:pPr>
            <w:r w:rsidRPr="004A0127">
              <w:rPr>
                <w:sz w:val="16"/>
                <w:szCs w:val="16"/>
              </w:rPr>
              <w:t>200,232</w:t>
            </w:r>
          </w:p>
          <w:p w:rsidR="00630F6F" w:rsidRPr="004A0127" w:rsidRDefault="00630F6F" w:rsidP="007471A8">
            <w:pPr>
              <w:tabs>
                <w:tab w:val="left" w:pos="-1440"/>
              </w:tabs>
              <w:contextualSpacing/>
              <w:jc w:val="right"/>
              <w:rPr>
                <w:sz w:val="16"/>
                <w:szCs w:val="16"/>
              </w:rPr>
            </w:pPr>
          </w:p>
          <w:p w:rsidR="00630F6F" w:rsidRPr="004A0127" w:rsidRDefault="00630F6F" w:rsidP="007471A8">
            <w:pPr>
              <w:tabs>
                <w:tab w:val="left" w:pos="-1440"/>
              </w:tabs>
              <w:contextualSpacing/>
              <w:jc w:val="right"/>
              <w:rPr>
                <w:sz w:val="16"/>
                <w:szCs w:val="16"/>
              </w:rPr>
            </w:pPr>
            <w:r w:rsidRPr="004A0127">
              <w:rPr>
                <w:sz w:val="16"/>
                <w:szCs w:val="16"/>
              </w:rPr>
              <w:t>753</w:t>
            </w:r>
          </w:p>
          <w:p w:rsidR="00630F6F" w:rsidRPr="004A0127" w:rsidRDefault="00630F6F" w:rsidP="007471A8">
            <w:pPr>
              <w:tabs>
                <w:tab w:val="left" w:pos="-1440"/>
              </w:tabs>
              <w:contextualSpacing/>
              <w:jc w:val="right"/>
              <w:rPr>
                <w:sz w:val="16"/>
                <w:szCs w:val="16"/>
              </w:rPr>
            </w:pPr>
            <w:r w:rsidRPr="004A0127">
              <w:rPr>
                <w:sz w:val="16"/>
                <w:szCs w:val="16"/>
              </w:rPr>
              <w:t>30 min</w:t>
            </w:r>
          </w:p>
          <w:p w:rsidR="00630F6F" w:rsidRPr="004A0127" w:rsidRDefault="00630F6F" w:rsidP="007471A8">
            <w:pPr>
              <w:tabs>
                <w:tab w:val="left" w:pos="-1440"/>
              </w:tabs>
              <w:contextualSpacing/>
              <w:jc w:val="right"/>
              <w:rPr>
                <w:sz w:val="16"/>
                <w:szCs w:val="16"/>
              </w:rPr>
            </w:pPr>
          </w:p>
          <w:p w:rsidR="00630F6F" w:rsidRPr="004A0127" w:rsidRDefault="00630F6F" w:rsidP="007471A8">
            <w:pPr>
              <w:tabs>
                <w:tab w:val="left" w:pos="-1440"/>
              </w:tabs>
              <w:contextualSpacing/>
              <w:jc w:val="right"/>
              <w:rPr>
                <w:sz w:val="16"/>
                <w:szCs w:val="16"/>
              </w:rPr>
            </w:pPr>
            <w:r w:rsidRPr="004A0127">
              <w:rPr>
                <w:sz w:val="16"/>
                <w:szCs w:val="16"/>
              </w:rPr>
              <w:t>6 hours</w:t>
            </w:r>
          </w:p>
        </w:tc>
      </w:tr>
      <w:tr w:rsidR="00630F6F" w:rsidRPr="00EC6A39" w:rsidTr="009552BF">
        <w:trPr>
          <w:trHeight w:val="359"/>
          <w:jc w:val="center"/>
        </w:trPr>
        <w:tc>
          <w:tcPr>
            <w:tcW w:w="1368" w:type="dxa"/>
            <w:shd w:val="clear" w:color="auto" w:fill="auto"/>
            <w:vAlign w:val="center"/>
          </w:tcPr>
          <w:p w:rsidR="00630F6F" w:rsidRPr="002F223D" w:rsidRDefault="00630F6F" w:rsidP="007471A8">
            <w:pPr>
              <w:contextualSpacing/>
            </w:pPr>
            <w:r w:rsidRPr="002F223D">
              <w:rPr>
                <w:b/>
                <w:bCs/>
                <w:sz w:val="16"/>
                <w:szCs w:val="16"/>
              </w:rPr>
              <w:t>Performance Measure</w:t>
            </w:r>
          </w:p>
        </w:tc>
        <w:tc>
          <w:tcPr>
            <w:tcW w:w="3209" w:type="dxa"/>
            <w:shd w:val="clear" w:color="auto" w:fill="auto"/>
            <w:noWrap/>
          </w:tcPr>
          <w:p w:rsidR="00630F6F" w:rsidRPr="00B70EC4" w:rsidRDefault="00630F6F" w:rsidP="007471A8">
            <w:pPr>
              <w:contextualSpacing/>
              <w:rPr>
                <w:b/>
                <w:bCs/>
                <w:sz w:val="16"/>
                <w:szCs w:val="16"/>
              </w:rPr>
            </w:pPr>
            <w:r w:rsidRPr="00B70EC4">
              <w:rPr>
                <w:b/>
                <w:bCs/>
                <w:sz w:val="16"/>
                <w:szCs w:val="16"/>
              </w:rPr>
              <w:t xml:space="preserve">NICS: </w:t>
            </w:r>
          </w:p>
          <w:p w:rsidR="00630F6F" w:rsidRPr="002F223D" w:rsidRDefault="00630F6F" w:rsidP="007471A8">
            <w:pPr>
              <w:contextualSpacing/>
              <w:rPr>
                <w:sz w:val="16"/>
                <w:szCs w:val="16"/>
              </w:rPr>
            </w:pPr>
            <w:r>
              <w:rPr>
                <w:bCs/>
                <w:sz w:val="16"/>
                <w:szCs w:val="16"/>
              </w:rPr>
              <w:t>%</w:t>
            </w:r>
            <w:r w:rsidRPr="002F223D">
              <w:rPr>
                <w:sz w:val="16"/>
                <w:szCs w:val="16"/>
              </w:rPr>
              <w:t xml:space="preserve"> of NICS checks with an Immediate Determination</w:t>
            </w:r>
          </w:p>
        </w:tc>
        <w:tc>
          <w:tcPr>
            <w:tcW w:w="871"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91.23%</w:t>
            </w:r>
          </w:p>
        </w:tc>
        <w:tc>
          <w:tcPr>
            <w:tcW w:w="872"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91.85%</w:t>
            </w:r>
          </w:p>
        </w:tc>
        <w:tc>
          <w:tcPr>
            <w:tcW w:w="871" w:type="dxa"/>
            <w:shd w:val="clear" w:color="auto" w:fill="auto"/>
            <w:noWrap/>
            <w:vAlign w:val="center"/>
          </w:tcPr>
          <w:p w:rsidR="00630F6F" w:rsidRPr="002F223D" w:rsidRDefault="00630F6F" w:rsidP="007471A8">
            <w:pPr>
              <w:tabs>
                <w:tab w:val="left" w:pos="-1440"/>
              </w:tabs>
              <w:contextualSpacing/>
              <w:jc w:val="center"/>
              <w:rPr>
                <w:sz w:val="16"/>
                <w:szCs w:val="16"/>
              </w:rPr>
            </w:pPr>
            <w:r w:rsidRPr="002F223D">
              <w:rPr>
                <w:sz w:val="16"/>
                <w:szCs w:val="16"/>
              </w:rPr>
              <w:t>91.45%</w:t>
            </w:r>
          </w:p>
        </w:tc>
        <w:tc>
          <w:tcPr>
            <w:tcW w:w="866" w:type="dxa"/>
            <w:shd w:val="clear" w:color="auto" w:fill="auto"/>
            <w:noWrap/>
            <w:vAlign w:val="center"/>
          </w:tcPr>
          <w:p w:rsidR="00630F6F" w:rsidRPr="002F223D" w:rsidRDefault="00630F6F" w:rsidP="007471A8">
            <w:pPr>
              <w:tabs>
                <w:tab w:val="left" w:pos="-1440"/>
              </w:tabs>
              <w:contextualSpacing/>
              <w:jc w:val="center"/>
              <w:rPr>
                <w:sz w:val="16"/>
                <w:szCs w:val="16"/>
              </w:rPr>
            </w:pPr>
            <w:r w:rsidRPr="002F223D">
              <w:rPr>
                <w:sz w:val="16"/>
                <w:szCs w:val="16"/>
              </w:rPr>
              <w:t>91.46%</w:t>
            </w:r>
          </w:p>
        </w:tc>
        <w:tc>
          <w:tcPr>
            <w:tcW w:w="877" w:type="dxa"/>
            <w:vAlign w:val="center"/>
          </w:tcPr>
          <w:p w:rsidR="00630F6F" w:rsidRPr="002F223D" w:rsidRDefault="00630F6F" w:rsidP="007471A8">
            <w:pPr>
              <w:tabs>
                <w:tab w:val="left" w:pos="-1440"/>
              </w:tabs>
              <w:contextualSpacing/>
              <w:jc w:val="center"/>
              <w:rPr>
                <w:sz w:val="16"/>
                <w:szCs w:val="16"/>
              </w:rPr>
            </w:pPr>
            <w:r w:rsidRPr="002F223D">
              <w:rPr>
                <w:sz w:val="16"/>
                <w:szCs w:val="16"/>
              </w:rPr>
              <w:t>91.63%</w:t>
            </w:r>
          </w:p>
        </w:tc>
        <w:tc>
          <w:tcPr>
            <w:tcW w:w="894"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91.66%</w:t>
            </w:r>
          </w:p>
        </w:tc>
        <w:tc>
          <w:tcPr>
            <w:tcW w:w="801" w:type="dxa"/>
            <w:shd w:val="clear" w:color="auto" w:fill="auto"/>
            <w:noWrap/>
            <w:vAlign w:val="center"/>
          </w:tcPr>
          <w:p w:rsidR="00630F6F" w:rsidRPr="002F223D" w:rsidRDefault="00630F6F" w:rsidP="007471A8">
            <w:pPr>
              <w:tabs>
                <w:tab w:val="left" w:pos="-1440"/>
              </w:tabs>
              <w:contextualSpacing/>
              <w:jc w:val="right"/>
              <w:rPr>
                <w:sz w:val="16"/>
                <w:szCs w:val="16"/>
              </w:rPr>
            </w:pPr>
            <w:r>
              <w:rPr>
                <w:sz w:val="16"/>
                <w:szCs w:val="16"/>
              </w:rPr>
              <w:t>91.9%</w:t>
            </w:r>
          </w:p>
        </w:tc>
        <w:tc>
          <w:tcPr>
            <w:tcW w:w="819" w:type="dxa"/>
            <w:shd w:val="clear" w:color="auto" w:fill="auto"/>
            <w:vAlign w:val="center"/>
          </w:tcPr>
          <w:p w:rsidR="00630F6F" w:rsidRPr="002F223D" w:rsidRDefault="00630F6F" w:rsidP="007471A8">
            <w:pPr>
              <w:tabs>
                <w:tab w:val="left" w:pos="-1440"/>
              </w:tabs>
              <w:contextualSpacing/>
              <w:jc w:val="right"/>
              <w:rPr>
                <w:sz w:val="16"/>
                <w:szCs w:val="16"/>
              </w:rPr>
            </w:pPr>
            <w:r>
              <w:rPr>
                <w:sz w:val="16"/>
                <w:szCs w:val="16"/>
              </w:rPr>
              <w:t>91.36%</w:t>
            </w:r>
          </w:p>
        </w:tc>
        <w:tc>
          <w:tcPr>
            <w:tcW w:w="810" w:type="dxa"/>
            <w:shd w:val="clear" w:color="auto" w:fill="auto"/>
            <w:vAlign w:val="center"/>
          </w:tcPr>
          <w:p w:rsidR="00630F6F" w:rsidRPr="004A0127" w:rsidRDefault="00630F6F" w:rsidP="007471A8">
            <w:pPr>
              <w:tabs>
                <w:tab w:val="left" w:pos="-1440"/>
              </w:tabs>
              <w:contextualSpacing/>
              <w:jc w:val="right"/>
              <w:rPr>
                <w:sz w:val="16"/>
                <w:szCs w:val="16"/>
              </w:rPr>
            </w:pPr>
            <w:r w:rsidRPr="004A0127">
              <w:rPr>
                <w:sz w:val="16"/>
                <w:szCs w:val="16"/>
              </w:rPr>
              <w:t>91.4%</w:t>
            </w:r>
          </w:p>
        </w:tc>
        <w:tc>
          <w:tcPr>
            <w:tcW w:w="900" w:type="dxa"/>
            <w:shd w:val="clear" w:color="auto" w:fill="auto"/>
            <w:noWrap/>
            <w:vAlign w:val="center"/>
          </w:tcPr>
          <w:p w:rsidR="00630F6F" w:rsidRPr="004A0127" w:rsidRDefault="00630F6F" w:rsidP="007471A8">
            <w:pPr>
              <w:tabs>
                <w:tab w:val="left" w:pos="-1440"/>
              </w:tabs>
              <w:contextualSpacing/>
              <w:jc w:val="right"/>
              <w:rPr>
                <w:sz w:val="16"/>
                <w:szCs w:val="16"/>
              </w:rPr>
            </w:pPr>
            <w:r w:rsidRPr="004A0127">
              <w:rPr>
                <w:sz w:val="16"/>
                <w:szCs w:val="16"/>
              </w:rPr>
              <w:t>90%</w:t>
            </w:r>
          </w:p>
        </w:tc>
        <w:tc>
          <w:tcPr>
            <w:tcW w:w="900" w:type="dxa"/>
            <w:shd w:val="clear" w:color="auto" w:fill="auto"/>
            <w:vAlign w:val="center"/>
          </w:tcPr>
          <w:p w:rsidR="00630F6F" w:rsidRPr="004A0127" w:rsidRDefault="00630F6F" w:rsidP="007471A8">
            <w:pPr>
              <w:tabs>
                <w:tab w:val="left" w:pos="-1440"/>
              </w:tabs>
              <w:contextualSpacing/>
              <w:jc w:val="right"/>
              <w:rPr>
                <w:sz w:val="16"/>
                <w:szCs w:val="16"/>
              </w:rPr>
            </w:pPr>
            <w:r w:rsidRPr="004A0127">
              <w:rPr>
                <w:sz w:val="16"/>
                <w:szCs w:val="16"/>
              </w:rPr>
              <w:t>90%</w:t>
            </w:r>
          </w:p>
        </w:tc>
      </w:tr>
      <w:tr w:rsidR="00630F6F" w:rsidRPr="00EC6A39" w:rsidTr="009552BF">
        <w:trPr>
          <w:trHeight w:val="600"/>
          <w:jc w:val="center"/>
        </w:trPr>
        <w:tc>
          <w:tcPr>
            <w:tcW w:w="1368" w:type="dxa"/>
            <w:shd w:val="clear" w:color="auto" w:fill="auto"/>
            <w:vAlign w:val="center"/>
          </w:tcPr>
          <w:p w:rsidR="00630F6F" w:rsidRPr="002F223D" w:rsidRDefault="00630F6F" w:rsidP="007471A8">
            <w:pPr>
              <w:contextualSpacing/>
            </w:pPr>
            <w:r w:rsidRPr="002F223D">
              <w:rPr>
                <w:b/>
                <w:bCs/>
                <w:sz w:val="16"/>
                <w:szCs w:val="16"/>
              </w:rPr>
              <w:t>Performance Measure</w:t>
            </w:r>
          </w:p>
        </w:tc>
        <w:tc>
          <w:tcPr>
            <w:tcW w:w="3209" w:type="dxa"/>
            <w:shd w:val="clear" w:color="auto" w:fill="auto"/>
            <w:noWrap/>
          </w:tcPr>
          <w:p w:rsidR="00630F6F" w:rsidRPr="002F223D" w:rsidRDefault="00630F6F" w:rsidP="007471A8">
            <w:pPr>
              <w:contextualSpacing/>
              <w:rPr>
                <w:b/>
                <w:bCs/>
                <w:sz w:val="16"/>
                <w:szCs w:val="16"/>
              </w:rPr>
            </w:pPr>
            <w:r w:rsidRPr="002F223D">
              <w:rPr>
                <w:sz w:val="16"/>
                <w:szCs w:val="16"/>
              </w:rPr>
              <w:t xml:space="preserve"> </w:t>
            </w:r>
            <w:r w:rsidRPr="002F223D">
              <w:rPr>
                <w:b/>
                <w:bCs/>
                <w:sz w:val="16"/>
                <w:szCs w:val="16"/>
              </w:rPr>
              <w:t>NCIC:</w:t>
            </w:r>
          </w:p>
          <w:p w:rsidR="00630F6F" w:rsidRPr="002F223D" w:rsidRDefault="00630F6F" w:rsidP="007471A8">
            <w:pPr>
              <w:numPr>
                <w:ilvl w:val="0"/>
                <w:numId w:val="49"/>
              </w:numPr>
              <w:tabs>
                <w:tab w:val="clear" w:pos="936"/>
              </w:tabs>
              <w:ind w:left="99" w:hanging="99"/>
              <w:contextualSpacing/>
              <w:rPr>
                <w:sz w:val="16"/>
                <w:szCs w:val="16"/>
              </w:rPr>
            </w:pPr>
            <w:r w:rsidRPr="002F223D">
              <w:rPr>
                <w:sz w:val="16"/>
                <w:szCs w:val="16"/>
              </w:rPr>
              <w:t>System availability</w:t>
            </w:r>
          </w:p>
          <w:p w:rsidR="00630F6F" w:rsidRPr="002F223D" w:rsidRDefault="00630F6F" w:rsidP="007471A8">
            <w:pPr>
              <w:numPr>
                <w:ilvl w:val="0"/>
                <w:numId w:val="49"/>
              </w:numPr>
              <w:tabs>
                <w:tab w:val="clear" w:pos="936"/>
              </w:tabs>
              <w:ind w:left="99" w:hanging="99"/>
              <w:contextualSpacing/>
              <w:rPr>
                <w:b/>
                <w:bCs/>
                <w:sz w:val="16"/>
                <w:szCs w:val="16"/>
              </w:rPr>
            </w:pPr>
            <w:r w:rsidRPr="002F223D">
              <w:rPr>
                <w:sz w:val="16"/>
                <w:szCs w:val="16"/>
              </w:rPr>
              <w:t>Downtime in minutes</w:t>
            </w:r>
          </w:p>
        </w:tc>
        <w:tc>
          <w:tcPr>
            <w:tcW w:w="871" w:type="dxa"/>
            <w:shd w:val="clear" w:color="auto" w:fill="auto"/>
            <w:noWrap/>
            <w:vAlign w:val="bottom"/>
          </w:tcPr>
          <w:p w:rsidR="00630F6F" w:rsidRPr="002F223D" w:rsidRDefault="00630F6F" w:rsidP="007471A8">
            <w:pPr>
              <w:contextualSpacing/>
              <w:jc w:val="right"/>
              <w:rPr>
                <w:sz w:val="16"/>
                <w:szCs w:val="16"/>
              </w:rPr>
            </w:pPr>
            <w:r w:rsidRPr="002F223D">
              <w:rPr>
                <w:sz w:val="16"/>
                <w:szCs w:val="16"/>
              </w:rPr>
              <w:t>99.7%</w:t>
            </w:r>
          </w:p>
          <w:p w:rsidR="00630F6F" w:rsidRPr="002F223D" w:rsidRDefault="00630F6F" w:rsidP="007471A8">
            <w:pPr>
              <w:contextualSpacing/>
              <w:jc w:val="right"/>
              <w:rPr>
                <w:sz w:val="16"/>
                <w:szCs w:val="16"/>
              </w:rPr>
            </w:pPr>
            <w:r w:rsidRPr="002F223D">
              <w:rPr>
                <w:sz w:val="16"/>
                <w:szCs w:val="16"/>
              </w:rPr>
              <w:t>1,788</w:t>
            </w:r>
          </w:p>
        </w:tc>
        <w:tc>
          <w:tcPr>
            <w:tcW w:w="872" w:type="dxa"/>
            <w:shd w:val="clear" w:color="auto" w:fill="auto"/>
            <w:noWrap/>
            <w:vAlign w:val="bottom"/>
          </w:tcPr>
          <w:p w:rsidR="00630F6F" w:rsidRPr="002F223D" w:rsidRDefault="00630F6F" w:rsidP="007471A8">
            <w:pPr>
              <w:contextualSpacing/>
              <w:jc w:val="right"/>
              <w:rPr>
                <w:sz w:val="16"/>
                <w:szCs w:val="16"/>
              </w:rPr>
            </w:pPr>
            <w:r w:rsidRPr="002F223D">
              <w:rPr>
                <w:sz w:val="16"/>
                <w:szCs w:val="16"/>
              </w:rPr>
              <w:t>99.7%</w:t>
            </w:r>
          </w:p>
          <w:p w:rsidR="00630F6F" w:rsidRPr="002F223D" w:rsidRDefault="00630F6F" w:rsidP="007471A8">
            <w:pPr>
              <w:contextualSpacing/>
              <w:jc w:val="right"/>
              <w:rPr>
                <w:sz w:val="16"/>
                <w:szCs w:val="16"/>
              </w:rPr>
            </w:pPr>
            <w:r w:rsidRPr="002F223D">
              <w:rPr>
                <w:sz w:val="16"/>
                <w:szCs w:val="16"/>
              </w:rPr>
              <w:t>1,606</w:t>
            </w:r>
          </w:p>
        </w:tc>
        <w:tc>
          <w:tcPr>
            <w:tcW w:w="871" w:type="dxa"/>
            <w:shd w:val="clear" w:color="auto" w:fill="auto"/>
            <w:noWrap/>
            <w:vAlign w:val="bottom"/>
          </w:tcPr>
          <w:p w:rsidR="00630F6F" w:rsidRPr="002F223D" w:rsidRDefault="00630F6F" w:rsidP="007471A8">
            <w:pPr>
              <w:contextualSpacing/>
              <w:jc w:val="right"/>
              <w:rPr>
                <w:sz w:val="16"/>
                <w:szCs w:val="16"/>
              </w:rPr>
            </w:pPr>
            <w:r w:rsidRPr="002F223D">
              <w:rPr>
                <w:sz w:val="16"/>
                <w:szCs w:val="16"/>
              </w:rPr>
              <w:t>99.7%</w:t>
            </w:r>
          </w:p>
          <w:p w:rsidR="00630F6F" w:rsidRPr="002F223D" w:rsidRDefault="00630F6F" w:rsidP="007471A8">
            <w:pPr>
              <w:contextualSpacing/>
              <w:jc w:val="right"/>
              <w:rPr>
                <w:sz w:val="16"/>
                <w:szCs w:val="16"/>
              </w:rPr>
            </w:pPr>
            <w:r w:rsidRPr="002F223D">
              <w:rPr>
                <w:sz w:val="16"/>
                <w:szCs w:val="16"/>
              </w:rPr>
              <w:t>1,602</w:t>
            </w:r>
          </w:p>
        </w:tc>
        <w:tc>
          <w:tcPr>
            <w:tcW w:w="866" w:type="dxa"/>
            <w:shd w:val="clear" w:color="auto" w:fill="auto"/>
            <w:noWrap/>
            <w:vAlign w:val="bottom"/>
          </w:tcPr>
          <w:p w:rsidR="00630F6F" w:rsidRPr="002F223D" w:rsidRDefault="00630F6F" w:rsidP="007471A8">
            <w:pPr>
              <w:contextualSpacing/>
              <w:jc w:val="right"/>
              <w:rPr>
                <w:sz w:val="16"/>
                <w:szCs w:val="16"/>
              </w:rPr>
            </w:pPr>
            <w:r w:rsidRPr="002F223D">
              <w:rPr>
                <w:sz w:val="16"/>
                <w:szCs w:val="16"/>
              </w:rPr>
              <w:t>99.8%</w:t>
            </w:r>
          </w:p>
          <w:p w:rsidR="00630F6F" w:rsidRPr="002F223D" w:rsidRDefault="00630F6F" w:rsidP="007471A8">
            <w:pPr>
              <w:contextualSpacing/>
              <w:jc w:val="right"/>
              <w:rPr>
                <w:sz w:val="16"/>
                <w:szCs w:val="16"/>
              </w:rPr>
            </w:pPr>
            <w:r w:rsidRPr="002F223D">
              <w:rPr>
                <w:sz w:val="16"/>
                <w:szCs w:val="16"/>
              </w:rPr>
              <w:t>1,277</w:t>
            </w:r>
          </w:p>
        </w:tc>
        <w:tc>
          <w:tcPr>
            <w:tcW w:w="877" w:type="dxa"/>
            <w:vAlign w:val="bottom"/>
          </w:tcPr>
          <w:p w:rsidR="00630F6F" w:rsidRPr="002F223D" w:rsidRDefault="00630F6F" w:rsidP="007471A8">
            <w:pPr>
              <w:contextualSpacing/>
              <w:jc w:val="right"/>
              <w:rPr>
                <w:sz w:val="16"/>
                <w:szCs w:val="16"/>
              </w:rPr>
            </w:pPr>
            <w:r w:rsidRPr="002F223D">
              <w:rPr>
                <w:sz w:val="16"/>
                <w:szCs w:val="16"/>
              </w:rPr>
              <w:t>99.8%</w:t>
            </w:r>
          </w:p>
          <w:p w:rsidR="00630F6F" w:rsidRPr="002F223D" w:rsidRDefault="00630F6F" w:rsidP="007471A8">
            <w:pPr>
              <w:contextualSpacing/>
              <w:jc w:val="right"/>
              <w:rPr>
                <w:sz w:val="16"/>
                <w:szCs w:val="16"/>
              </w:rPr>
            </w:pPr>
            <w:r w:rsidRPr="002F223D">
              <w:rPr>
                <w:sz w:val="16"/>
                <w:szCs w:val="16"/>
              </w:rPr>
              <w:t>1,267</w:t>
            </w:r>
          </w:p>
        </w:tc>
        <w:tc>
          <w:tcPr>
            <w:tcW w:w="894" w:type="dxa"/>
            <w:shd w:val="clear" w:color="auto" w:fill="auto"/>
            <w:noWrap/>
            <w:vAlign w:val="bottom"/>
          </w:tcPr>
          <w:p w:rsidR="00630F6F" w:rsidRPr="002F223D" w:rsidRDefault="00630F6F" w:rsidP="007471A8">
            <w:pPr>
              <w:contextualSpacing/>
              <w:jc w:val="right"/>
              <w:rPr>
                <w:sz w:val="16"/>
                <w:szCs w:val="16"/>
              </w:rPr>
            </w:pPr>
            <w:r w:rsidRPr="002F223D">
              <w:rPr>
                <w:sz w:val="16"/>
                <w:szCs w:val="16"/>
              </w:rPr>
              <w:t>99.8%</w:t>
            </w:r>
          </w:p>
          <w:p w:rsidR="00630F6F" w:rsidRPr="002F223D" w:rsidRDefault="00630F6F" w:rsidP="007471A8">
            <w:pPr>
              <w:contextualSpacing/>
              <w:jc w:val="right"/>
              <w:rPr>
                <w:sz w:val="16"/>
                <w:szCs w:val="16"/>
              </w:rPr>
            </w:pPr>
            <w:r w:rsidRPr="002F223D">
              <w:rPr>
                <w:sz w:val="16"/>
                <w:szCs w:val="16"/>
              </w:rPr>
              <w:t>1,138</w:t>
            </w:r>
          </w:p>
        </w:tc>
        <w:tc>
          <w:tcPr>
            <w:tcW w:w="801" w:type="dxa"/>
            <w:shd w:val="clear" w:color="auto" w:fill="auto"/>
            <w:noWrap/>
            <w:vAlign w:val="bottom"/>
          </w:tcPr>
          <w:p w:rsidR="00630F6F" w:rsidRPr="00452885" w:rsidRDefault="00630F6F" w:rsidP="007471A8">
            <w:pPr>
              <w:contextualSpacing/>
              <w:jc w:val="right"/>
              <w:rPr>
                <w:sz w:val="16"/>
                <w:szCs w:val="16"/>
              </w:rPr>
            </w:pPr>
            <w:r w:rsidRPr="00452885">
              <w:rPr>
                <w:sz w:val="16"/>
                <w:szCs w:val="16"/>
              </w:rPr>
              <w:t>99.8%</w:t>
            </w:r>
          </w:p>
          <w:p w:rsidR="00630F6F" w:rsidRPr="00452885" w:rsidRDefault="00630F6F" w:rsidP="007471A8">
            <w:pPr>
              <w:tabs>
                <w:tab w:val="left" w:pos="-1440"/>
              </w:tabs>
              <w:contextualSpacing/>
              <w:jc w:val="right"/>
              <w:rPr>
                <w:sz w:val="16"/>
                <w:szCs w:val="16"/>
              </w:rPr>
            </w:pPr>
            <w:r w:rsidRPr="00452885">
              <w:rPr>
                <w:sz w:val="16"/>
                <w:szCs w:val="16"/>
              </w:rPr>
              <w:t>1,028</w:t>
            </w:r>
          </w:p>
        </w:tc>
        <w:tc>
          <w:tcPr>
            <w:tcW w:w="819" w:type="dxa"/>
            <w:shd w:val="clear" w:color="auto" w:fill="auto"/>
            <w:vAlign w:val="bottom"/>
          </w:tcPr>
          <w:p w:rsidR="00630F6F" w:rsidRDefault="00630F6F" w:rsidP="007471A8">
            <w:pPr>
              <w:tabs>
                <w:tab w:val="left" w:pos="-1440"/>
              </w:tabs>
              <w:contextualSpacing/>
              <w:jc w:val="right"/>
              <w:rPr>
                <w:sz w:val="16"/>
                <w:szCs w:val="16"/>
              </w:rPr>
            </w:pPr>
            <w:r>
              <w:rPr>
                <w:sz w:val="16"/>
                <w:szCs w:val="16"/>
              </w:rPr>
              <w:t>99.79%</w:t>
            </w:r>
          </w:p>
          <w:p w:rsidR="00630F6F" w:rsidRPr="00452885" w:rsidRDefault="00630F6F" w:rsidP="007471A8">
            <w:pPr>
              <w:tabs>
                <w:tab w:val="left" w:pos="-1440"/>
              </w:tabs>
              <w:contextualSpacing/>
              <w:jc w:val="right"/>
              <w:rPr>
                <w:sz w:val="16"/>
                <w:szCs w:val="16"/>
              </w:rPr>
            </w:pPr>
            <w:r>
              <w:rPr>
                <w:sz w:val="16"/>
                <w:szCs w:val="16"/>
              </w:rPr>
              <w:t>1,152</w:t>
            </w:r>
          </w:p>
        </w:tc>
        <w:tc>
          <w:tcPr>
            <w:tcW w:w="810" w:type="dxa"/>
            <w:shd w:val="clear" w:color="auto" w:fill="auto"/>
            <w:vAlign w:val="bottom"/>
          </w:tcPr>
          <w:p w:rsidR="00630F6F" w:rsidRPr="0067227C" w:rsidRDefault="00630F6F" w:rsidP="007471A8">
            <w:pPr>
              <w:contextualSpacing/>
              <w:jc w:val="right"/>
              <w:rPr>
                <w:sz w:val="16"/>
                <w:szCs w:val="16"/>
              </w:rPr>
            </w:pPr>
            <w:r w:rsidRPr="0067227C">
              <w:rPr>
                <w:sz w:val="16"/>
                <w:szCs w:val="16"/>
              </w:rPr>
              <w:t>99.76%</w:t>
            </w:r>
          </w:p>
          <w:p w:rsidR="00630F6F" w:rsidRPr="00AB74AA" w:rsidRDefault="00630F6F" w:rsidP="007471A8">
            <w:pPr>
              <w:contextualSpacing/>
              <w:jc w:val="right"/>
              <w:rPr>
                <w:sz w:val="16"/>
                <w:szCs w:val="16"/>
                <w:highlight w:val="yellow"/>
              </w:rPr>
            </w:pPr>
            <w:r w:rsidRPr="00AB74AA">
              <w:rPr>
                <w:sz w:val="16"/>
                <w:szCs w:val="16"/>
              </w:rPr>
              <w:t>1,273</w:t>
            </w:r>
          </w:p>
        </w:tc>
        <w:tc>
          <w:tcPr>
            <w:tcW w:w="900" w:type="dxa"/>
            <w:tcBorders>
              <w:bottom w:val="single" w:sz="4" w:space="0" w:color="auto"/>
            </w:tcBorders>
            <w:shd w:val="clear" w:color="auto" w:fill="auto"/>
            <w:noWrap/>
            <w:vAlign w:val="bottom"/>
          </w:tcPr>
          <w:p w:rsidR="00630F6F" w:rsidRPr="0067227C" w:rsidRDefault="00630F6F" w:rsidP="007471A8">
            <w:pPr>
              <w:contextualSpacing/>
              <w:jc w:val="right"/>
              <w:rPr>
                <w:sz w:val="16"/>
                <w:szCs w:val="16"/>
              </w:rPr>
            </w:pPr>
            <w:r w:rsidRPr="0067227C">
              <w:rPr>
                <w:sz w:val="16"/>
                <w:szCs w:val="16"/>
              </w:rPr>
              <w:t>99.5%</w:t>
            </w:r>
          </w:p>
          <w:p w:rsidR="00630F6F" w:rsidRPr="0067227C" w:rsidRDefault="00630F6F" w:rsidP="007471A8">
            <w:pPr>
              <w:contextualSpacing/>
              <w:jc w:val="right"/>
              <w:rPr>
                <w:sz w:val="16"/>
                <w:szCs w:val="16"/>
              </w:rPr>
            </w:pPr>
            <w:r w:rsidRPr="0067227C">
              <w:rPr>
                <w:sz w:val="16"/>
                <w:szCs w:val="16"/>
              </w:rPr>
              <w:t>1,440</w:t>
            </w:r>
          </w:p>
        </w:tc>
        <w:tc>
          <w:tcPr>
            <w:tcW w:w="900" w:type="dxa"/>
            <w:tcBorders>
              <w:bottom w:val="single" w:sz="4" w:space="0" w:color="auto"/>
            </w:tcBorders>
            <w:shd w:val="clear" w:color="auto" w:fill="auto"/>
          </w:tcPr>
          <w:p w:rsidR="00630F6F" w:rsidRPr="0067227C" w:rsidRDefault="00630F6F" w:rsidP="007471A8">
            <w:pPr>
              <w:contextualSpacing/>
              <w:jc w:val="right"/>
              <w:rPr>
                <w:sz w:val="16"/>
                <w:szCs w:val="16"/>
              </w:rPr>
            </w:pPr>
          </w:p>
          <w:p w:rsidR="00630F6F" w:rsidRPr="0067227C" w:rsidRDefault="00630F6F" w:rsidP="007471A8">
            <w:pPr>
              <w:contextualSpacing/>
              <w:jc w:val="right"/>
              <w:rPr>
                <w:sz w:val="16"/>
                <w:szCs w:val="16"/>
              </w:rPr>
            </w:pPr>
            <w:r w:rsidRPr="0067227C">
              <w:rPr>
                <w:sz w:val="16"/>
                <w:szCs w:val="16"/>
              </w:rPr>
              <w:t>99.5%</w:t>
            </w:r>
          </w:p>
          <w:p w:rsidR="00630F6F" w:rsidRPr="0067227C" w:rsidRDefault="00630F6F" w:rsidP="007471A8">
            <w:pPr>
              <w:contextualSpacing/>
              <w:jc w:val="right"/>
              <w:rPr>
                <w:sz w:val="16"/>
                <w:szCs w:val="16"/>
              </w:rPr>
            </w:pPr>
            <w:r w:rsidRPr="0067227C">
              <w:rPr>
                <w:sz w:val="16"/>
                <w:szCs w:val="16"/>
              </w:rPr>
              <w:t>1,440</w:t>
            </w:r>
          </w:p>
        </w:tc>
      </w:tr>
      <w:tr w:rsidR="00630F6F" w:rsidRPr="00EC6A39" w:rsidTr="009552BF">
        <w:trPr>
          <w:trHeight w:val="600"/>
          <w:jc w:val="center"/>
        </w:trPr>
        <w:tc>
          <w:tcPr>
            <w:tcW w:w="1368"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3209" w:type="dxa"/>
            <w:shd w:val="clear" w:color="auto" w:fill="auto"/>
            <w:noWrap/>
          </w:tcPr>
          <w:p w:rsidR="00630F6F" w:rsidRPr="002F223D" w:rsidRDefault="00630F6F" w:rsidP="007471A8">
            <w:pPr>
              <w:contextualSpacing/>
              <w:rPr>
                <w:sz w:val="16"/>
                <w:szCs w:val="16"/>
              </w:rPr>
            </w:pPr>
            <w:r>
              <w:rPr>
                <w:sz w:val="16"/>
                <w:szCs w:val="16"/>
              </w:rPr>
              <w:t>Average turnaround time for Federal DNA Sample entry in the National DNA Index System (NDIS) of submissions fulfilling the processing and upload requirements</w:t>
            </w:r>
          </w:p>
        </w:tc>
        <w:tc>
          <w:tcPr>
            <w:tcW w:w="87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66"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7" w:type="dxa"/>
            <w:vAlign w:val="center"/>
          </w:tcPr>
          <w:p w:rsidR="00630F6F" w:rsidRPr="002F223D" w:rsidRDefault="00630F6F" w:rsidP="007471A8">
            <w:pPr>
              <w:contextualSpacing/>
              <w:jc w:val="right"/>
              <w:rPr>
                <w:sz w:val="16"/>
                <w:szCs w:val="16"/>
              </w:rPr>
            </w:pPr>
            <w:r>
              <w:rPr>
                <w:sz w:val="16"/>
                <w:szCs w:val="16"/>
              </w:rPr>
              <w:t>N/A</w:t>
            </w:r>
          </w:p>
        </w:tc>
        <w:tc>
          <w:tcPr>
            <w:tcW w:w="894"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0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19" w:type="dxa"/>
            <w:shd w:val="clear" w:color="auto" w:fill="auto"/>
            <w:vAlign w:val="center"/>
          </w:tcPr>
          <w:p w:rsidR="00630F6F" w:rsidRPr="002F223D" w:rsidRDefault="00630F6F" w:rsidP="007471A8">
            <w:pPr>
              <w:contextualSpacing/>
              <w:jc w:val="right"/>
              <w:rPr>
                <w:sz w:val="16"/>
                <w:szCs w:val="16"/>
              </w:rPr>
            </w:pPr>
            <w:r>
              <w:rPr>
                <w:sz w:val="16"/>
                <w:szCs w:val="16"/>
              </w:rPr>
              <w:t>N/A</w:t>
            </w:r>
          </w:p>
        </w:tc>
        <w:tc>
          <w:tcPr>
            <w:tcW w:w="810" w:type="dxa"/>
            <w:shd w:val="clear" w:color="auto" w:fill="auto"/>
            <w:vAlign w:val="center"/>
          </w:tcPr>
          <w:p w:rsidR="00630F6F" w:rsidRPr="00132751" w:rsidRDefault="00630F6F" w:rsidP="007471A8">
            <w:pPr>
              <w:contextualSpacing/>
              <w:jc w:val="right"/>
              <w:rPr>
                <w:sz w:val="16"/>
                <w:szCs w:val="16"/>
              </w:rPr>
            </w:pPr>
            <w:r w:rsidRPr="00132751">
              <w:rPr>
                <w:sz w:val="16"/>
                <w:szCs w:val="16"/>
              </w:rPr>
              <w:t>N/A</w:t>
            </w:r>
          </w:p>
        </w:tc>
        <w:tc>
          <w:tcPr>
            <w:tcW w:w="900" w:type="dxa"/>
            <w:tcBorders>
              <w:bottom w:val="single" w:sz="4" w:space="0" w:color="auto"/>
            </w:tcBorders>
            <w:shd w:val="clear" w:color="auto" w:fill="auto"/>
            <w:noWrap/>
            <w:vAlign w:val="center"/>
          </w:tcPr>
          <w:p w:rsidR="00630F6F" w:rsidRPr="00132751" w:rsidRDefault="00630F6F" w:rsidP="007471A8">
            <w:pPr>
              <w:contextualSpacing/>
              <w:jc w:val="right"/>
              <w:rPr>
                <w:sz w:val="16"/>
                <w:szCs w:val="16"/>
              </w:rPr>
            </w:pPr>
            <w:r w:rsidRPr="00132751">
              <w:rPr>
                <w:sz w:val="16"/>
                <w:szCs w:val="16"/>
              </w:rPr>
              <w:t>30 days</w:t>
            </w:r>
          </w:p>
        </w:tc>
        <w:tc>
          <w:tcPr>
            <w:tcW w:w="900" w:type="dxa"/>
            <w:tcBorders>
              <w:bottom w:val="single" w:sz="4" w:space="0" w:color="auto"/>
            </w:tcBorders>
            <w:shd w:val="clear" w:color="auto" w:fill="auto"/>
            <w:vAlign w:val="center"/>
          </w:tcPr>
          <w:p w:rsidR="00630F6F" w:rsidRPr="00132751" w:rsidRDefault="00630F6F" w:rsidP="007471A8">
            <w:pPr>
              <w:contextualSpacing/>
              <w:jc w:val="right"/>
              <w:rPr>
                <w:sz w:val="16"/>
                <w:szCs w:val="16"/>
              </w:rPr>
            </w:pPr>
            <w:r w:rsidRPr="00132751">
              <w:rPr>
                <w:sz w:val="16"/>
                <w:szCs w:val="16"/>
              </w:rPr>
              <w:t>30 days</w:t>
            </w:r>
          </w:p>
        </w:tc>
      </w:tr>
      <w:tr w:rsidR="00630F6F" w:rsidRPr="00EC6A39" w:rsidTr="009552BF">
        <w:trPr>
          <w:trHeight w:val="368"/>
          <w:jc w:val="center"/>
        </w:trPr>
        <w:tc>
          <w:tcPr>
            <w:tcW w:w="1368"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3209" w:type="dxa"/>
            <w:shd w:val="clear" w:color="auto" w:fill="auto"/>
            <w:noWrap/>
          </w:tcPr>
          <w:p w:rsidR="00630F6F" w:rsidRPr="00B13EAF" w:rsidRDefault="00630F6F" w:rsidP="007471A8">
            <w:pPr>
              <w:contextualSpacing/>
              <w:rPr>
                <w:b/>
                <w:sz w:val="16"/>
                <w:szCs w:val="16"/>
              </w:rPr>
            </w:pPr>
            <w:r w:rsidRPr="00B13EAF">
              <w:rPr>
                <w:b/>
                <w:sz w:val="16"/>
                <w:szCs w:val="16"/>
              </w:rPr>
              <w:t>N-</w:t>
            </w:r>
            <w:proofErr w:type="spellStart"/>
            <w:r w:rsidRPr="00B13EAF">
              <w:rPr>
                <w:b/>
                <w:sz w:val="16"/>
                <w:szCs w:val="16"/>
              </w:rPr>
              <w:t>DEx</w:t>
            </w:r>
            <w:proofErr w:type="spellEnd"/>
            <w:r w:rsidRPr="00B13EAF">
              <w:rPr>
                <w:b/>
                <w:sz w:val="16"/>
                <w:szCs w:val="16"/>
              </w:rPr>
              <w:t xml:space="preserve">: [New </w:t>
            </w:r>
            <w:r>
              <w:rPr>
                <w:b/>
                <w:sz w:val="16"/>
                <w:szCs w:val="16"/>
              </w:rPr>
              <w:t>m</w:t>
            </w:r>
            <w:r w:rsidRPr="00B13EAF">
              <w:rPr>
                <w:b/>
                <w:sz w:val="16"/>
                <w:szCs w:val="16"/>
              </w:rPr>
              <w:t>easure]</w:t>
            </w:r>
          </w:p>
          <w:p w:rsidR="00630F6F" w:rsidRDefault="00630F6F" w:rsidP="007471A8">
            <w:pPr>
              <w:contextualSpacing/>
              <w:rPr>
                <w:sz w:val="16"/>
                <w:szCs w:val="16"/>
              </w:rPr>
            </w:pPr>
            <w:r>
              <w:rPr>
                <w:sz w:val="16"/>
                <w:szCs w:val="16"/>
              </w:rPr>
              <w:t>Percent of population covered by N-</w:t>
            </w:r>
            <w:proofErr w:type="spellStart"/>
            <w:r>
              <w:rPr>
                <w:sz w:val="16"/>
                <w:szCs w:val="16"/>
              </w:rPr>
              <w:t>DEx</w:t>
            </w:r>
            <w:proofErr w:type="spellEnd"/>
            <w:r>
              <w:rPr>
                <w:sz w:val="16"/>
                <w:szCs w:val="16"/>
              </w:rPr>
              <w:t xml:space="preserve"> via state and local law enforcement participation</w:t>
            </w:r>
          </w:p>
        </w:tc>
        <w:tc>
          <w:tcPr>
            <w:tcW w:w="87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66"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7" w:type="dxa"/>
            <w:vAlign w:val="center"/>
          </w:tcPr>
          <w:p w:rsidR="00630F6F" w:rsidRPr="002F223D" w:rsidRDefault="00630F6F" w:rsidP="007471A8">
            <w:pPr>
              <w:contextualSpacing/>
              <w:jc w:val="right"/>
              <w:rPr>
                <w:sz w:val="16"/>
                <w:szCs w:val="16"/>
              </w:rPr>
            </w:pPr>
            <w:r>
              <w:rPr>
                <w:sz w:val="16"/>
                <w:szCs w:val="16"/>
              </w:rPr>
              <w:t>N/A</w:t>
            </w:r>
          </w:p>
        </w:tc>
        <w:tc>
          <w:tcPr>
            <w:tcW w:w="894"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0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19" w:type="dxa"/>
            <w:shd w:val="clear" w:color="auto" w:fill="auto"/>
            <w:vAlign w:val="center"/>
          </w:tcPr>
          <w:p w:rsidR="00630F6F" w:rsidRPr="002F223D" w:rsidRDefault="00630F6F" w:rsidP="007471A8">
            <w:pPr>
              <w:contextualSpacing/>
              <w:jc w:val="right"/>
              <w:rPr>
                <w:sz w:val="16"/>
                <w:szCs w:val="16"/>
              </w:rPr>
            </w:pPr>
            <w:r>
              <w:rPr>
                <w:sz w:val="16"/>
                <w:szCs w:val="16"/>
              </w:rPr>
              <w:t>27%</w:t>
            </w:r>
          </w:p>
        </w:tc>
        <w:tc>
          <w:tcPr>
            <w:tcW w:w="810" w:type="dxa"/>
            <w:shd w:val="clear" w:color="auto" w:fill="auto"/>
            <w:vAlign w:val="center"/>
          </w:tcPr>
          <w:p w:rsidR="00630F6F" w:rsidRPr="004A0127" w:rsidRDefault="00630F6F" w:rsidP="007471A8">
            <w:pPr>
              <w:contextualSpacing/>
              <w:jc w:val="right"/>
              <w:rPr>
                <w:sz w:val="16"/>
                <w:szCs w:val="16"/>
              </w:rPr>
            </w:pPr>
            <w:r w:rsidRPr="004A0127">
              <w:rPr>
                <w:sz w:val="16"/>
                <w:szCs w:val="16"/>
              </w:rPr>
              <w:t>35.3%</w:t>
            </w:r>
          </w:p>
        </w:tc>
        <w:tc>
          <w:tcPr>
            <w:tcW w:w="900" w:type="dxa"/>
            <w:shd w:val="clear" w:color="auto" w:fill="auto"/>
            <w:noWrap/>
            <w:vAlign w:val="center"/>
          </w:tcPr>
          <w:p w:rsidR="00630F6F" w:rsidRPr="004A0127" w:rsidRDefault="00630F6F" w:rsidP="007471A8">
            <w:pPr>
              <w:contextualSpacing/>
              <w:jc w:val="right"/>
              <w:rPr>
                <w:sz w:val="16"/>
                <w:szCs w:val="16"/>
              </w:rPr>
            </w:pPr>
            <w:r w:rsidRPr="004A0127">
              <w:rPr>
                <w:sz w:val="16"/>
                <w:szCs w:val="16"/>
              </w:rPr>
              <w:t>50%</w:t>
            </w:r>
          </w:p>
        </w:tc>
        <w:tc>
          <w:tcPr>
            <w:tcW w:w="900" w:type="dxa"/>
            <w:tcBorders>
              <w:bottom w:val="single" w:sz="4" w:space="0" w:color="auto"/>
            </w:tcBorders>
            <w:shd w:val="clear" w:color="auto" w:fill="auto"/>
            <w:vAlign w:val="center"/>
          </w:tcPr>
          <w:p w:rsidR="00630F6F" w:rsidRPr="004A0127" w:rsidRDefault="00630F6F" w:rsidP="007471A8">
            <w:pPr>
              <w:contextualSpacing/>
              <w:jc w:val="right"/>
              <w:rPr>
                <w:sz w:val="16"/>
                <w:szCs w:val="16"/>
              </w:rPr>
            </w:pPr>
            <w:r w:rsidRPr="004A0127">
              <w:rPr>
                <w:sz w:val="16"/>
                <w:szCs w:val="16"/>
              </w:rPr>
              <w:t>58%</w:t>
            </w:r>
          </w:p>
        </w:tc>
      </w:tr>
      <w:tr w:rsidR="00630F6F" w:rsidRPr="00EC6A39" w:rsidTr="009552BF">
        <w:trPr>
          <w:trHeight w:val="368"/>
          <w:jc w:val="center"/>
        </w:trPr>
        <w:tc>
          <w:tcPr>
            <w:tcW w:w="1368"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3209" w:type="dxa"/>
            <w:shd w:val="clear" w:color="auto" w:fill="auto"/>
            <w:noWrap/>
          </w:tcPr>
          <w:p w:rsidR="00630F6F" w:rsidRDefault="00630F6F" w:rsidP="007471A8">
            <w:pPr>
              <w:contextualSpacing/>
              <w:rPr>
                <w:sz w:val="16"/>
                <w:szCs w:val="16"/>
              </w:rPr>
            </w:pPr>
            <w:r>
              <w:rPr>
                <w:sz w:val="16"/>
                <w:szCs w:val="16"/>
              </w:rPr>
              <w:t>Number of products and services deployed in support of customers</w:t>
            </w:r>
          </w:p>
        </w:tc>
        <w:tc>
          <w:tcPr>
            <w:tcW w:w="87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2"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66"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77" w:type="dxa"/>
            <w:vAlign w:val="center"/>
          </w:tcPr>
          <w:p w:rsidR="00630F6F" w:rsidRPr="002F223D" w:rsidRDefault="00630F6F" w:rsidP="007471A8">
            <w:pPr>
              <w:contextualSpacing/>
              <w:jc w:val="right"/>
              <w:rPr>
                <w:sz w:val="16"/>
                <w:szCs w:val="16"/>
              </w:rPr>
            </w:pPr>
            <w:r>
              <w:rPr>
                <w:sz w:val="16"/>
                <w:szCs w:val="16"/>
              </w:rPr>
              <w:t>N/A</w:t>
            </w:r>
          </w:p>
        </w:tc>
        <w:tc>
          <w:tcPr>
            <w:tcW w:w="894"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01" w:type="dxa"/>
            <w:shd w:val="clear" w:color="auto" w:fill="auto"/>
            <w:noWrap/>
            <w:vAlign w:val="center"/>
          </w:tcPr>
          <w:p w:rsidR="00630F6F" w:rsidRPr="002F223D" w:rsidRDefault="00630F6F" w:rsidP="007471A8">
            <w:pPr>
              <w:contextualSpacing/>
              <w:jc w:val="right"/>
              <w:rPr>
                <w:sz w:val="16"/>
                <w:szCs w:val="16"/>
              </w:rPr>
            </w:pPr>
            <w:r>
              <w:rPr>
                <w:sz w:val="16"/>
                <w:szCs w:val="16"/>
              </w:rPr>
              <w:t>N/A</w:t>
            </w:r>
          </w:p>
        </w:tc>
        <w:tc>
          <w:tcPr>
            <w:tcW w:w="819" w:type="dxa"/>
            <w:shd w:val="clear" w:color="auto" w:fill="auto"/>
            <w:vAlign w:val="center"/>
          </w:tcPr>
          <w:p w:rsidR="00630F6F" w:rsidRPr="002F223D" w:rsidRDefault="00630F6F" w:rsidP="007471A8">
            <w:pPr>
              <w:contextualSpacing/>
              <w:jc w:val="right"/>
              <w:rPr>
                <w:sz w:val="16"/>
                <w:szCs w:val="16"/>
              </w:rPr>
            </w:pPr>
            <w:r>
              <w:rPr>
                <w:sz w:val="16"/>
                <w:szCs w:val="16"/>
              </w:rPr>
              <w:t>N/A</w:t>
            </w:r>
          </w:p>
        </w:tc>
        <w:tc>
          <w:tcPr>
            <w:tcW w:w="810" w:type="dxa"/>
            <w:tcBorders>
              <w:bottom w:val="single" w:sz="4" w:space="0" w:color="auto"/>
            </w:tcBorders>
            <w:shd w:val="clear" w:color="auto" w:fill="auto"/>
            <w:vAlign w:val="center"/>
          </w:tcPr>
          <w:p w:rsidR="00630F6F" w:rsidRPr="00134332" w:rsidRDefault="00630F6F" w:rsidP="007471A8">
            <w:pPr>
              <w:contextualSpacing/>
              <w:jc w:val="right"/>
              <w:rPr>
                <w:sz w:val="16"/>
                <w:szCs w:val="16"/>
              </w:rPr>
            </w:pPr>
            <w:r w:rsidRPr="00134332">
              <w:rPr>
                <w:sz w:val="16"/>
                <w:szCs w:val="16"/>
              </w:rPr>
              <w:t>299</w:t>
            </w:r>
          </w:p>
        </w:tc>
        <w:tc>
          <w:tcPr>
            <w:tcW w:w="900" w:type="dxa"/>
            <w:tcBorders>
              <w:bottom w:val="single" w:sz="4" w:space="0" w:color="auto"/>
            </w:tcBorders>
            <w:shd w:val="clear" w:color="auto" w:fill="auto"/>
            <w:noWrap/>
            <w:vAlign w:val="center"/>
          </w:tcPr>
          <w:p w:rsidR="00630F6F" w:rsidRPr="00134332" w:rsidRDefault="00630F6F" w:rsidP="007471A8">
            <w:pPr>
              <w:contextualSpacing/>
              <w:jc w:val="right"/>
              <w:rPr>
                <w:sz w:val="16"/>
                <w:szCs w:val="16"/>
              </w:rPr>
            </w:pPr>
            <w:r w:rsidRPr="00134332">
              <w:rPr>
                <w:sz w:val="16"/>
                <w:szCs w:val="16"/>
              </w:rPr>
              <w:t>260</w:t>
            </w:r>
          </w:p>
        </w:tc>
        <w:tc>
          <w:tcPr>
            <w:tcW w:w="900" w:type="dxa"/>
            <w:tcBorders>
              <w:bottom w:val="single" w:sz="4" w:space="0" w:color="auto"/>
            </w:tcBorders>
            <w:shd w:val="clear" w:color="auto" w:fill="auto"/>
            <w:vAlign w:val="center"/>
          </w:tcPr>
          <w:p w:rsidR="00630F6F" w:rsidRPr="00134332" w:rsidRDefault="00630F6F" w:rsidP="007471A8">
            <w:pPr>
              <w:contextualSpacing/>
              <w:jc w:val="right"/>
              <w:rPr>
                <w:sz w:val="16"/>
                <w:szCs w:val="16"/>
              </w:rPr>
            </w:pPr>
            <w:r w:rsidRPr="00134332">
              <w:rPr>
                <w:sz w:val="16"/>
                <w:szCs w:val="16"/>
              </w:rPr>
              <w:t>265</w:t>
            </w:r>
          </w:p>
        </w:tc>
      </w:tr>
      <w:tr w:rsidR="00630F6F" w:rsidRPr="00EC6A39" w:rsidTr="009552BF">
        <w:trPr>
          <w:trHeight w:val="980"/>
          <w:jc w:val="center"/>
        </w:trPr>
        <w:tc>
          <w:tcPr>
            <w:tcW w:w="1368" w:type="dxa"/>
            <w:shd w:val="clear" w:color="auto" w:fill="auto"/>
            <w:vAlign w:val="center"/>
          </w:tcPr>
          <w:p w:rsidR="00630F6F" w:rsidRPr="00537201" w:rsidRDefault="00630F6F" w:rsidP="007471A8">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Customer Satisfaction</w:t>
            </w:r>
          </w:p>
        </w:tc>
        <w:tc>
          <w:tcPr>
            <w:tcW w:w="3209" w:type="dxa"/>
            <w:shd w:val="clear" w:color="auto" w:fill="auto"/>
            <w:noWrap/>
            <w:vAlign w:val="center"/>
          </w:tcPr>
          <w:p w:rsidR="00630F6F" w:rsidRPr="008340E4" w:rsidRDefault="00630F6F" w:rsidP="007471A8">
            <w:pPr>
              <w:pStyle w:val="Heading3"/>
              <w:contextualSpacing/>
              <w:rPr>
                <w:bCs w:val="0"/>
                <w:sz w:val="16"/>
                <w:szCs w:val="16"/>
              </w:rPr>
            </w:pPr>
            <w:r w:rsidRPr="008340E4">
              <w:rPr>
                <w:bCs w:val="0"/>
                <w:sz w:val="16"/>
                <w:szCs w:val="16"/>
              </w:rPr>
              <w:t>LEO:</w:t>
            </w:r>
            <w:r>
              <w:rPr>
                <w:bCs w:val="0"/>
                <w:sz w:val="16"/>
                <w:szCs w:val="16"/>
              </w:rPr>
              <w:t xml:space="preserve"> [Discontinued measure]</w:t>
            </w:r>
          </w:p>
          <w:p w:rsidR="00630F6F" w:rsidRPr="00046D0D" w:rsidRDefault="00630F6F" w:rsidP="007471A8">
            <w:pPr>
              <w:pStyle w:val="Heading3"/>
              <w:contextualSpacing/>
              <w:rPr>
                <w:b w:val="0"/>
                <w:bCs w:val="0"/>
                <w:sz w:val="16"/>
                <w:szCs w:val="16"/>
              </w:rPr>
            </w:pPr>
            <w:proofErr w:type="gramStart"/>
            <w:r w:rsidRPr="00046D0D">
              <w:rPr>
                <w:b w:val="0"/>
                <w:bCs w:val="0"/>
                <w:sz w:val="16"/>
                <w:szCs w:val="16"/>
              </w:rPr>
              <w:t>% of users who visit the Law Enforcement Online (LEO) service (which provides intelligence dissemination) more than one month out of each year.</w:t>
            </w:r>
            <w:proofErr w:type="gramEnd"/>
          </w:p>
        </w:tc>
        <w:tc>
          <w:tcPr>
            <w:tcW w:w="87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72"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N/A</w:t>
            </w:r>
          </w:p>
        </w:tc>
        <w:tc>
          <w:tcPr>
            <w:tcW w:w="871"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45%</w:t>
            </w:r>
          </w:p>
        </w:tc>
        <w:tc>
          <w:tcPr>
            <w:tcW w:w="866" w:type="dxa"/>
            <w:shd w:val="clear" w:color="auto" w:fill="auto"/>
            <w:noWrap/>
            <w:vAlign w:val="center"/>
          </w:tcPr>
          <w:p w:rsidR="00630F6F" w:rsidRPr="00537201" w:rsidRDefault="00630F6F" w:rsidP="007471A8">
            <w:pPr>
              <w:tabs>
                <w:tab w:val="left" w:pos="-1440"/>
              </w:tabs>
              <w:contextualSpacing/>
              <w:jc w:val="right"/>
              <w:rPr>
                <w:sz w:val="16"/>
                <w:szCs w:val="16"/>
              </w:rPr>
            </w:pPr>
            <w:r>
              <w:rPr>
                <w:sz w:val="16"/>
                <w:szCs w:val="16"/>
              </w:rPr>
              <w:t>39%</w:t>
            </w:r>
          </w:p>
        </w:tc>
        <w:tc>
          <w:tcPr>
            <w:tcW w:w="877" w:type="dxa"/>
            <w:vAlign w:val="center"/>
          </w:tcPr>
          <w:p w:rsidR="00630F6F" w:rsidRPr="0092507D" w:rsidRDefault="00630F6F" w:rsidP="007471A8">
            <w:pPr>
              <w:tabs>
                <w:tab w:val="left" w:pos="-1440"/>
              </w:tabs>
              <w:contextualSpacing/>
              <w:jc w:val="right"/>
              <w:rPr>
                <w:sz w:val="16"/>
                <w:szCs w:val="16"/>
              </w:rPr>
            </w:pPr>
            <w:r>
              <w:rPr>
                <w:sz w:val="16"/>
                <w:szCs w:val="16"/>
              </w:rPr>
              <w:t>2</w:t>
            </w:r>
            <w:r w:rsidRPr="0092507D">
              <w:rPr>
                <w:sz w:val="16"/>
                <w:szCs w:val="16"/>
              </w:rPr>
              <w:t>6%</w:t>
            </w:r>
          </w:p>
        </w:tc>
        <w:tc>
          <w:tcPr>
            <w:tcW w:w="894" w:type="dxa"/>
            <w:shd w:val="clear" w:color="auto" w:fill="auto"/>
            <w:noWrap/>
            <w:vAlign w:val="center"/>
          </w:tcPr>
          <w:p w:rsidR="00630F6F" w:rsidRPr="0092507D" w:rsidRDefault="00630F6F" w:rsidP="007471A8">
            <w:pPr>
              <w:tabs>
                <w:tab w:val="left" w:pos="-1440"/>
              </w:tabs>
              <w:contextualSpacing/>
              <w:jc w:val="right"/>
              <w:rPr>
                <w:sz w:val="16"/>
                <w:szCs w:val="16"/>
              </w:rPr>
            </w:pPr>
            <w:r>
              <w:rPr>
                <w:sz w:val="16"/>
                <w:szCs w:val="16"/>
              </w:rPr>
              <w:t>41%</w:t>
            </w:r>
          </w:p>
        </w:tc>
        <w:tc>
          <w:tcPr>
            <w:tcW w:w="801" w:type="dxa"/>
            <w:shd w:val="clear" w:color="auto" w:fill="auto"/>
            <w:noWrap/>
            <w:vAlign w:val="center"/>
          </w:tcPr>
          <w:p w:rsidR="00630F6F" w:rsidRPr="002161A3" w:rsidRDefault="00630F6F" w:rsidP="007471A8">
            <w:pPr>
              <w:tabs>
                <w:tab w:val="left" w:pos="-1440"/>
              </w:tabs>
              <w:contextualSpacing/>
              <w:jc w:val="right"/>
              <w:rPr>
                <w:sz w:val="16"/>
                <w:szCs w:val="16"/>
              </w:rPr>
            </w:pPr>
            <w:r w:rsidRPr="002161A3">
              <w:rPr>
                <w:sz w:val="16"/>
                <w:szCs w:val="16"/>
              </w:rPr>
              <w:t>42%</w:t>
            </w:r>
          </w:p>
        </w:tc>
        <w:tc>
          <w:tcPr>
            <w:tcW w:w="819" w:type="dxa"/>
            <w:shd w:val="clear" w:color="auto" w:fill="auto"/>
            <w:vAlign w:val="center"/>
          </w:tcPr>
          <w:p w:rsidR="00630F6F" w:rsidRDefault="00630F6F" w:rsidP="007471A8">
            <w:pPr>
              <w:tabs>
                <w:tab w:val="left" w:pos="-1440"/>
              </w:tabs>
              <w:contextualSpacing/>
              <w:jc w:val="center"/>
              <w:rPr>
                <w:sz w:val="16"/>
                <w:szCs w:val="16"/>
              </w:rPr>
            </w:pPr>
            <w:r>
              <w:rPr>
                <w:sz w:val="16"/>
                <w:szCs w:val="16"/>
              </w:rPr>
              <w:t>45%</w:t>
            </w:r>
          </w:p>
        </w:tc>
        <w:tc>
          <w:tcPr>
            <w:tcW w:w="810" w:type="dxa"/>
            <w:shd w:val="clear" w:color="auto" w:fill="auto"/>
            <w:vAlign w:val="center"/>
          </w:tcPr>
          <w:p w:rsidR="00630F6F" w:rsidRPr="00AB74AA" w:rsidRDefault="00630F6F" w:rsidP="007471A8">
            <w:pPr>
              <w:tabs>
                <w:tab w:val="left" w:pos="-1440"/>
              </w:tabs>
              <w:contextualSpacing/>
              <w:jc w:val="right"/>
              <w:rPr>
                <w:sz w:val="16"/>
                <w:szCs w:val="16"/>
                <w:highlight w:val="yellow"/>
              </w:rPr>
            </w:pPr>
            <w:r w:rsidRPr="00EE41E8">
              <w:rPr>
                <w:sz w:val="16"/>
                <w:szCs w:val="16"/>
              </w:rPr>
              <w:t>41%</w:t>
            </w:r>
          </w:p>
        </w:tc>
        <w:tc>
          <w:tcPr>
            <w:tcW w:w="900" w:type="dxa"/>
            <w:shd w:val="clear" w:color="auto" w:fill="auto"/>
            <w:noWrap/>
            <w:vAlign w:val="center"/>
          </w:tcPr>
          <w:p w:rsidR="00630F6F" w:rsidRPr="0042179B" w:rsidRDefault="00630F6F" w:rsidP="007471A8">
            <w:pPr>
              <w:tabs>
                <w:tab w:val="left" w:pos="-1440"/>
              </w:tabs>
              <w:contextualSpacing/>
              <w:jc w:val="right"/>
              <w:rPr>
                <w:sz w:val="16"/>
                <w:szCs w:val="16"/>
              </w:rPr>
            </w:pPr>
            <w:r w:rsidRPr="0042179B">
              <w:rPr>
                <w:sz w:val="16"/>
                <w:szCs w:val="16"/>
              </w:rPr>
              <w:t>N/A</w:t>
            </w:r>
          </w:p>
        </w:tc>
        <w:tc>
          <w:tcPr>
            <w:tcW w:w="900" w:type="dxa"/>
            <w:tcBorders>
              <w:bottom w:val="single" w:sz="4" w:space="0" w:color="auto"/>
            </w:tcBorders>
            <w:shd w:val="clear" w:color="auto" w:fill="auto"/>
            <w:vAlign w:val="center"/>
          </w:tcPr>
          <w:p w:rsidR="00630F6F" w:rsidRPr="0042179B" w:rsidRDefault="00630F6F" w:rsidP="007471A8">
            <w:pPr>
              <w:tabs>
                <w:tab w:val="left" w:pos="-1440"/>
              </w:tabs>
              <w:contextualSpacing/>
              <w:jc w:val="right"/>
              <w:rPr>
                <w:sz w:val="16"/>
                <w:szCs w:val="16"/>
              </w:rPr>
            </w:pPr>
            <w:r w:rsidRPr="0042179B">
              <w:rPr>
                <w:sz w:val="16"/>
                <w:szCs w:val="16"/>
              </w:rPr>
              <w:t>N/A</w:t>
            </w:r>
          </w:p>
        </w:tc>
      </w:tr>
      <w:tr w:rsidR="00630F6F" w:rsidRPr="00EC6A39" w:rsidTr="009552BF">
        <w:trPr>
          <w:trHeight w:val="197"/>
          <w:jc w:val="center"/>
        </w:trPr>
        <w:tc>
          <w:tcPr>
            <w:tcW w:w="1368" w:type="dxa"/>
            <w:shd w:val="clear" w:color="auto" w:fill="auto"/>
            <w:vAlign w:val="center"/>
          </w:tcPr>
          <w:p w:rsidR="00630F6F" w:rsidRDefault="00630F6F" w:rsidP="007471A8">
            <w:pPr>
              <w:contextualSpacing/>
              <w:rPr>
                <w:b/>
                <w:bCs/>
                <w:sz w:val="16"/>
                <w:szCs w:val="16"/>
              </w:rPr>
            </w:pPr>
            <w:r>
              <w:rPr>
                <w:b/>
                <w:bCs/>
                <w:sz w:val="16"/>
                <w:szCs w:val="16"/>
              </w:rPr>
              <w:t>Performance Measure</w:t>
            </w:r>
          </w:p>
        </w:tc>
        <w:tc>
          <w:tcPr>
            <w:tcW w:w="3209" w:type="dxa"/>
            <w:shd w:val="clear" w:color="auto" w:fill="auto"/>
            <w:noWrap/>
            <w:vAlign w:val="center"/>
          </w:tcPr>
          <w:p w:rsidR="00630F6F" w:rsidRPr="00B70EC4" w:rsidRDefault="00630F6F" w:rsidP="007471A8">
            <w:pPr>
              <w:contextualSpacing/>
              <w:rPr>
                <w:b/>
                <w:sz w:val="16"/>
                <w:szCs w:val="16"/>
              </w:rPr>
            </w:pPr>
            <w:r w:rsidRPr="00B70EC4">
              <w:rPr>
                <w:b/>
                <w:sz w:val="16"/>
                <w:szCs w:val="16"/>
              </w:rPr>
              <w:t xml:space="preserve">LEO: [New </w:t>
            </w:r>
            <w:r>
              <w:rPr>
                <w:b/>
                <w:sz w:val="16"/>
                <w:szCs w:val="16"/>
              </w:rPr>
              <w:t>m</w:t>
            </w:r>
            <w:r w:rsidRPr="00B70EC4">
              <w:rPr>
                <w:b/>
                <w:sz w:val="16"/>
                <w:szCs w:val="16"/>
              </w:rPr>
              <w:t>easure]</w:t>
            </w:r>
          </w:p>
          <w:p w:rsidR="00630F6F" w:rsidRPr="002F223D" w:rsidRDefault="00630F6F" w:rsidP="007471A8">
            <w:pPr>
              <w:contextualSpacing/>
              <w:rPr>
                <w:sz w:val="16"/>
                <w:szCs w:val="16"/>
              </w:rPr>
            </w:pPr>
            <w:r>
              <w:rPr>
                <w:sz w:val="16"/>
                <w:szCs w:val="16"/>
              </w:rPr>
              <w:t>Number of Active Members</w:t>
            </w:r>
          </w:p>
        </w:tc>
        <w:tc>
          <w:tcPr>
            <w:tcW w:w="871" w:type="dxa"/>
            <w:shd w:val="clear" w:color="auto" w:fill="auto"/>
            <w:noWrap/>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872" w:type="dxa"/>
            <w:shd w:val="clear" w:color="auto" w:fill="auto"/>
            <w:noWrap/>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871" w:type="dxa"/>
            <w:shd w:val="clear" w:color="auto" w:fill="auto"/>
            <w:noWrap/>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866" w:type="dxa"/>
            <w:shd w:val="clear" w:color="auto" w:fill="auto"/>
            <w:noWrap/>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877" w:type="dxa"/>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894" w:type="dxa"/>
            <w:shd w:val="clear" w:color="auto" w:fill="auto"/>
            <w:noWrap/>
            <w:vAlign w:val="center"/>
          </w:tcPr>
          <w:p w:rsidR="00630F6F" w:rsidRPr="002F223D" w:rsidRDefault="00630F6F" w:rsidP="007471A8">
            <w:pPr>
              <w:tabs>
                <w:tab w:val="left" w:pos="-1440"/>
              </w:tabs>
              <w:contextualSpacing/>
              <w:jc w:val="right"/>
              <w:rPr>
                <w:sz w:val="16"/>
                <w:szCs w:val="16"/>
              </w:rPr>
            </w:pPr>
            <w:r>
              <w:rPr>
                <w:sz w:val="16"/>
                <w:szCs w:val="16"/>
              </w:rPr>
              <w:t>N/A</w:t>
            </w:r>
          </w:p>
        </w:tc>
        <w:tc>
          <w:tcPr>
            <w:tcW w:w="801" w:type="dxa"/>
            <w:shd w:val="clear" w:color="auto" w:fill="auto"/>
            <w:noWrap/>
            <w:vAlign w:val="center"/>
          </w:tcPr>
          <w:p w:rsidR="00630F6F" w:rsidRDefault="00630F6F" w:rsidP="007471A8">
            <w:pPr>
              <w:tabs>
                <w:tab w:val="left" w:pos="-1440"/>
              </w:tabs>
              <w:contextualSpacing/>
              <w:jc w:val="right"/>
              <w:rPr>
                <w:sz w:val="16"/>
                <w:szCs w:val="16"/>
              </w:rPr>
            </w:pPr>
            <w:r>
              <w:rPr>
                <w:sz w:val="16"/>
                <w:szCs w:val="16"/>
              </w:rPr>
              <w:t>N/A</w:t>
            </w:r>
          </w:p>
        </w:tc>
        <w:tc>
          <w:tcPr>
            <w:tcW w:w="819" w:type="dxa"/>
            <w:shd w:val="clear" w:color="auto" w:fill="auto"/>
            <w:vAlign w:val="center"/>
          </w:tcPr>
          <w:p w:rsidR="00630F6F" w:rsidRDefault="00630F6F" w:rsidP="007471A8">
            <w:pPr>
              <w:tabs>
                <w:tab w:val="left" w:pos="-1440"/>
              </w:tabs>
              <w:contextualSpacing/>
              <w:jc w:val="right"/>
              <w:rPr>
                <w:sz w:val="16"/>
                <w:szCs w:val="16"/>
              </w:rPr>
            </w:pPr>
            <w:r>
              <w:rPr>
                <w:sz w:val="16"/>
                <w:szCs w:val="16"/>
              </w:rPr>
              <w:t>N/A</w:t>
            </w:r>
          </w:p>
        </w:tc>
        <w:tc>
          <w:tcPr>
            <w:tcW w:w="810" w:type="dxa"/>
            <w:shd w:val="clear" w:color="auto" w:fill="auto"/>
            <w:vAlign w:val="center"/>
          </w:tcPr>
          <w:p w:rsidR="00630F6F" w:rsidRPr="004A0127" w:rsidRDefault="00630F6F" w:rsidP="007471A8">
            <w:pPr>
              <w:tabs>
                <w:tab w:val="left" w:pos="-1440"/>
              </w:tabs>
              <w:contextualSpacing/>
              <w:jc w:val="right"/>
              <w:rPr>
                <w:sz w:val="16"/>
                <w:szCs w:val="16"/>
              </w:rPr>
            </w:pPr>
            <w:r w:rsidRPr="004A0127">
              <w:rPr>
                <w:sz w:val="16"/>
                <w:szCs w:val="16"/>
              </w:rPr>
              <w:t>55,147</w:t>
            </w:r>
          </w:p>
        </w:tc>
        <w:tc>
          <w:tcPr>
            <w:tcW w:w="900" w:type="dxa"/>
            <w:shd w:val="clear" w:color="auto" w:fill="auto"/>
            <w:noWrap/>
            <w:vAlign w:val="center"/>
          </w:tcPr>
          <w:p w:rsidR="00630F6F" w:rsidRPr="004A0127" w:rsidRDefault="00630F6F" w:rsidP="007471A8">
            <w:pPr>
              <w:tabs>
                <w:tab w:val="left" w:pos="-1440"/>
              </w:tabs>
              <w:contextualSpacing/>
              <w:jc w:val="right"/>
              <w:rPr>
                <w:sz w:val="16"/>
                <w:szCs w:val="16"/>
              </w:rPr>
            </w:pPr>
            <w:r w:rsidRPr="004A0127">
              <w:rPr>
                <w:sz w:val="16"/>
                <w:szCs w:val="16"/>
              </w:rPr>
              <w:t>64,980</w:t>
            </w:r>
          </w:p>
        </w:tc>
        <w:tc>
          <w:tcPr>
            <w:tcW w:w="900" w:type="dxa"/>
            <w:shd w:val="clear" w:color="auto" w:fill="auto"/>
            <w:vAlign w:val="center"/>
          </w:tcPr>
          <w:p w:rsidR="00630F6F" w:rsidRPr="004A0127" w:rsidRDefault="00630F6F" w:rsidP="007471A8">
            <w:pPr>
              <w:tabs>
                <w:tab w:val="left" w:pos="-1440"/>
              </w:tabs>
              <w:contextualSpacing/>
              <w:jc w:val="right"/>
              <w:rPr>
                <w:sz w:val="16"/>
                <w:szCs w:val="16"/>
              </w:rPr>
            </w:pPr>
            <w:r w:rsidRPr="004A0127">
              <w:rPr>
                <w:sz w:val="16"/>
                <w:szCs w:val="16"/>
              </w:rPr>
              <w:t>188,980</w:t>
            </w:r>
          </w:p>
        </w:tc>
      </w:tr>
      <w:tr w:rsidR="00630F6F" w:rsidRPr="00EC6A39" w:rsidTr="009552BF">
        <w:trPr>
          <w:trHeight w:val="197"/>
          <w:jc w:val="center"/>
        </w:trPr>
        <w:tc>
          <w:tcPr>
            <w:tcW w:w="1368" w:type="dxa"/>
            <w:shd w:val="clear" w:color="auto" w:fill="auto"/>
            <w:vAlign w:val="center"/>
          </w:tcPr>
          <w:p w:rsidR="00630F6F" w:rsidRPr="002F223D" w:rsidRDefault="00630F6F" w:rsidP="007471A8">
            <w:pPr>
              <w:contextualSpacing/>
            </w:pPr>
            <w:r w:rsidRPr="002F223D">
              <w:rPr>
                <w:b/>
                <w:bCs/>
                <w:sz w:val="16"/>
                <w:szCs w:val="16"/>
              </w:rPr>
              <w:t>Performance Measure</w:t>
            </w:r>
          </w:p>
        </w:tc>
        <w:tc>
          <w:tcPr>
            <w:tcW w:w="3209" w:type="dxa"/>
            <w:shd w:val="clear" w:color="auto" w:fill="auto"/>
            <w:noWrap/>
            <w:vAlign w:val="center"/>
          </w:tcPr>
          <w:p w:rsidR="00630F6F" w:rsidRPr="002F223D" w:rsidRDefault="00630F6F" w:rsidP="007471A8">
            <w:pPr>
              <w:contextualSpacing/>
              <w:rPr>
                <w:sz w:val="16"/>
                <w:szCs w:val="16"/>
              </w:rPr>
            </w:pPr>
            <w:r w:rsidRPr="002F223D">
              <w:rPr>
                <w:sz w:val="16"/>
                <w:szCs w:val="16"/>
              </w:rPr>
              <w:t>Student-weeks of Instruction at the Hazardous Devices School (HDS)</w:t>
            </w:r>
          </w:p>
        </w:tc>
        <w:tc>
          <w:tcPr>
            <w:tcW w:w="871"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2,245</w:t>
            </w:r>
          </w:p>
        </w:tc>
        <w:tc>
          <w:tcPr>
            <w:tcW w:w="872"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2,304</w:t>
            </w:r>
          </w:p>
        </w:tc>
        <w:tc>
          <w:tcPr>
            <w:tcW w:w="871"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2,593</w:t>
            </w:r>
          </w:p>
        </w:tc>
        <w:tc>
          <w:tcPr>
            <w:tcW w:w="866"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2,614</w:t>
            </w:r>
          </w:p>
        </w:tc>
        <w:tc>
          <w:tcPr>
            <w:tcW w:w="877" w:type="dxa"/>
            <w:vAlign w:val="center"/>
          </w:tcPr>
          <w:p w:rsidR="00630F6F" w:rsidRPr="002F223D" w:rsidRDefault="00630F6F" w:rsidP="007471A8">
            <w:pPr>
              <w:tabs>
                <w:tab w:val="left" w:pos="-1440"/>
              </w:tabs>
              <w:contextualSpacing/>
              <w:jc w:val="right"/>
              <w:rPr>
                <w:sz w:val="16"/>
                <w:szCs w:val="16"/>
              </w:rPr>
            </w:pPr>
            <w:r w:rsidRPr="002F223D">
              <w:rPr>
                <w:sz w:val="16"/>
                <w:szCs w:val="16"/>
              </w:rPr>
              <w:t>2,159</w:t>
            </w:r>
          </w:p>
        </w:tc>
        <w:tc>
          <w:tcPr>
            <w:tcW w:w="894" w:type="dxa"/>
            <w:shd w:val="clear" w:color="auto" w:fill="auto"/>
            <w:noWrap/>
            <w:vAlign w:val="center"/>
          </w:tcPr>
          <w:p w:rsidR="00630F6F" w:rsidRPr="002F223D" w:rsidRDefault="00630F6F" w:rsidP="007471A8">
            <w:pPr>
              <w:tabs>
                <w:tab w:val="left" w:pos="-1440"/>
              </w:tabs>
              <w:contextualSpacing/>
              <w:jc w:val="right"/>
              <w:rPr>
                <w:sz w:val="16"/>
                <w:szCs w:val="16"/>
              </w:rPr>
            </w:pPr>
            <w:r w:rsidRPr="002F223D">
              <w:rPr>
                <w:sz w:val="16"/>
                <w:szCs w:val="16"/>
              </w:rPr>
              <w:t>2,605</w:t>
            </w:r>
          </w:p>
        </w:tc>
        <w:tc>
          <w:tcPr>
            <w:tcW w:w="801" w:type="dxa"/>
            <w:shd w:val="clear" w:color="auto" w:fill="auto"/>
            <w:noWrap/>
            <w:vAlign w:val="center"/>
          </w:tcPr>
          <w:p w:rsidR="00630F6F" w:rsidRPr="002F223D" w:rsidRDefault="00630F6F" w:rsidP="007471A8">
            <w:pPr>
              <w:tabs>
                <w:tab w:val="left" w:pos="-1440"/>
              </w:tabs>
              <w:contextualSpacing/>
              <w:jc w:val="right"/>
              <w:rPr>
                <w:sz w:val="16"/>
                <w:szCs w:val="16"/>
              </w:rPr>
            </w:pPr>
            <w:r>
              <w:rPr>
                <w:sz w:val="16"/>
                <w:szCs w:val="16"/>
              </w:rPr>
              <w:t>2,437</w:t>
            </w:r>
          </w:p>
        </w:tc>
        <w:tc>
          <w:tcPr>
            <w:tcW w:w="819" w:type="dxa"/>
            <w:shd w:val="clear" w:color="auto" w:fill="auto"/>
            <w:vAlign w:val="center"/>
          </w:tcPr>
          <w:p w:rsidR="00630F6F" w:rsidRPr="002F223D" w:rsidRDefault="00630F6F" w:rsidP="007471A8">
            <w:pPr>
              <w:tabs>
                <w:tab w:val="left" w:pos="-1440"/>
              </w:tabs>
              <w:contextualSpacing/>
              <w:jc w:val="right"/>
              <w:rPr>
                <w:sz w:val="16"/>
                <w:szCs w:val="16"/>
              </w:rPr>
            </w:pPr>
            <w:r>
              <w:rPr>
                <w:sz w:val="16"/>
                <w:szCs w:val="16"/>
              </w:rPr>
              <w:t>2,326</w:t>
            </w:r>
          </w:p>
        </w:tc>
        <w:tc>
          <w:tcPr>
            <w:tcW w:w="810" w:type="dxa"/>
            <w:shd w:val="clear" w:color="auto" w:fill="auto"/>
            <w:vAlign w:val="center"/>
          </w:tcPr>
          <w:p w:rsidR="00630F6F" w:rsidRPr="00F4188D" w:rsidRDefault="00630F6F" w:rsidP="007471A8">
            <w:pPr>
              <w:tabs>
                <w:tab w:val="left" w:pos="-1440"/>
              </w:tabs>
              <w:contextualSpacing/>
              <w:jc w:val="right"/>
              <w:rPr>
                <w:sz w:val="16"/>
                <w:szCs w:val="16"/>
              </w:rPr>
            </w:pPr>
            <w:r w:rsidRPr="00F4188D">
              <w:rPr>
                <w:sz w:val="16"/>
                <w:szCs w:val="16"/>
              </w:rPr>
              <w:t>2,295</w:t>
            </w:r>
          </w:p>
        </w:tc>
        <w:tc>
          <w:tcPr>
            <w:tcW w:w="900" w:type="dxa"/>
            <w:shd w:val="clear" w:color="auto" w:fill="auto"/>
            <w:noWrap/>
            <w:vAlign w:val="center"/>
          </w:tcPr>
          <w:p w:rsidR="00630F6F" w:rsidRPr="00F4188D" w:rsidRDefault="00630F6F" w:rsidP="007471A8">
            <w:pPr>
              <w:tabs>
                <w:tab w:val="left" w:pos="-1440"/>
              </w:tabs>
              <w:contextualSpacing/>
              <w:jc w:val="right"/>
              <w:rPr>
                <w:sz w:val="16"/>
                <w:szCs w:val="16"/>
              </w:rPr>
            </w:pPr>
            <w:r w:rsidRPr="00F4188D">
              <w:rPr>
                <w:sz w:val="16"/>
                <w:szCs w:val="16"/>
              </w:rPr>
              <w:t>2,668</w:t>
            </w:r>
          </w:p>
        </w:tc>
        <w:tc>
          <w:tcPr>
            <w:tcW w:w="900" w:type="dxa"/>
            <w:shd w:val="clear" w:color="auto" w:fill="auto"/>
            <w:vAlign w:val="center"/>
          </w:tcPr>
          <w:p w:rsidR="00630F6F" w:rsidRPr="00F4188D" w:rsidRDefault="00630F6F" w:rsidP="007471A8">
            <w:pPr>
              <w:tabs>
                <w:tab w:val="left" w:pos="-1440"/>
              </w:tabs>
              <w:contextualSpacing/>
              <w:jc w:val="right"/>
              <w:rPr>
                <w:sz w:val="16"/>
                <w:szCs w:val="16"/>
              </w:rPr>
            </w:pPr>
            <w:r w:rsidRPr="00F4188D">
              <w:rPr>
                <w:sz w:val="16"/>
                <w:szCs w:val="16"/>
              </w:rPr>
              <w:t>2,668</w:t>
            </w:r>
          </w:p>
        </w:tc>
      </w:tr>
    </w:tbl>
    <w:p w:rsidR="00630F6F" w:rsidRDefault="00630F6F" w:rsidP="007471A8">
      <w:pPr>
        <w:contextualSpacing/>
        <w:sectPr w:rsidR="00630F6F" w:rsidSect="0036067B">
          <w:headerReference w:type="default" r:id="rId45"/>
          <w:headerReference w:type="first" r:id="rId46"/>
          <w:pgSz w:w="15840" w:h="12240" w:orient="landscape"/>
          <w:pgMar w:top="1080" w:right="1080" w:bottom="1080" w:left="1080" w:header="432" w:footer="432" w:gutter="0"/>
          <w:cols w:space="720"/>
          <w:docGrid w:linePitch="360"/>
        </w:sectPr>
      </w:pPr>
    </w:p>
    <w:p w:rsidR="00630F6F" w:rsidRDefault="00630F6F" w:rsidP="007471A8">
      <w:pPr>
        <w:contextualSpacing/>
      </w:pPr>
      <w:r w:rsidRPr="00DB28C8">
        <w:rPr>
          <w:b/>
        </w:rPr>
        <w:lastRenderedPageBreak/>
        <w:t>2. Performance, Resources, and Strategies</w:t>
      </w:r>
      <w:r w:rsidRPr="00DB28C8">
        <w:rPr>
          <w:b/>
        </w:rPr>
        <w:cr/>
      </w:r>
      <w:r w:rsidR="000906AA" w:rsidRPr="000906AA">
        <w:t>T</w:t>
      </w:r>
      <w:r w:rsidRPr="004A0127">
        <w:t>he Criminal Justice Services decision unit contributes to the Department of Justice’s Strategic Goal 3,</w:t>
      </w:r>
      <w:r w:rsidRPr="004A0127">
        <w:rPr>
          <w:color w:val="000000"/>
        </w:rPr>
        <w:t xml:space="preserve"> “Ensure and Support the Fair, Impartial, Efficient, and Transparent Administration of Justice at the Federal, State, Local, Tribal, and International Levels.”  </w:t>
      </w:r>
      <w:r w:rsidRPr="004A0127">
        <w:t>Within this goal, the resources specifically support Strategic Objective 3.1, “</w:t>
      </w:r>
      <w:r w:rsidRPr="004A0127">
        <w:rPr>
          <w:color w:val="000000"/>
        </w:rPr>
        <w:t>Promote and strengthen relationships and strategies for the administration of justice with state, local, tribal, and international law enforcement</w:t>
      </w:r>
      <w:r w:rsidRPr="004A0127">
        <w:t xml:space="preserve">.”  This decision unit ties directly to the FBI’s ninth priority: Support federal, state, local, and international partners; and to the “Maximize Partnerships” theme and its </w:t>
      </w:r>
      <w:r>
        <w:t>related</w:t>
      </w:r>
      <w:r w:rsidRPr="004A0127">
        <w:t xml:space="preserve"> objectives on the FBI’s strategy map.</w:t>
      </w:r>
    </w:p>
    <w:p w:rsidR="00630F6F" w:rsidRDefault="00630F6F" w:rsidP="007471A8">
      <w:pPr>
        <w:contextualSpacing/>
      </w:pPr>
    </w:p>
    <w:p w:rsidR="00630F6F" w:rsidRPr="004A0127" w:rsidRDefault="00630F6F" w:rsidP="007471A8">
      <w:pPr>
        <w:autoSpaceDE w:val="0"/>
        <w:autoSpaceDN w:val="0"/>
        <w:adjustRightInd w:val="0"/>
        <w:contextualSpacing/>
      </w:pPr>
      <w:r w:rsidRPr="00727FCE">
        <w:rPr>
          <w:b/>
          <w:bCs/>
        </w:rPr>
        <w:t>a. Performance Plan and Report for Outcomes</w:t>
      </w:r>
      <w:r w:rsidRPr="00727FCE">
        <w:rPr>
          <w:b/>
          <w:bCs/>
        </w:rPr>
        <w:cr/>
      </w:r>
      <w:r w:rsidRPr="009D00D3">
        <w:rPr>
          <w:b/>
          <w:bCs/>
          <w:u w:val="single"/>
        </w:rPr>
        <w:t>Integrated Automated Fingerprint Identification System</w:t>
      </w:r>
      <w:r>
        <w:rPr>
          <w:b/>
          <w:bCs/>
          <w:u w:val="single"/>
        </w:rPr>
        <w:t>/Next Generation Identification</w:t>
      </w:r>
      <w:r w:rsidRPr="009D00D3">
        <w:rPr>
          <w:b/>
          <w:bCs/>
        </w:rPr>
        <w:cr/>
      </w:r>
      <w:r w:rsidR="00C5224D">
        <w:rPr>
          <w:noProof/>
          <w:lang w:eastAsia="zh-CN"/>
        </w:rPr>
        <w:pict>
          <v:shape id="_x0000_s1053" type="#_x0000_t202" style="position:absolute;margin-left:1616.8pt;margin-top:73.6pt;width:232.7pt;height:175.2pt;z-index:-251639808;mso-wrap-style:none;mso-wrap-distance-top:28.8pt;mso-wrap-distance-bottom:7.2pt;mso-position-horizontal:right;mso-position-horizontal-relative:margin" wrapcoords="-70 -92 -70 21508 21670 21508 21670 -92 -70 -92" strokecolor="#969696">
            <v:textbox style="mso-next-textbox:#_x0000_s1053;mso-fit-shape-to-text:t">
              <w:txbxContent>
                <w:p w:rsidR="00561262" w:rsidRDefault="00561262" w:rsidP="00630F6F">
                  <w:pPr>
                    <w:jc w:val="both"/>
                  </w:pPr>
                  <w:r>
                    <w:rPr>
                      <w:b/>
                      <w:noProof/>
                      <w:sz w:val="16"/>
                    </w:rPr>
                    <w:drawing>
                      <wp:inline distT="0" distB="0" distL="0" distR="0">
                        <wp:extent cx="2762250" cy="2124075"/>
                        <wp:effectExtent l="0" t="0" r="0" b="0"/>
                        <wp:docPr id="64" name="Object 1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w10:wrap type="tight" anchorx="margin"/>
          </v:shape>
        </w:pict>
      </w:r>
      <w:r w:rsidRPr="004A0127">
        <w:t xml:space="preserve">Fingerprint identification, which includes the processing of fingerprint submissions and criminal history records, has been a responsibility of the FBI since 1924.  With an ever-increasing demand for fingerprint services, July 28, 1999, the FBI launched the Integrated Automated Fingerprint Identification System (IAFIS), which is managed by the FBI’s Criminal Justice Information Services (CJIS) Division in Clarksburg, West Virginia. The IAFIS is a national fingerprint and criminal history system that provides automated fingerprint search capabilities, latent searching capability, electronic image storage, and electronic exchange of fingerprints and responses, 24 hours a day, 365 days a year. </w:t>
      </w:r>
    </w:p>
    <w:p w:rsidR="00630F6F" w:rsidRPr="00120534" w:rsidRDefault="00630F6F" w:rsidP="007471A8">
      <w:pPr>
        <w:contextualSpacing/>
        <w:rPr>
          <w:b/>
          <w:bCs/>
          <w:i/>
          <w:iCs/>
        </w:rPr>
      </w:pPr>
    </w:p>
    <w:p w:rsidR="00630F6F" w:rsidRPr="00077869" w:rsidRDefault="00630F6F" w:rsidP="007471A8">
      <w:pPr>
        <w:contextualSpacing/>
      </w:pPr>
      <w:r w:rsidRPr="00FB4B3F">
        <w:rPr>
          <w:b/>
          <w:bCs/>
          <w:i/>
          <w:iCs/>
        </w:rPr>
        <w:t>Performance Measure:</w:t>
      </w:r>
      <w:r w:rsidRPr="00FB4B3F">
        <w:t xml:space="preserve">  Average daily identification searches</w:t>
      </w:r>
      <w:r w:rsidRPr="00077869">
        <w:t xml:space="preserve"> </w:t>
      </w:r>
    </w:p>
    <w:p w:rsidR="00630F6F" w:rsidRPr="00077869" w:rsidRDefault="00630F6F" w:rsidP="007471A8">
      <w:pPr>
        <w:contextualSpacing/>
      </w:pPr>
    </w:p>
    <w:p w:rsidR="00D020A8" w:rsidRDefault="00D020A8" w:rsidP="00E20073">
      <w:pPr>
        <w:tabs>
          <w:tab w:val="left" w:pos="2160"/>
        </w:tabs>
        <w:contextualSpacing/>
        <w:rPr>
          <w:b/>
          <w:i/>
        </w:rPr>
      </w:pPr>
      <w:r>
        <w:rPr>
          <w:b/>
          <w:i/>
        </w:rPr>
        <w:t xml:space="preserve">FY 2011 Target: </w:t>
      </w:r>
      <w:r w:rsidR="00E20073">
        <w:rPr>
          <w:b/>
          <w:i/>
        </w:rPr>
        <w:tab/>
      </w:r>
      <w:r w:rsidRPr="00842C48">
        <w:rPr>
          <w:i/>
        </w:rPr>
        <w:t>159,970</w:t>
      </w:r>
    </w:p>
    <w:p w:rsidR="00D020A8" w:rsidRDefault="00D020A8" w:rsidP="00E20073">
      <w:pPr>
        <w:tabs>
          <w:tab w:val="left" w:pos="2160"/>
        </w:tabs>
        <w:contextualSpacing/>
        <w:rPr>
          <w:b/>
          <w:i/>
        </w:rPr>
      </w:pPr>
      <w:r>
        <w:rPr>
          <w:b/>
          <w:i/>
        </w:rPr>
        <w:t xml:space="preserve">FY 2011 Actual: </w:t>
      </w:r>
      <w:r w:rsidR="00E20073">
        <w:rPr>
          <w:b/>
          <w:i/>
        </w:rPr>
        <w:tab/>
      </w:r>
      <w:r w:rsidRPr="00842C48">
        <w:rPr>
          <w:i/>
        </w:rPr>
        <w:t>139,125</w:t>
      </w:r>
      <w:r>
        <w:rPr>
          <w:b/>
          <w:i/>
        </w:rPr>
        <w:t xml:space="preserve"> </w:t>
      </w:r>
    </w:p>
    <w:p w:rsidR="00630F6F" w:rsidRPr="00077869" w:rsidRDefault="00630F6F" w:rsidP="007471A8">
      <w:pPr>
        <w:contextualSpacing/>
        <w:rPr>
          <w:bCs/>
          <w:iCs/>
        </w:rPr>
      </w:pPr>
    </w:p>
    <w:p w:rsidR="00630F6F" w:rsidRDefault="00C5224D" w:rsidP="007471A8">
      <w:pPr>
        <w:contextualSpacing/>
      </w:pPr>
      <w:r w:rsidRPr="00C5224D">
        <w:rPr>
          <w:b/>
          <w:bCs/>
          <w:i/>
          <w:iCs/>
          <w:noProof/>
        </w:rPr>
        <w:pict>
          <v:shape id="_x0000_s1054" type="#_x0000_t202" style="position:absolute;margin-left:1616.8pt;margin-top:31.95pt;width:232.7pt;height:175.2pt;z-index:-251638784;mso-wrap-style:none;mso-wrap-distance-top:28.8pt;mso-wrap-distance-bottom:7.2pt;mso-position-horizontal:right;mso-position-horizontal-relative:margin" wrapcoords="-70 -92 -70 21508 21670 21508 21670 -92 -70 -92" strokecolor="#969696">
            <v:textbox style="mso-next-textbox:#_x0000_s1054;mso-fit-shape-to-text:t">
              <w:txbxContent>
                <w:p w:rsidR="00561262" w:rsidRDefault="00561262" w:rsidP="00630F6F">
                  <w:pPr>
                    <w:jc w:val="both"/>
                  </w:pPr>
                  <w:r>
                    <w:rPr>
                      <w:b/>
                      <w:noProof/>
                      <w:sz w:val="16"/>
                    </w:rPr>
                    <w:drawing>
                      <wp:inline distT="0" distB="0" distL="0" distR="0">
                        <wp:extent cx="2762250" cy="2124075"/>
                        <wp:effectExtent l="0" t="0" r="0" b="0"/>
                        <wp:docPr id="65" name="Object 1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w10:wrap type="tight" anchorx="margin"/>
          </v:shape>
        </w:pict>
      </w:r>
      <w:r w:rsidR="00630F6F" w:rsidRPr="00077869">
        <w:rPr>
          <w:b/>
          <w:bCs/>
          <w:i/>
          <w:iCs/>
        </w:rPr>
        <w:t>D</w:t>
      </w:r>
      <w:r w:rsidR="00630F6F" w:rsidRPr="00077869">
        <w:rPr>
          <w:b/>
          <w:bCs/>
          <w:i/>
          <w:iCs/>
          <w:lang w:eastAsia="zh-CN"/>
        </w:rPr>
        <w:t xml:space="preserve">iscussion: </w:t>
      </w:r>
      <w:r w:rsidR="00630F6F">
        <w:t>This measure reports</w:t>
      </w:r>
      <w:r w:rsidR="00630F6F" w:rsidRPr="00077869">
        <w:t xml:space="preserve"> the number of identification searches being conducted by the CJIS Division. </w:t>
      </w:r>
      <w:r w:rsidR="00630F6F" w:rsidRPr="004A0127">
        <w:rPr>
          <w:color w:val="000000"/>
        </w:rPr>
        <w:t>The FY 2012 and FY 2013 targets were derived from a 15</w:t>
      </w:r>
      <w:r w:rsidR="00630F6F">
        <w:rPr>
          <w:color w:val="000000"/>
        </w:rPr>
        <w:t xml:space="preserve"> percent</w:t>
      </w:r>
      <w:r w:rsidR="00630F6F" w:rsidRPr="004A0127">
        <w:rPr>
          <w:color w:val="000000"/>
        </w:rPr>
        <w:t xml:space="preserve"> yearly growth rate and new IAFIS initiatives.</w:t>
      </w:r>
      <w:r w:rsidR="00630F6F" w:rsidRPr="00077869">
        <w:rPr>
          <w:color w:val="000000"/>
        </w:rPr>
        <w:t xml:space="preserve">  </w:t>
      </w:r>
      <w:r w:rsidR="00630F6F" w:rsidRPr="00077869">
        <w:t xml:space="preserve">The target projections increase due to the incremental deployment of new functionality and the anticipated increase in usage.  </w:t>
      </w:r>
    </w:p>
    <w:p w:rsidR="00D020A8" w:rsidRDefault="00D020A8" w:rsidP="007471A8">
      <w:pPr>
        <w:contextualSpacing/>
      </w:pPr>
    </w:p>
    <w:p w:rsidR="00D020A8" w:rsidRPr="00842C48" w:rsidRDefault="00D020A8" w:rsidP="00E20073">
      <w:pPr>
        <w:tabs>
          <w:tab w:val="left" w:pos="2160"/>
        </w:tabs>
        <w:contextualSpacing/>
        <w:rPr>
          <w:i/>
        </w:rPr>
      </w:pPr>
      <w:r>
        <w:rPr>
          <w:b/>
          <w:i/>
        </w:rPr>
        <w:t xml:space="preserve">FY 2012 Target: </w:t>
      </w:r>
      <w:r w:rsidR="00E20073">
        <w:rPr>
          <w:b/>
          <w:i/>
        </w:rPr>
        <w:tab/>
      </w:r>
      <w:r w:rsidRPr="00564378">
        <w:t>187,706</w:t>
      </w:r>
    </w:p>
    <w:p w:rsidR="00630F6F" w:rsidRDefault="00D020A8" w:rsidP="00E20073">
      <w:pPr>
        <w:tabs>
          <w:tab w:val="left" w:pos="2160"/>
        </w:tabs>
        <w:contextualSpacing/>
      </w:pPr>
      <w:r w:rsidRPr="00077869">
        <w:rPr>
          <w:b/>
          <w:i/>
        </w:rPr>
        <w:t>FY 201</w:t>
      </w:r>
      <w:r>
        <w:rPr>
          <w:b/>
          <w:i/>
        </w:rPr>
        <w:t>3</w:t>
      </w:r>
      <w:r w:rsidRPr="00077869">
        <w:rPr>
          <w:b/>
          <w:i/>
        </w:rPr>
        <w:t xml:space="preserve"> Target:  </w:t>
      </w:r>
      <w:r w:rsidR="00E20073">
        <w:rPr>
          <w:b/>
          <w:i/>
        </w:rPr>
        <w:tab/>
      </w:r>
      <w:r>
        <w:t>200,232</w:t>
      </w:r>
    </w:p>
    <w:p w:rsidR="00D020A8" w:rsidRDefault="00D020A8" w:rsidP="007471A8">
      <w:pPr>
        <w:contextualSpacing/>
        <w:rPr>
          <w:b/>
          <w:bCs/>
          <w:i/>
          <w:iCs/>
        </w:rPr>
      </w:pPr>
    </w:p>
    <w:p w:rsidR="00630F6F" w:rsidRDefault="00630F6F" w:rsidP="007471A8">
      <w:pPr>
        <w:contextualSpacing/>
      </w:pPr>
      <w:r w:rsidRPr="000018DD">
        <w:rPr>
          <w:b/>
          <w:bCs/>
          <w:i/>
          <w:iCs/>
        </w:rPr>
        <w:t>Performance Measure:</w:t>
      </w:r>
      <w:r w:rsidRPr="000018DD">
        <w:t xml:space="preserve">  Average daily latent searches</w:t>
      </w:r>
    </w:p>
    <w:p w:rsidR="00564378" w:rsidRPr="00077869" w:rsidRDefault="00564378" w:rsidP="007471A8">
      <w:pPr>
        <w:contextualSpacing/>
      </w:pPr>
    </w:p>
    <w:p w:rsidR="00D020A8" w:rsidRDefault="00D020A8" w:rsidP="00E20073">
      <w:pPr>
        <w:tabs>
          <w:tab w:val="left" w:pos="2160"/>
        </w:tabs>
        <w:contextualSpacing/>
        <w:rPr>
          <w:b/>
          <w:i/>
        </w:rPr>
      </w:pPr>
      <w:r>
        <w:rPr>
          <w:b/>
          <w:i/>
        </w:rPr>
        <w:t xml:space="preserve">FY 2011 Target: </w:t>
      </w:r>
      <w:r w:rsidR="00E20073">
        <w:rPr>
          <w:b/>
          <w:i/>
        </w:rPr>
        <w:tab/>
      </w:r>
      <w:r w:rsidRPr="00842C48">
        <w:rPr>
          <w:i/>
        </w:rPr>
        <w:t>624</w:t>
      </w:r>
    </w:p>
    <w:p w:rsidR="00D020A8" w:rsidRDefault="00D020A8" w:rsidP="00E20073">
      <w:pPr>
        <w:tabs>
          <w:tab w:val="left" w:pos="2160"/>
        </w:tabs>
        <w:contextualSpacing/>
        <w:rPr>
          <w:b/>
          <w:i/>
        </w:rPr>
      </w:pPr>
      <w:r>
        <w:rPr>
          <w:b/>
          <w:i/>
        </w:rPr>
        <w:t xml:space="preserve">FY 2011 Actual: </w:t>
      </w:r>
      <w:r w:rsidR="00E20073">
        <w:rPr>
          <w:b/>
          <w:i/>
        </w:rPr>
        <w:tab/>
      </w:r>
      <w:r w:rsidRPr="00564378">
        <w:t xml:space="preserve">597 </w:t>
      </w:r>
    </w:p>
    <w:p w:rsidR="00630F6F" w:rsidRPr="00077869" w:rsidRDefault="00630F6F" w:rsidP="007471A8">
      <w:pPr>
        <w:contextualSpacing/>
      </w:pPr>
    </w:p>
    <w:p w:rsidR="00630F6F" w:rsidRPr="00077869" w:rsidRDefault="00630F6F" w:rsidP="007471A8">
      <w:pPr>
        <w:contextualSpacing/>
      </w:pPr>
      <w:r w:rsidRPr="00077869">
        <w:rPr>
          <w:b/>
          <w:bCs/>
          <w:i/>
          <w:iCs/>
          <w:lang w:eastAsia="zh-CN"/>
        </w:rPr>
        <w:t xml:space="preserve">Discussion: </w:t>
      </w:r>
      <w:r w:rsidRPr="00077869">
        <w:t xml:space="preserve"> </w:t>
      </w:r>
      <w:r>
        <w:t>This measure reports</w:t>
      </w:r>
      <w:r w:rsidRPr="00077869">
        <w:t xml:space="preserve"> the average daily number of latent investigative searches processed by the CJIS Division. </w:t>
      </w:r>
      <w:r w:rsidRPr="000018DD">
        <w:rPr>
          <w:color w:val="000000"/>
        </w:rPr>
        <w:t xml:space="preserve">The targets are based on historical data.  All IAFIS segments will be replaced by NGI in 2014.  Until that time, IAFIS </w:t>
      </w:r>
      <w:r>
        <w:rPr>
          <w:color w:val="000000"/>
        </w:rPr>
        <w:t xml:space="preserve">data is used for these </w:t>
      </w:r>
      <w:r w:rsidRPr="000018DD">
        <w:rPr>
          <w:color w:val="000000"/>
        </w:rPr>
        <w:t>performance measures</w:t>
      </w:r>
      <w:r>
        <w:rPr>
          <w:color w:val="000000"/>
        </w:rPr>
        <w:t xml:space="preserve">. </w:t>
      </w:r>
      <w:r w:rsidRPr="000018DD">
        <w:rPr>
          <w:color w:val="000000"/>
        </w:rPr>
        <w:t xml:space="preserve">This </w:t>
      </w:r>
      <w:r>
        <w:rPr>
          <w:color w:val="000000"/>
        </w:rPr>
        <w:t>data and targets shown account</w:t>
      </w:r>
      <w:r w:rsidRPr="000018DD">
        <w:rPr>
          <w:color w:val="000000"/>
        </w:rPr>
        <w:t xml:space="preserve"> for some improvement in response times which could be attributed to efficiencies gained by NGI’s implementation of the new fingerprint matching segment of IAFIS. NGI performance </w:t>
      </w:r>
      <w:r w:rsidRPr="000018DD">
        <w:rPr>
          <w:color w:val="000000"/>
        </w:rPr>
        <w:lastRenderedPageBreak/>
        <w:t>measures will not be implemented until all IAFIS segments have been replaced at NGI Full Operating Capability.</w:t>
      </w:r>
    </w:p>
    <w:p w:rsidR="00144D8E" w:rsidRDefault="00C5224D" w:rsidP="007471A8">
      <w:pPr>
        <w:contextualSpacing/>
        <w:rPr>
          <w:b/>
          <w:bCs/>
          <w:i/>
          <w:iCs/>
        </w:rPr>
      </w:pPr>
      <w:r w:rsidRPr="00C5224D">
        <w:rPr>
          <w:noProof/>
          <w:lang w:eastAsia="zh-CN"/>
        </w:rPr>
        <w:pict>
          <v:shape id="_x0000_s1055" type="#_x0000_t202" style="position:absolute;margin-left:1610pt;margin-top:19.8pt;width:232.7pt;height:175.2pt;z-index:251678720;mso-wrap-style:none;mso-wrap-distance-top:28.8pt;mso-wrap-distance-bottom:7.2pt;mso-position-horizontal:right;mso-position-horizontal-relative:margin" strokecolor="#969696">
            <v:textbox style="mso-next-textbox:#_x0000_s1055;mso-fit-shape-to-text:t">
              <w:txbxContent>
                <w:p w:rsidR="00561262" w:rsidRDefault="00561262" w:rsidP="00630F6F">
                  <w:pPr>
                    <w:jc w:val="both"/>
                  </w:pPr>
                  <w:r>
                    <w:rPr>
                      <w:b/>
                      <w:noProof/>
                      <w:sz w:val="16"/>
                    </w:rPr>
                    <w:drawing>
                      <wp:inline distT="0" distB="0" distL="0" distR="0">
                        <wp:extent cx="2762250" cy="2124075"/>
                        <wp:effectExtent l="0" t="0" r="0" b="0"/>
                        <wp:docPr id="66" name="Object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w10:wrap type="square" anchorx="margin"/>
          </v:shape>
        </w:pict>
      </w:r>
    </w:p>
    <w:p w:rsidR="00144D8E" w:rsidRDefault="00144D8E" w:rsidP="00E20073">
      <w:pPr>
        <w:tabs>
          <w:tab w:val="left" w:pos="2160"/>
        </w:tabs>
        <w:contextualSpacing/>
        <w:rPr>
          <w:b/>
          <w:i/>
        </w:rPr>
      </w:pPr>
      <w:r>
        <w:rPr>
          <w:b/>
          <w:i/>
        </w:rPr>
        <w:t xml:space="preserve">FY 2012 Target: </w:t>
      </w:r>
      <w:r w:rsidR="00E20073">
        <w:rPr>
          <w:b/>
          <w:i/>
        </w:rPr>
        <w:tab/>
      </w:r>
      <w:r w:rsidRPr="00842C48">
        <w:t>686</w:t>
      </w:r>
    </w:p>
    <w:p w:rsidR="00144D8E" w:rsidRDefault="00144D8E" w:rsidP="00E20073">
      <w:pPr>
        <w:tabs>
          <w:tab w:val="left" w:pos="2160"/>
        </w:tabs>
        <w:contextualSpacing/>
        <w:rPr>
          <w:i/>
        </w:rPr>
      </w:pPr>
      <w:r w:rsidRPr="00077869">
        <w:rPr>
          <w:b/>
          <w:i/>
        </w:rPr>
        <w:t>FY 201</w:t>
      </w:r>
      <w:r>
        <w:rPr>
          <w:b/>
          <w:i/>
        </w:rPr>
        <w:t>3</w:t>
      </w:r>
      <w:r w:rsidRPr="00077869">
        <w:rPr>
          <w:b/>
          <w:i/>
        </w:rPr>
        <w:t xml:space="preserve"> Target: </w:t>
      </w:r>
      <w:r w:rsidR="00E20073">
        <w:rPr>
          <w:b/>
          <w:i/>
        </w:rPr>
        <w:tab/>
      </w:r>
      <w:r w:rsidRPr="00842C48">
        <w:t>753</w:t>
      </w:r>
    </w:p>
    <w:p w:rsidR="00842C48" w:rsidRDefault="00842C48" w:rsidP="007471A8">
      <w:pPr>
        <w:contextualSpacing/>
      </w:pPr>
    </w:p>
    <w:p w:rsidR="00630F6F" w:rsidRPr="00077869" w:rsidRDefault="00630F6F" w:rsidP="007471A8">
      <w:pPr>
        <w:contextualSpacing/>
      </w:pPr>
      <w:r w:rsidRPr="000018DD">
        <w:rPr>
          <w:b/>
          <w:bCs/>
          <w:i/>
          <w:iCs/>
        </w:rPr>
        <w:t>Performance Measure:</w:t>
      </w:r>
      <w:r w:rsidRPr="000018DD">
        <w:t xml:space="preserve"> Response time for routine criminal submissions</w:t>
      </w:r>
    </w:p>
    <w:p w:rsidR="00630F6F" w:rsidRPr="00077869" w:rsidRDefault="00630F6F" w:rsidP="007471A8">
      <w:pPr>
        <w:contextualSpacing/>
      </w:pPr>
    </w:p>
    <w:p w:rsidR="00144D8E" w:rsidRDefault="00144D8E" w:rsidP="00E20073">
      <w:pPr>
        <w:tabs>
          <w:tab w:val="left" w:pos="2160"/>
        </w:tabs>
        <w:contextualSpacing/>
        <w:rPr>
          <w:b/>
          <w:i/>
        </w:rPr>
      </w:pPr>
      <w:r>
        <w:rPr>
          <w:b/>
          <w:i/>
        </w:rPr>
        <w:t xml:space="preserve">FY 2011 Target: </w:t>
      </w:r>
      <w:r w:rsidR="00E20073">
        <w:rPr>
          <w:b/>
          <w:i/>
        </w:rPr>
        <w:tab/>
      </w:r>
      <w:r w:rsidRPr="00842C48">
        <w:t>2 hours</w:t>
      </w:r>
    </w:p>
    <w:p w:rsidR="00144D8E" w:rsidRDefault="00144D8E" w:rsidP="00E20073">
      <w:pPr>
        <w:tabs>
          <w:tab w:val="left" w:pos="2160"/>
        </w:tabs>
        <w:contextualSpacing/>
        <w:rPr>
          <w:b/>
          <w:i/>
        </w:rPr>
      </w:pPr>
      <w:r>
        <w:rPr>
          <w:b/>
          <w:i/>
        </w:rPr>
        <w:t xml:space="preserve">FY 2011 Actual: </w:t>
      </w:r>
      <w:r w:rsidR="00E20073">
        <w:rPr>
          <w:b/>
          <w:i/>
        </w:rPr>
        <w:tab/>
      </w:r>
      <w:r w:rsidRPr="00842C48">
        <w:t>10 minutes</w:t>
      </w:r>
      <w:r>
        <w:rPr>
          <w:b/>
          <w:i/>
        </w:rPr>
        <w:t xml:space="preserve"> </w:t>
      </w:r>
    </w:p>
    <w:p w:rsidR="00630F6F" w:rsidRPr="00077869" w:rsidRDefault="00630F6F" w:rsidP="007471A8">
      <w:pPr>
        <w:contextualSpacing/>
      </w:pPr>
    </w:p>
    <w:p w:rsidR="00630F6F" w:rsidRDefault="00630F6F" w:rsidP="007471A8">
      <w:pPr>
        <w:contextualSpacing/>
        <w:rPr>
          <w:color w:val="000000"/>
        </w:rPr>
      </w:pPr>
      <w:r w:rsidRPr="00077869">
        <w:rPr>
          <w:b/>
          <w:bCs/>
          <w:i/>
          <w:iCs/>
          <w:lang w:eastAsia="zh-CN"/>
        </w:rPr>
        <w:t xml:space="preserve">Discussion:  </w:t>
      </w:r>
      <w:r>
        <w:t>This measure reports the timeliness of</w:t>
      </w:r>
      <w:r w:rsidRPr="00077869">
        <w:t xml:space="preserve"> CJIS</w:t>
      </w:r>
      <w:r>
        <w:t>’</w:t>
      </w:r>
      <w:r w:rsidRPr="00077869">
        <w:t xml:space="preserve"> respon</w:t>
      </w:r>
      <w:r>
        <w:t>se</w:t>
      </w:r>
      <w:r w:rsidRPr="00077869">
        <w:t xml:space="preserve"> to routine criminal submissions from state, local, and federal criminal justice entities. </w:t>
      </w:r>
      <w:r w:rsidRPr="000018DD">
        <w:rPr>
          <w:color w:val="000000"/>
        </w:rPr>
        <w:t>The targets are based on historical data.  All IAFIS segments will be replaced by NGI in 2014.  Until that time, IAFIS is reporting performance measures for routine criminal and civil response times.  This reporting accounts for some improvement in response times which could be attributed to efficiencies gained by NGI’s implementation of the new fingerprint matching segment of IAFIS.  The NGI response times, and subsequent performance measures, for routine criminal and civil submissions will not be implemented until all IAFIS segments have been replaced at NGI Full Operating Capability.</w:t>
      </w:r>
    </w:p>
    <w:p w:rsidR="00630F6F" w:rsidRPr="00077869" w:rsidRDefault="00C5224D" w:rsidP="007471A8">
      <w:pPr>
        <w:contextualSpacing/>
      </w:pPr>
      <w:r>
        <w:rPr>
          <w:noProof/>
          <w:lang w:eastAsia="zh-CN"/>
        </w:rPr>
        <w:pict>
          <v:shape id="_x0000_s1056" type="#_x0000_t202" style="position:absolute;margin-left:261.1pt;margin-top:8.15pt;width:232.7pt;height:175.2pt;z-index:251679744;mso-wrap-style:none;mso-wrap-distance-top:28.8pt;mso-wrap-distance-bottom:7.2pt" strokecolor="#969696">
            <v:textbox style="mso-next-textbox:#_x0000_s1056;mso-fit-shape-to-text:t">
              <w:txbxContent>
                <w:p w:rsidR="00561262" w:rsidRDefault="00561262" w:rsidP="00630F6F">
                  <w:pPr>
                    <w:jc w:val="both"/>
                  </w:pPr>
                  <w:r>
                    <w:rPr>
                      <w:b/>
                      <w:noProof/>
                      <w:sz w:val="16"/>
                    </w:rPr>
                    <w:drawing>
                      <wp:inline distT="0" distB="0" distL="0" distR="0">
                        <wp:extent cx="2762250" cy="2124075"/>
                        <wp:effectExtent l="0" t="0" r="0" b="0"/>
                        <wp:docPr id="67" name="Object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v:textbox>
            <w10:wrap type="square"/>
          </v:shape>
        </w:pict>
      </w:r>
    </w:p>
    <w:p w:rsidR="00A32114" w:rsidRDefault="00A32114" w:rsidP="00E20073">
      <w:pPr>
        <w:tabs>
          <w:tab w:val="left" w:pos="2160"/>
        </w:tabs>
        <w:contextualSpacing/>
        <w:rPr>
          <w:b/>
          <w:i/>
        </w:rPr>
      </w:pPr>
      <w:r>
        <w:rPr>
          <w:b/>
          <w:i/>
        </w:rPr>
        <w:t xml:space="preserve">FY 2012 Target: </w:t>
      </w:r>
      <w:r w:rsidR="00E20073">
        <w:rPr>
          <w:b/>
          <w:i/>
        </w:rPr>
        <w:tab/>
      </w:r>
      <w:r w:rsidRPr="00842C48">
        <w:t>1 hour</w:t>
      </w:r>
    </w:p>
    <w:p w:rsidR="00A32114" w:rsidRDefault="00A32114" w:rsidP="00E20073">
      <w:pPr>
        <w:tabs>
          <w:tab w:val="left" w:pos="2160"/>
        </w:tabs>
        <w:contextualSpacing/>
      </w:pPr>
      <w:r w:rsidRPr="00077869">
        <w:rPr>
          <w:b/>
          <w:i/>
        </w:rPr>
        <w:t>FY 201</w:t>
      </w:r>
      <w:r>
        <w:rPr>
          <w:b/>
          <w:i/>
        </w:rPr>
        <w:t>3</w:t>
      </w:r>
      <w:r w:rsidRPr="00077869">
        <w:rPr>
          <w:b/>
          <w:i/>
        </w:rPr>
        <w:t xml:space="preserve"> Target: </w:t>
      </w:r>
      <w:r w:rsidR="00E20073">
        <w:rPr>
          <w:b/>
          <w:i/>
        </w:rPr>
        <w:tab/>
      </w:r>
      <w:r w:rsidRPr="00842C48">
        <w:t>30 minutes</w:t>
      </w:r>
    </w:p>
    <w:p w:rsidR="00A32114" w:rsidRDefault="00A32114" w:rsidP="007471A8">
      <w:pPr>
        <w:contextualSpacing/>
        <w:rPr>
          <w:b/>
          <w:bCs/>
          <w:i/>
          <w:iCs/>
        </w:rPr>
      </w:pPr>
    </w:p>
    <w:p w:rsidR="00630F6F" w:rsidRPr="00077869" w:rsidRDefault="00630F6F" w:rsidP="007471A8">
      <w:pPr>
        <w:contextualSpacing/>
      </w:pPr>
      <w:r w:rsidRPr="003624AB">
        <w:rPr>
          <w:b/>
          <w:bCs/>
          <w:i/>
          <w:iCs/>
        </w:rPr>
        <w:t>Performance Measure:</w:t>
      </w:r>
      <w:r w:rsidRPr="003624AB">
        <w:t xml:space="preserve"> Response time for routine civil submissions</w:t>
      </w:r>
    </w:p>
    <w:p w:rsidR="00630F6F" w:rsidRPr="00077869" w:rsidRDefault="00630F6F" w:rsidP="007471A8">
      <w:pPr>
        <w:contextualSpacing/>
      </w:pPr>
    </w:p>
    <w:p w:rsidR="0003372C" w:rsidRDefault="0003372C" w:rsidP="00E20073">
      <w:pPr>
        <w:tabs>
          <w:tab w:val="left" w:pos="2160"/>
        </w:tabs>
        <w:contextualSpacing/>
        <w:rPr>
          <w:b/>
          <w:i/>
        </w:rPr>
      </w:pPr>
      <w:r>
        <w:rPr>
          <w:b/>
          <w:i/>
        </w:rPr>
        <w:t xml:space="preserve">FY 2011 Target: </w:t>
      </w:r>
      <w:r w:rsidR="00E20073">
        <w:rPr>
          <w:b/>
          <w:i/>
        </w:rPr>
        <w:tab/>
      </w:r>
      <w:r w:rsidRPr="00842C48">
        <w:t>24 hours</w:t>
      </w:r>
    </w:p>
    <w:p w:rsidR="0003372C" w:rsidRDefault="0003372C" w:rsidP="00E20073">
      <w:pPr>
        <w:tabs>
          <w:tab w:val="left" w:pos="2160"/>
        </w:tabs>
        <w:contextualSpacing/>
        <w:rPr>
          <w:b/>
          <w:i/>
        </w:rPr>
      </w:pPr>
      <w:r>
        <w:rPr>
          <w:b/>
          <w:i/>
        </w:rPr>
        <w:t xml:space="preserve">FY 2011 Actual: </w:t>
      </w:r>
      <w:r w:rsidR="00E20073">
        <w:rPr>
          <w:b/>
          <w:i/>
        </w:rPr>
        <w:tab/>
      </w:r>
      <w:r w:rsidRPr="00842C48">
        <w:t>1 hour, 5 minutes</w:t>
      </w:r>
      <w:r>
        <w:rPr>
          <w:b/>
          <w:i/>
        </w:rPr>
        <w:t xml:space="preserve"> </w:t>
      </w:r>
    </w:p>
    <w:p w:rsidR="00630F6F" w:rsidRPr="00077869" w:rsidRDefault="00630F6F" w:rsidP="007471A8">
      <w:pPr>
        <w:ind w:firstLine="720"/>
        <w:contextualSpacing/>
      </w:pPr>
    </w:p>
    <w:p w:rsidR="00630F6F" w:rsidRPr="00077869" w:rsidRDefault="00630F6F" w:rsidP="007471A8">
      <w:pPr>
        <w:contextualSpacing/>
      </w:pPr>
      <w:r w:rsidRPr="00077869">
        <w:rPr>
          <w:b/>
          <w:bCs/>
          <w:i/>
          <w:iCs/>
          <w:lang w:eastAsia="zh-CN"/>
        </w:rPr>
        <w:t xml:space="preserve">Discussion:  </w:t>
      </w:r>
      <w:r>
        <w:t>This measure reports</w:t>
      </w:r>
      <w:r w:rsidRPr="00077869">
        <w:t xml:space="preserve"> </w:t>
      </w:r>
      <w:r>
        <w:t>the timeliness of</w:t>
      </w:r>
      <w:r w:rsidRPr="00077869">
        <w:t xml:space="preserve"> CJIS</w:t>
      </w:r>
      <w:r>
        <w:t>’</w:t>
      </w:r>
      <w:r w:rsidRPr="00077869">
        <w:t xml:space="preserve"> respon</w:t>
      </w:r>
      <w:r>
        <w:t>se</w:t>
      </w:r>
      <w:r w:rsidRPr="00077869">
        <w:t xml:space="preserve"> to routine civil submissions for positions of trust, employment, and licensing purposes</w:t>
      </w:r>
      <w:r w:rsidRPr="00077869">
        <w:rPr>
          <w:color w:val="FF0000"/>
        </w:rPr>
        <w:t>.</w:t>
      </w:r>
      <w:r w:rsidRPr="00077869">
        <w:rPr>
          <w:color w:val="000000"/>
        </w:rPr>
        <w:t xml:space="preserve"> </w:t>
      </w:r>
      <w:r w:rsidRPr="003624AB">
        <w:rPr>
          <w:color w:val="000000"/>
        </w:rPr>
        <w:t>The targets are based on historical data.  All IAFIS segments will be replaced by NGI in 2014.  Until that time, IAFIS is reporting performance measures for routine criminal and civil response times.  This reporting accounts for some improvement in response times which could be attributed to efficiencies gained by NGI’s implementation of the new fingerprint matching segment of IAFIS.  The NGI response times, and subsequent performance measures, for routine criminal and civil submissions will not be implemented until all IAFIS segments have been replaced at NGI Full Operating Capability.</w:t>
      </w:r>
    </w:p>
    <w:p w:rsidR="00630F6F" w:rsidRDefault="00630F6F" w:rsidP="007471A8">
      <w:pPr>
        <w:contextualSpacing/>
      </w:pPr>
    </w:p>
    <w:p w:rsidR="0003372C" w:rsidRDefault="0003372C" w:rsidP="00E20073">
      <w:pPr>
        <w:tabs>
          <w:tab w:val="left" w:pos="2160"/>
        </w:tabs>
        <w:contextualSpacing/>
        <w:rPr>
          <w:b/>
          <w:i/>
        </w:rPr>
      </w:pPr>
      <w:r>
        <w:rPr>
          <w:b/>
          <w:i/>
        </w:rPr>
        <w:t xml:space="preserve">FY 2012 Target: </w:t>
      </w:r>
      <w:r w:rsidR="00E20073">
        <w:rPr>
          <w:b/>
          <w:i/>
        </w:rPr>
        <w:tab/>
      </w:r>
      <w:r w:rsidRPr="00842C48">
        <w:t>12 hours</w:t>
      </w:r>
    </w:p>
    <w:p w:rsidR="0003372C" w:rsidRDefault="0003372C" w:rsidP="00E20073">
      <w:pPr>
        <w:tabs>
          <w:tab w:val="left" w:pos="2160"/>
        </w:tabs>
        <w:contextualSpacing/>
      </w:pPr>
      <w:r w:rsidRPr="00077869">
        <w:rPr>
          <w:b/>
          <w:i/>
        </w:rPr>
        <w:t>FY 201</w:t>
      </w:r>
      <w:r>
        <w:rPr>
          <w:b/>
          <w:i/>
        </w:rPr>
        <w:t>3</w:t>
      </w:r>
      <w:r w:rsidRPr="00077869">
        <w:rPr>
          <w:b/>
          <w:i/>
        </w:rPr>
        <w:t xml:space="preserve"> Target: </w:t>
      </w:r>
      <w:r w:rsidR="00E20073">
        <w:rPr>
          <w:b/>
          <w:i/>
        </w:rPr>
        <w:tab/>
      </w:r>
      <w:r w:rsidRPr="00842C48">
        <w:t>6 hours</w:t>
      </w:r>
    </w:p>
    <w:p w:rsidR="0003372C" w:rsidRPr="00077869" w:rsidRDefault="0003372C" w:rsidP="007471A8">
      <w:pPr>
        <w:contextualSpacing/>
      </w:pPr>
    </w:p>
    <w:p w:rsidR="004E63AB" w:rsidRDefault="004E63AB">
      <w:pPr>
        <w:rPr>
          <w:b/>
          <w:u w:val="single"/>
        </w:rPr>
      </w:pPr>
      <w:r>
        <w:rPr>
          <w:b/>
          <w:u w:val="single"/>
        </w:rPr>
        <w:br w:type="page"/>
      </w:r>
    </w:p>
    <w:p w:rsidR="00630F6F" w:rsidRPr="00AC70D3" w:rsidRDefault="00630F6F" w:rsidP="007471A8">
      <w:pPr>
        <w:contextualSpacing/>
        <w:rPr>
          <w:b/>
          <w:u w:val="single"/>
        </w:rPr>
      </w:pPr>
      <w:r>
        <w:rPr>
          <w:b/>
          <w:u w:val="single"/>
        </w:rPr>
        <w:lastRenderedPageBreak/>
        <w:t>Law Enforcement Online</w:t>
      </w:r>
    </w:p>
    <w:p w:rsidR="00630F6F" w:rsidRPr="003624AB" w:rsidRDefault="00630F6F" w:rsidP="007471A8">
      <w:pPr>
        <w:pStyle w:val="Heading3"/>
        <w:contextualSpacing/>
        <w:rPr>
          <w:i/>
          <w:iCs/>
        </w:rPr>
      </w:pPr>
      <w:r w:rsidRPr="003624AB">
        <w:rPr>
          <w:i/>
          <w:iCs/>
        </w:rPr>
        <w:t xml:space="preserve">Performance Measure -- Customer Satisfaction:  </w:t>
      </w:r>
      <w:r w:rsidRPr="003624AB">
        <w:rPr>
          <w:iCs/>
        </w:rPr>
        <w:t>DISCONTINUED MEASURE</w:t>
      </w:r>
    </w:p>
    <w:p w:rsidR="00630F6F" w:rsidRPr="00077869" w:rsidRDefault="00630F6F" w:rsidP="007471A8">
      <w:pPr>
        <w:pStyle w:val="Heading3"/>
        <w:contextualSpacing/>
        <w:rPr>
          <w:i/>
          <w:iCs/>
        </w:rPr>
      </w:pPr>
      <w:r w:rsidRPr="003624AB">
        <w:rPr>
          <w:b w:val="0"/>
          <w:iCs/>
        </w:rPr>
        <w:t xml:space="preserve">Percent </w:t>
      </w:r>
      <w:r w:rsidRPr="003624AB">
        <w:rPr>
          <w:b w:val="0"/>
          <w:bCs w:val="0"/>
        </w:rPr>
        <w:t>of users who visit the Law Enforcement Online (LEO) service (which provides intelligence dissemination) more than one month out of each year out of the total user base of over 177,000 vetted members.</w:t>
      </w:r>
      <w:r w:rsidRPr="00077869" w:rsidDel="000852F7">
        <w:rPr>
          <w:b w:val="0"/>
          <w:bCs w:val="0"/>
        </w:rPr>
        <w:t xml:space="preserve"> </w:t>
      </w:r>
      <w:r w:rsidRPr="00077869">
        <w:rPr>
          <w:i/>
          <w:iCs/>
        </w:rPr>
        <w:cr/>
      </w:r>
    </w:p>
    <w:p w:rsidR="00630F6F" w:rsidRPr="00077869" w:rsidRDefault="00630F6F" w:rsidP="007471A8">
      <w:pPr>
        <w:contextualSpacing/>
        <w:rPr>
          <w:color w:val="000000"/>
          <w:lang w:eastAsia="zh-CN"/>
        </w:rPr>
      </w:pPr>
      <w:r w:rsidRPr="00077869">
        <w:rPr>
          <w:b/>
          <w:bCs/>
          <w:i/>
          <w:iCs/>
          <w:color w:val="000000"/>
        </w:rPr>
        <w:t xml:space="preserve">Discussion: </w:t>
      </w:r>
      <w:r w:rsidRPr="00077869">
        <w:rPr>
          <w:color w:val="000000"/>
        </w:rPr>
        <w:t xml:space="preserve"> </w:t>
      </w:r>
      <w:r w:rsidRPr="00077869">
        <w:t>This measure serve</w:t>
      </w:r>
      <w:r>
        <w:t>d</w:t>
      </w:r>
      <w:r w:rsidRPr="00077869">
        <w:t xml:space="preserve"> as a proxy for customer satisfaction. </w:t>
      </w:r>
      <w:r>
        <w:t>It is being replaced by the measure below (number of active LEO members).</w:t>
      </w:r>
    </w:p>
    <w:p w:rsidR="00630F6F" w:rsidRDefault="00D81D46" w:rsidP="007471A8">
      <w:pPr>
        <w:contextualSpacing/>
        <w:rPr>
          <w:b/>
          <w:bCs/>
          <w:u w:val="single"/>
        </w:rPr>
      </w:pPr>
      <w:r>
        <w:rPr>
          <w:b/>
          <w:bCs/>
          <w:noProof/>
          <w:u w:val="single"/>
        </w:rPr>
        <w:drawing>
          <wp:anchor distT="0" distB="0" distL="114300" distR="114300" simplePos="0" relativeHeight="251673600" behindDoc="0" locked="0" layoutInCell="1" allowOverlap="1">
            <wp:simplePos x="0" y="0"/>
            <wp:positionH relativeFrom="margin">
              <wp:align>right</wp:align>
            </wp:positionH>
            <wp:positionV relativeFrom="paragraph">
              <wp:posOffset>127635</wp:posOffset>
            </wp:positionV>
            <wp:extent cx="2749550" cy="2452370"/>
            <wp:effectExtent l="19050" t="0" r="12700" b="5080"/>
            <wp:wrapTight wrapText="bothSides">
              <wp:wrapPolygon edited="0">
                <wp:start x="-150" y="0"/>
                <wp:lineTo x="-150" y="21645"/>
                <wp:lineTo x="21700" y="21645"/>
                <wp:lineTo x="21700" y="0"/>
                <wp:lineTo x="-150" y="0"/>
              </wp:wrapPolygon>
            </wp:wrapTight>
            <wp:docPr id="71"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30F6F" w:rsidRPr="00077869" w:rsidRDefault="00630F6F" w:rsidP="007471A8">
      <w:pPr>
        <w:contextualSpacing/>
        <w:rPr>
          <w:color w:val="000000"/>
          <w:lang w:eastAsia="zh-CN"/>
        </w:rPr>
      </w:pPr>
      <w:r w:rsidRPr="009473FC">
        <w:rPr>
          <w:b/>
          <w:i/>
          <w:color w:val="000000"/>
          <w:lang w:eastAsia="zh-CN"/>
        </w:rPr>
        <w:t xml:space="preserve">Performance Measure: </w:t>
      </w:r>
      <w:r w:rsidRPr="009473FC">
        <w:rPr>
          <w:color w:val="000000"/>
          <w:lang w:eastAsia="zh-CN"/>
        </w:rPr>
        <w:t>Number of active LEO members: [New measure]</w:t>
      </w:r>
    </w:p>
    <w:p w:rsidR="00630F6F" w:rsidRPr="00077869" w:rsidRDefault="00630F6F" w:rsidP="007471A8">
      <w:pPr>
        <w:contextualSpacing/>
        <w:rPr>
          <w:color w:val="000000"/>
          <w:lang w:eastAsia="zh-CN"/>
        </w:rPr>
      </w:pPr>
    </w:p>
    <w:p w:rsidR="00A32114" w:rsidRDefault="00A32114" w:rsidP="00E20073">
      <w:pPr>
        <w:tabs>
          <w:tab w:val="left" w:pos="2160"/>
        </w:tabs>
        <w:contextualSpacing/>
        <w:rPr>
          <w:b/>
          <w:i/>
        </w:rPr>
      </w:pPr>
      <w:r>
        <w:rPr>
          <w:b/>
          <w:i/>
        </w:rPr>
        <w:t xml:space="preserve">FY 2011 Target: </w:t>
      </w:r>
      <w:r w:rsidR="00E20073">
        <w:rPr>
          <w:b/>
          <w:i/>
        </w:rPr>
        <w:tab/>
      </w:r>
      <w:r w:rsidRPr="00842C48">
        <w:t>62,980</w:t>
      </w:r>
    </w:p>
    <w:p w:rsidR="00A32114" w:rsidRPr="00842C48" w:rsidRDefault="00A32114" w:rsidP="00E20073">
      <w:pPr>
        <w:tabs>
          <w:tab w:val="left" w:pos="2160"/>
        </w:tabs>
        <w:contextualSpacing/>
        <w:rPr>
          <w:b/>
        </w:rPr>
      </w:pPr>
      <w:r>
        <w:rPr>
          <w:b/>
          <w:i/>
        </w:rPr>
        <w:t xml:space="preserve">FY 2011 Actual: </w:t>
      </w:r>
      <w:r w:rsidR="00E20073">
        <w:rPr>
          <w:b/>
          <w:i/>
        </w:rPr>
        <w:tab/>
      </w:r>
      <w:r w:rsidRPr="00842C48">
        <w:t>55,147</w:t>
      </w:r>
      <w:r w:rsidRPr="00842C48">
        <w:rPr>
          <w:b/>
        </w:rPr>
        <w:t xml:space="preserve"> </w:t>
      </w:r>
    </w:p>
    <w:p w:rsidR="00630F6F" w:rsidRPr="00077869" w:rsidRDefault="00630F6F" w:rsidP="007471A8">
      <w:pPr>
        <w:contextualSpacing/>
        <w:rPr>
          <w:color w:val="000000"/>
          <w:lang w:eastAsia="zh-CN"/>
        </w:rPr>
      </w:pPr>
    </w:p>
    <w:p w:rsidR="00630F6F" w:rsidRPr="00077869" w:rsidRDefault="00630F6F" w:rsidP="007471A8">
      <w:pPr>
        <w:contextualSpacing/>
        <w:rPr>
          <w:color w:val="000000"/>
          <w:lang w:eastAsia="zh-CN"/>
        </w:rPr>
      </w:pPr>
      <w:r w:rsidRPr="00077869">
        <w:rPr>
          <w:b/>
          <w:i/>
          <w:color w:val="000000"/>
          <w:lang w:eastAsia="zh-CN"/>
        </w:rPr>
        <w:t>Discussion:</w:t>
      </w:r>
      <w:r w:rsidRPr="00077869">
        <w:rPr>
          <w:color w:val="000000"/>
          <w:lang w:eastAsia="zh-CN"/>
        </w:rPr>
        <w:t xml:space="preserve">  </w:t>
      </w:r>
      <w:r>
        <w:rPr>
          <w:color w:val="000000"/>
          <w:lang w:eastAsia="zh-CN"/>
        </w:rPr>
        <w:t xml:space="preserve">The measure reports </w:t>
      </w:r>
      <w:r w:rsidRPr="00077869">
        <w:rPr>
          <w:color w:val="000000"/>
          <w:lang w:eastAsia="zh-CN"/>
        </w:rPr>
        <w:t>the number of total active members brought onto the LEO system from state, local and federal law enforcement and criminal justice entities.  The target projections are based on historical system data with planned current system enhancements</w:t>
      </w:r>
      <w:r>
        <w:rPr>
          <w:color w:val="000000"/>
          <w:lang w:eastAsia="zh-CN"/>
        </w:rPr>
        <w:t xml:space="preserve">.  With the implementation of the LEO Enterprise Portal, LEO will have </w:t>
      </w:r>
      <w:r w:rsidRPr="00077869">
        <w:rPr>
          <w:color w:val="000000"/>
          <w:lang w:eastAsia="zh-CN"/>
        </w:rPr>
        <w:t>the ability to on-board entire law enforcement organizations as LEO users.</w:t>
      </w:r>
      <w:r>
        <w:rPr>
          <w:color w:val="000000"/>
          <w:lang w:eastAsia="zh-CN"/>
        </w:rPr>
        <w:t xml:space="preserve">  The FY 20</w:t>
      </w:r>
      <w:r w:rsidRPr="003624AB">
        <w:rPr>
          <w:color w:val="000000"/>
          <w:lang w:eastAsia="zh-CN"/>
        </w:rPr>
        <w:t>11 a</w:t>
      </w:r>
      <w:r>
        <w:rPr>
          <w:color w:val="000000"/>
          <w:lang w:eastAsia="zh-CN"/>
        </w:rPr>
        <w:t>nd FY 20</w:t>
      </w:r>
      <w:r w:rsidRPr="003624AB">
        <w:rPr>
          <w:color w:val="000000"/>
          <w:lang w:eastAsia="zh-CN"/>
        </w:rPr>
        <w:t xml:space="preserve">12 Q1 </w:t>
      </w:r>
      <w:proofErr w:type="spellStart"/>
      <w:r w:rsidRPr="003624AB">
        <w:rPr>
          <w:color w:val="000000"/>
          <w:lang w:eastAsia="zh-CN"/>
        </w:rPr>
        <w:t>actuals</w:t>
      </w:r>
      <w:proofErr w:type="spellEnd"/>
      <w:r w:rsidRPr="003624AB">
        <w:rPr>
          <w:color w:val="000000"/>
          <w:lang w:eastAsia="zh-CN"/>
        </w:rPr>
        <w:t xml:space="preserve"> </w:t>
      </w:r>
      <w:r>
        <w:rPr>
          <w:color w:val="000000"/>
          <w:lang w:eastAsia="zh-CN"/>
        </w:rPr>
        <w:t>have been lower tha</w:t>
      </w:r>
      <w:r w:rsidRPr="003624AB">
        <w:rPr>
          <w:color w:val="000000"/>
          <w:lang w:eastAsia="zh-CN"/>
        </w:rPr>
        <w:t xml:space="preserve">n anticipated due to the LEO </w:t>
      </w:r>
      <w:proofErr w:type="spellStart"/>
      <w:r w:rsidRPr="003624AB">
        <w:rPr>
          <w:color w:val="000000"/>
          <w:lang w:eastAsia="zh-CN"/>
        </w:rPr>
        <w:t>Rehost</w:t>
      </w:r>
      <w:proofErr w:type="spellEnd"/>
      <w:r w:rsidRPr="003624AB">
        <w:rPr>
          <w:color w:val="000000"/>
          <w:lang w:eastAsia="zh-CN"/>
        </w:rPr>
        <w:t xml:space="preserve"> schedule slippage</w:t>
      </w:r>
      <w:r>
        <w:rPr>
          <w:color w:val="000000"/>
          <w:lang w:eastAsia="zh-CN"/>
        </w:rPr>
        <w:t>,</w:t>
      </w:r>
      <w:r w:rsidRPr="003624AB">
        <w:rPr>
          <w:color w:val="000000"/>
          <w:lang w:eastAsia="zh-CN"/>
        </w:rPr>
        <w:t xml:space="preserve"> which also caused a diversion of the LEO outreach support.</w:t>
      </w:r>
      <w:r>
        <w:rPr>
          <w:color w:val="000000"/>
          <w:lang w:eastAsia="zh-CN"/>
        </w:rPr>
        <w:t xml:space="preserve"> However, in mid FY 20</w:t>
      </w:r>
      <w:r w:rsidRPr="003624AB">
        <w:rPr>
          <w:color w:val="000000"/>
          <w:lang w:eastAsia="zh-CN"/>
        </w:rPr>
        <w:t>12, LEO will trans</w:t>
      </w:r>
      <w:r>
        <w:rPr>
          <w:color w:val="000000"/>
          <w:lang w:eastAsia="zh-CN"/>
        </w:rPr>
        <w:t xml:space="preserve">ition to an e-Portal technology, </w:t>
      </w:r>
      <w:r w:rsidRPr="003624AB">
        <w:rPr>
          <w:color w:val="000000"/>
          <w:lang w:eastAsia="zh-CN"/>
        </w:rPr>
        <w:t xml:space="preserve">which will add increased functionality and allow for single sign-on to many services. It is anticipated that </w:t>
      </w:r>
      <w:r>
        <w:rPr>
          <w:color w:val="000000"/>
          <w:lang w:eastAsia="zh-CN"/>
        </w:rPr>
        <w:t>FY 20</w:t>
      </w:r>
      <w:r w:rsidRPr="003624AB">
        <w:rPr>
          <w:color w:val="000000"/>
          <w:lang w:eastAsia="zh-CN"/>
        </w:rPr>
        <w:t>13 member</w:t>
      </w:r>
      <w:r>
        <w:rPr>
          <w:color w:val="000000"/>
          <w:lang w:eastAsia="zh-CN"/>
        </w:rPr>
        <w:t>s</w:t>
      </w:r>
      <w:r w:rsidRPr="003624AB">
        <w:rPr>
          <w:color w:val="000000"/>
          <w:lang w:eastAsia="zh-CN"/>
        </w:rPr>
        <w:t>hip will increase significantly.</w:t>
      </w:r>
    </w:p>
    <w:p w:rsidR="00630F6F" w:rsidRDefault="00630F6F" w:rsidP="007471A8">
      <w:pPr>
        <w:contextualSpacing/>
      </w:pPr>
    </w:p>
    <w:p w:rsidR="00842C48" w:rsidRDefault="00A32114" w:rsidP="00E20073">
      <w:pPr>
        <w:tabs>
          <w:tab w:val="left" w:pos="2160"/>
        </w:tabs>
        <w:contextualSpacing/>
      </w:pPr>
      <w:r>
        <w:rPr>
          <w:b/>
          <w:i/>
        </w:rPr>
        <w:t xml:space="preserve">FY 2012 Target: </w:t>
      </w:r>
      <w:r w:rsidR="00842C48">
        <w:rPr>
          <w:b/>
          <w:i/>
        </w:rPr>
        <w:t xml:space="preserve"> </w:t>
      </w:r>
      <w:r w:rsidR="00E20073">
        <w:rPr>
          <w:b/>
          <w:i/>
        </w:rPr>
        <w:tab/>
      </w:r>
      <w:r w:rsidRPr="00842C48">
        <w:t>64,980</w:t>
      </w:r>
    </w:p>
    <w:p w:rsidR="00A32114" w:rsidRPr="00077869" w:rsidRDefault="00A32114" w:rsidP="00E20073">
      <w:pPr>
        <w:tabs>
          <w:tab w:val="left" w:pos="2160"/>
        </w:tabs>
        <w:contextualSpacing/>
        <w:rPr>
          <w:lang w:eastAsia="zh-CN"/>
        </w:rPr>
      </w:pPr>
      <w:r w:rsidRPr="00077869">
        <w:rPr>
          <w:b/>
          <w:i/>
          <w:color w:val="000000"/>
          <w:lang w:eastAsia="zh-CN"/>
        </w:rPr>
        <w:t>FY 2013 Target:</w:t>
      </w:r>
      <w:r w:rsidRPr="00077869">
        <w:rPr>
          <w:color w:val="000000"/>
          <w:lang w:eastAsia="zh-CN"/>
        </w:rPr>
        <w:t xml:space="preserve">  </w:t>
      </w:r>
      <w:r w:rsidR="00E20073">
        <w:rPr>
          <w:color w:val="000000"/>
          <w:lang w:eastAsia="zh-CN"/>
        </w:rPr>
        <w:tab/>
      </w:r>
      <w:r>
        <w:rPr>
          <w:color w:val="000000"/>
          <w:lang w:eastAsia="zh-CN"/>
        </w:rPr>
        <w:t>188,980</w:t>
      </w:r>
    </w:p>
    <w:p w:rsidR="00630F6F" w:rsidRDefault="00630F6F" w:rsidP="007471A8">
      <w:pPr>
        <w:contextualSpacing/>
      </w:pPr>
    </w:p>
    <w:p w:rsidR="00630F6F" w:rsidRDefault="00630F6F" w:rsidP="007471A8">
      <w:pPr>
        <w:contextualSpacing/>
        <w:rPr>
          <w:b/>
          <w:u w:val="single"/>
        </w:rPr>
      </w:pPr>
      <w:r>
        <w:rPr>
          <w:b/>
          <w:u w:val="single"/>
        </w:rPr>
        <w:t>National DNA Index System (NDIS)</w:t>
      </w:r>
    </w:p>
    <w:p w:rsidR="00630F6F" w:rsidRPr="00077869" w:rsidRDefault="00630F6F" w:rsidP="007471A8">
      <w:pPr>
        <w:pStyle w:val="Heading3"/>
        <w:contextualSpacing/>
        <w:rPr>
          <w:b w:val="0"/>
          <w:bCs w:val="0"/>
        </w:rPr>
      </w:pPr>
      <w:r w:rsidRPr="00132751">
        <w:rPr>
          <w:i/>
          <w:iCs/>
        </w:rPr>
        <w:t xml:space="preserve">Performance Measure: </w:t>
      </w:r>
      <w:r w:rsidRPr="00132751">
        <w:rPr>
          <w:b w:val="0"/>
          <w:iCs/>
        </w:rPr>
        <w:t>Average turnaround time for Federal DNA Sample entry in the National DNA Index System (NDIS) of submissions fulfilling the processing and upload requirements. [New measure]</w:t>
      </w:r>
    </w:p>
    <w:p w:rsidR="00630F6F" w:rsidRPr="00077869" w:rsidRDefault="00630F6F" w:rsidP="007471A8">
      <w:pPr>
        <w:contextualSpacing/>
        <w:rPr>
          <w:i/>
          <w:iCs/>
        </w:rPr>
      </w:pPr>
    </w:p>
    <w:p w:rsidR="00630F6F" w:rsidRDefault="00630F6F" w:rsidP="007471A8">
      <w:pPr>
        <w:contextualSpacing/>
        <w:rPr>
          <w:bCs/>
        </w:rPr>
      </w:pPr>
      <w:r w:rsidRPr="00077869">
        <w:rPr>
          <w:b/>
          <w:bCs/>
          <w:i/>
        </w:rPr>
        <w:t>Discussion</w:t>
      </w:r>
      <w:r w:rsidRPr="006311FE">
        <w:rPr>
          <w:b/>
          <w:bCs/>
          <w:i/>
        </w:rPr>
        <w:t xml:space="preserve">: </w:t>
      </w:r>
      <w:r w:rsidRPr="006311FE">
        <w:rPr>
          <w:bCs/>
        </w:rPr>
        <w:t>The FBI Laboratory has established a 30-day turn-around time for processing and uploading samples based upon community expectations to receive, process, analyze and upload samples.</w:t>
      </w:r>
      <w:r w:rsidRPr="006311FE">
        <w:rPr>
          <w:bCs/>
          <w:color w:val="FF0000"/>
        </w:rPr>
        <w:t xml:space="preserve"> </w:t>
      </w:r>
      <w:r w:rsidRPr="00132751">
        <w:rPr>
          <w:bCs/>
        </w:rPr>
        <w:t>To reduce the turnaround time for the samples requiring re-analysis, the F</w:t>
      </w:r>
      <w:r>
        <w:rPr>
          <w:bCs/>
        </w:rPr>
        <w:t xml:space="preserve">ederal </w:t>
      </w:r>
      <w:r w:rsidRPr="00132751">
        <w:rPr>
          <w:bCs/>
        </w:rPr>
        <w:t>D</w:t>
      </w:r>
      <w:r>
        <w:rPr>
          <w:bCs/>
        </w:rPr>
        <w:t xml:space="preserve">NA </w:t>
      </w:r>
      <w:r w:rsidRPr="00132751">
        <w:rPr>
          <w:bCs/>
        </w:rPr>
        <w:t>D</w:t>
      </w:r>
      <w:r>
        <w:rPr>
          <w:bCs/>
        </w:rPr>
        <w:t>atabase</w:t>
      </w:r>
      <w:r w:rsidRPr="00132751">
        <w:rPr>
          <w:bCs/>
        </w:rPr>
        <w:t xml:space="preserve"> Program is (1) implementing process improvements in how samples are re-analyzed/reworked to increase efficiency</w:t>
      </w:r>
      <w:r>
        <w:rPr>
          <w:bCs/>
        </w:rPr>
        <w:t>,</w:t>
      </w:r>
      <w:r w:rsidRPr="00132751">
        <w:rPr>
          <w:bCs/>
        </w:rPr>
        <w:t xml:space="preserve"> and (2) specifically monitoring the turnaround time of samples that require re-analysis.</w:t>
      </w:r>
    </w:p>
    <w:p w:rsidR="00A32114" w:rsidRPr="002332C4" w:rsidRDefault="00A32114" w:rsidP="00E20073">
      <w:pPr>
        <w:tabs>
          <w:tab w:val="left" w:pos="2160"/>
        </w:tabs>
        <w:contextualSpacing/>
        <w:rPr>
          <w:bCs/>
          <w:color w:val="FF0000"/>
          <w:highlight w:val="yellow"/>
        </w:rPr>
      </w:pPr>
    </w:p>
    <w:p w:rsidR="00AF7620" w:rsidRDefault="00A32114" w:rsidP="00E20073">
      <w:pPr>
        <w:pStyle w:val="Heading3"/>
        <w:tabs>
          <w:tab w:val="left" w:pos="2160"/>
        </w:tabs>
        <w:contextualSpacing/>
      </w:pPr>
      <w:r w:rsidRPr="00842C48">
        <w:rPr>
          <w:bCs w:val="0"/>
          <w:i/>
          <w:iCs/>
        </w:rPr>
        <w:t>FY 2013 Target:</w:t>
      </w:r>
      <w:r w:rsidRPr="00077869">
        <w:rPr>
          <w:b w:val="0"/>
          <w:bCs w:val="0"/>
        </w:rPr>
        <w:tab/>
      </w:r>
      <w:r w:rsidRPr="00842C48">
        <w:rPr>
          <w:b w:val="0"/>
        </w:rPr>
        <w:t>30 days</w:t>
      </w:r>
    </w:p>
    <w:p w:rsidR="00A32114" w:rsidRPr="00A32114" w:rsidRDefault="00A32114" w:rsidP="007471A8">
      <w:pPr>
        <w:contextualSpacing/>
      </w:pPr>
    </w:p>
    <w:p w:rsidR="004E63AB" w:rsidRDefault="004E63AB">
      <w:pPr>
        <w:rPr>
          <w:b/>
          <w:bCs/>
          <w:iCs/>
          <w:color w:val="000000"/>
          <w:u w:val="single"/>
        </w:rPr>
      </w:pPr>
      <w:r>
        <w:rPr>
          <w:iCs/>
          <w:u w:val="single"/>
        </w:rPr>
        <w:br w:type="page"/>
      </w:r>
    </w:p>
    <w:p w:rsidR="00630F6F" w:rsidRPr="00077869" w:rsidRDefault="00630F6F" w:rsidP="007471A8">
      <w:pPr>
        <w:pStyle w:val="Heading3"/>
        <w:contextualSpacing/>
        <w:rPr>
          <w:iCs/>
          <w:u w:val="single"/>
        </w:rPr>
      </w:pPr>
      <w:r w:rsidRPr="00077869">
        <w:rPr>
          <w:iCs/>
          <w:u w:val="single"/>
        </w:rPr>
        <w:lastRenderedPageBreak/>
        <w:t>Law Enforcement National Data Exchange (N-</w:t>
      </w:r>
      <w:proofErr w:type="spellStart"/>
      <w:r w:rsidRPr="00077869">
        <w:rPr>
          <w:iCs/>
          <w:u w:val="single"/>
        </w:rPr>
        <w:t>DEx</w:t>
      </w:r>
      <w:proofErr w:type="spellEnd"/>
      <w:r w:rsidRPr="00077869">
        <w:rPr>
          <w:iCs/>
          <w:u w:val="single"/>
        </w:rPr>
        <w:t>)</w:t>
      </w:r>
    </w:p>
    <w:p w:rsidR="00630F6F" w:rsidRDefault="00630F6F" w:rsidP="007471A8">
      <w:pPr>
        <w:contextualSpacing/>
        <w:rPr>
          <w:i/>
          <w:iCs/>
        </w:rPr>
      </w:pPr>
      <w:r>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1356995</wp:posOffset>
            </wp:positionV>
            <wp:extent cx="2747645" cy="2472690"/>
            <wp:effectExtent l="19050" t="0" r="14605" b="3810"/>
            <wp:wrapTight wrapText="bothSides">
              <wp:wrapPolygon edited="0">
                <wp:start x="-150" y="0"/>
                <wp:lineTo x="-150" y="21633"/>
                <wp:lineTo x="21715" y="21633"/>
                <wp:lineTo x="21715" y="0"/>
                <wp:lineTo x="-150" y="0"/>
              </wp:wrapPolygon>
            </wp:wrapTight>
            <wp:docPr id="72"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t>N-</w:t>
      </w:r>
      <w:proofErr w:type="spellStart"/>
      <w:r>
        <w:t>DEx</w:t>
      </w:r>
      <w:proofErr w:type="spellEnd"/>
      <w:r>
        <w:t xml:space="preserve"> provides criminal justice agencies the ability to share data and detect, deter and disrupt criminal activity and national security threats.  N-</w:t>
      </w:r>
      <w:proofErr w:type="spellStart"/>
      <w:r>
        <w:t>DEx</w:t>
      </w:r>
      <w:proofErr w:type="spellEnd"/>
      <w:r>
        <w:t xml:space="preserve"> is the result of collaboration among local, county, state, tribal and federal criminal justice communities to establish a secure, national, criminal justice information sharing capability at the sensitive but unclassified level.  The application of N-</w:t>
      </w:r>
      <w:proofErr w:type="spellStart"/>
      <w:r>
        <w:t>DEx</w:t>
      </w:r>
      <w:proofErr w:type="spellEnd"/>
      <w:r>
        <w:t xml:space="preserve"> capabilities provides the missing links and creates partnerships that lead to more effective investigations that will help disrupt and apprehend individuals and organizations responsible for criminal activities and national security threats.  </w:t>
      </w:r>
    </w:p>
    <w:p w:rsidR="004E63AB" w:rsidRDefault="004E63AB" w:rsidP="007471A8">
      <w:pPr>
        <w:contextualSpacing/>
        <w:rPr>
          <w:b/>
          <w:i/>
          <w:iCs/>
        </w:rPr>
      </w:pPr>
    </w:p>
    <w:p w:rsidR="00630F6F" w:rsidRPr="00AA7302" w:rsidRDefault="00630F6F" w:rsidP="007471A8">
      <w:pPr>
        <w:contextualSpacing/>
        <w:rPr>
          <w:bCs/>
        </w:rPr>
      </w:pPr>
      <w:r w:rsidRPr="00132751">
        <w:rPr>
          <w:b/>
          <w:i/>
          <w:iCs/>
        </w:rPr>
        <w:t>Performance Measure</w:t>
      </w:r>
      <w:r w:rsidRPr="00132751">
        <w:rPr>
          <w:i/>
          <w:iCs/>
        </w:rPr>
        <w:t xml:space="preserve">: </w:t>
      </w:r>
      <w:r w:rsidRPr="00132751">
        <w:rPr>
          <w:iCs/>
        </w:rPr>
        <w:t>Percent of population covered by N-</w:t>
      </w:r>
      <w:proofErr w:type="spellStart"/>
      <w:r w:rsidRPr="00132751">
        <w:rPr>
          <w:iCs/>
        </w:rPr>
        <w:t>DEx</w:t>
      </w:r>
      <w:proofErr w:type="spellEnd"/>
      <w:r w:rsidRPr="00132751">
        <w:rPr>
          <w:iCs/>
        </w:rPr>
        <w:t xml:space="preserve"> via state and local law enforcement participation [New measure]</w:t>
      </w:r>
      <w:r w:rsidRPr="00AA7302">
        <w:rPr>
          <w:iCs/>
        </w:rPr>
        <w:t xml:space="preserve"> </w:t>
      </w:r>
    </w:p>
    <w:p w:rsidR="00630F6F" w:rsidRDefault="00630F6F" w:rsidP="007471A8">
      <w:pPr>
        <w:contextualSpacing/>
        <w:rPr>
          <w:b/>
          <w:bCs/>
          <w:i/>
          <w:iCs/>
        </w:rPr>
      </w:pPr>
    </w:p>
    <w:p w:rsidR="00976B97" w:rsidRDefault="00976B97" w:rsidP="00E20073">
      <w:pPr>
        <w:tabs>
          <w:tab w:val="left" w:pos="2160"/>
        </w:tabs>
        <w:contextualSpacing/>
        <w:rPr>
          <w:b/>
          <w:i/>
        </w:rPr>
      </w:pPr>
      <w:r>
        <w:rPr>
          <w:b/>
          <w:i/>
        </w:rPr>
        <w:t>FY 2011 Target:</w:t>
      </w:r>
      <w:r w:rsidRPr="00842C48">
        <w:t xml:space="preserve"> </w:t>
      </w:r>
      <w:r w:rsidR="00E20073">
        <w:tab/>
      </w:r>
      <w:r w:rsidRPr="00842C48">
        <w:t>43%</w:t>
      </w:r>
    </w:p>
    <w:p w:rsidR="00976B97" w:rsidRDefault="00976B97" w:rsidP="00E20073">
      <w:pPr>
        <w:tabs>
          <w:tab w:val="left" w:pos="2160"/>
        </w:tabs>
        <w:contextualSpacing/>
        <w:rPr>
          <w:b/>
          <w:i/>
        </w:rPr>
      </w:pPr>
      <w:r>
        <w:rPr>
          <w:b/>
          <w:i/>
        </w:rPr>
        <w:t xml:space="preserve">FY 2011 Actual: </w:t>
      </w:r>
      <w:r w:rsidR="00E20073">
        <w:rPr>
          <w:b/>
          <w:i/>
        </w:rPr>
        <w:tab/>
      </w:r>
      <w:r w:rsidRPr="00842C48">
        <w:t>35.3%</w:t>
      </w:r>
      <w:r>
        <w:rPr>
          <w:b/>
          <w:i/>
        </w:rPr>
        <w:t xml:space="preserve"> </w:t>
      </w:r>
    </w:p>
    <w:p w:rsidR="00630F6F" w:rsidRPr="00120534" w:rsidRDefault="00630F6F" w:rsidP="007471A8">
      <w:pPr>
        <w:contextualSpacing/>
        <w:rPr>
          <w:i/>
          <w:iCs/>
        </w:rPr>
      </w:pPr>
    </w:p>
    <w:p w:rsidR="00630F6F" w:rsidRDefault="00630F6F" w:rsidP="007471A8">
      <w:pPr>
        <w:contextualSpacing/>
        <w:rPr>
          <w:bCs/>
        </w:rPr>
      </w:pPr>
      <w:r>
        <w:rPr>
          <w:b/>
          <w:bCs/>
          <w:i/>
        </w:rPr>
        <w:t xml:space="preserve">Discussion: </w:t>
      </w:r>
      <w:r w:rsidRPr="009473FC">
        <w:rPr>
          <w:bCs/>
        </w:rPr>
        <w:t>This measure is intended to demonstrate the law enforcement agencies' desire to share their data on a national scale through participation with N-</w:t>
      </w:r>
      <w:proofErr w:type="spellStart"/>
      <w:r w:rsidRPr="009473FC">
        <w:rPr>
          <w:bCs/>
        </w:rPr>
        <w:t>DEx</w:t>
      </w:r>
      <w:proofErr w:type="spellEnd"/>
      <w:r w:rsidRPr="009473FC">
        <w:rPr>
          <w:bCs/>
        </w:rPr>
        <w:t>.  This measure also validates that N-</w:t>
      </w:r>
      <w:proofErr w:type="spellStart"/>
      <w:r w:rsidRPr="009473FC">
        <w:rPr>
          <w:bCs/>
        </w:rPr>
        <w:t>DEx</w:t>
      </w:r>
      <w:proofErr w:type="spellEnd"/>
      <w:r w:rsidRPr="009473FC">
        <w:rPr>
          <w:bCs/>
        </w:rPr>
        <w:t xml:space="preserve"> has been accepted by the law enforcement community as the national criminal justice information sharing vehicle.  Participation with N-</w:t>
      </w:r>
      <w:proofErr w:type="spellStart"/>
      <w:r w:rsidRPr="009473FC">
        <w:rPr>
          <w:bCs/>
        </w:rPr>
        <w:t>DEx</w:t>
      </w:r>
      <w:proofErr w:type="spellEnd"/>
      <w:r w:rsidRPr="009473FC">
        <w:rPr>
          <w:bCs/>
        </w:rPr>
        <w:t xml:space="preserve"> is voluntary for local, state, regional, tribal and federal agencies. </w:t>
      </w:r>
      <w:r w:rsidR="00976B97">
        <w:rPr>
          <w:bCs/>
        </w:rPr>
        <w:t xml:space="preserve"> The data for this measure is defined as the portion of the U.S. population living in jurisdictions where the state or local law enforcement entities participate in N-</w:t>
      </w:r>
      <w:proofErr w:type="spellStart"/>
      <w:r w:rsidR="00976B97">
        <w:rPr>
          <w:bCs/>
        </w:rPr>
        <w:t>DEx</w:t>
      </w:r>
      <w:proofErr w:type="spellEnd"/>
      <w:r w:rsidR="00976B97">
        <w:rPr>
          <w:bCs/>
        </w:rPr>
        <w:t xml:space="preserve">. </w:t>
      </w:r>
      <w:r w:rsidRPr="009473FC">
        <w:rPr>
          <w:bCs/>
        </w:rPr>
        <w:t xml:space="preserve"> While federal data from throughout the U</w:t>
      </w:r>
      <w:r>
        <w:rPr>
          <w:bCs/>
        </w:rPr>
        <w:t>.</w:t>
      </w:r>
      <w:r w:rsidRPr="009473FC">
        <w:rPr>
          <w:bCs/>
        </w:rPr>
        <w:t>S</w:t>
      </w:r>
      <w:r>
        <w:rPr>
          <w:bCs/>
        </w:rPr>
        <w:t>.</w:t>
      </w:r>
      <w:r w:rsidRPr="009473FC">
        <w:rPr>
          <w:bCs/>
        </w:rPr>
        <w:t xml:space="preserve"> is contained in N-</w:t>
      </w:r>
      <w:proofErr w:type="spellStart"/>
      <w:r w:rsidRPr="009473FC">
        <w:rPr>
          <w:bCs/>
        </w:rPr>
        <w:t>DEx</w:t>
      </w:r>
      <w:proofErr w:type="spellEnd"/>
      <w:r w:rsidRPr="009473FC">
        <w:rPr>
          <w:bCs/>
        </w:rPr>
        <w:t>, it is not included in calculating this percentage.  The effectiveness of N-</w:t>
      </w:r>
      <w:proofErr w:type="spellStart"/>
      <w:r w:rsidRPr="009473FC">
        <w:rPr>
          <w:bCs/>
        </w:rPr>
        <w:t>DEx</w:t>
      </w:r>
      <w:proofErr w:type="spellEnd"/>
      <w:r w:rsidRPr="009473FC">
        <w:rPr>
          <w:bCs/>
        </w:rPr>
        <w:t xml:space="preserve"> is dependent upon widespread participation of organizations sharing their data.  The target of 43</w:t>
      </w:r>
      <w:r>
        <w:rPr>
          <w:bCs/>
        </w:rPr>
        <w:t xml:space="preserve"> percent</w:t>
      </w:r>
      <w:r w:rsidRPr="009473FC">
        <w:rPr>
          <w:bCs/>
        </w:rPr>
        <w:t xml:space="preserve"> was not met in FY 2011 and targets were reassessed for </w:t>
      </w:r>
      <w:r>
        <w:rPr>
          <w:bCs/>
        </w:rPr>
        <w:t>future years</w:t>
      </w:r>
      <w:r w:rsidRPr="009473FC">
        <w:rPr>
          <w:bCs/>
        </w:rPr>
        <w:t xml:space="preserve">. Targets are set based on historical information and planned agency participation. </w:t>
      </w:r>
      <w:r>
        <w:rPr>
          <w:bCs/>
        </w:rPr>
        <w:t>M</w:t>
      </w:r>
      <w:r w:rsidRPr="009473FC">
        <w:rPr>
          <w:bCs/>
        </w:rPr>
        <w:t>arketing results are dependent upon executive advocacy, state policy, and technical readiness for participations.  Continuing challenges include insufficient state and local resources, legal and policy constraints, and cultural challenges.</w:t>
      </w:r>
      <w:r>
        <w:rPr>
          <w:bCs/>
        </w:rPr>
        <w:t xml:space="preserve"> </w:t>
      </w:r>
      <w:r w:rsidRPr="009473FC">
        <w:rPr>
          <w:bCs/>
        </w:rPr>
        <w:t>N-</w:t>
      </w:r>
      <w:proofErr w:type="spellStart"/>
      <w:r w:rsidRPr="009473FC">
        <w:rPr>
          <w:bCs/>
        </w:rPr>
        <w:t>DEx</w:t>
      </w:r>
      <w:proofErr w:type="spellEnd"/>
      <w:r w:rsidRPr="009473FC">
        <w:rPr>
          <w:bCs/>
        </w:rPr>
        <w:t xml:space="preserve"> outreach and marketing efforts remain focused on the criminal justice community's adoption of N-</w:t>
      </w:r>
      <w:proofErr w:type="spellStart"/>
      <w:r w:rsidRPr="009473FC">
        <w:rPr>
          <w:bCs/>
        </w:rPr>
        <w:t>DEx</w:t>
      </w:r>
      <w:proofErr w:type="spellEnd"/>
      <w:r w:rsidRPr="009473FC">
        <w:rPr>
          <w:bCs/>
        </w:rPr>
        <w:t xml:space="preserve"> as the national information sharing tool.    </w:t>
      </w:r>
    </w:p>
    <w:p w:rsidR="00976B97" w:rsidRDefault="004E63AB" w:rsidP="007471A8">
      <w:pPr>
        <w:contextualSpacing/>
        <w:rPr>
          <w:b/>
          <w:bCs/>
          <w:i/>
          <w:iCs/>
        </w:rPr>
      </w:pPr>
      <w:r>
        <w:rPr>
          <w:b/>
          <w:bCs/>
          <w:i/>
          <w:iCs/>
          <w:noProof/>
        </w:rPr>
        <w:drawing>
          <wp:anchor distT="0" distB="0" distL="114300" distR="114300" simplePos="0" relativeHeight="251675648" behindDoc="0" locked="0" layoutInCell="1" allowOverlap="1">
            <wp:simplePos x="0" y="0"/>
            <wp:positionH relativeFrom="margin">
              <wp:align>right</wp:align>
            </wp:positionH>
            <wp:positionV relativeFrom="paragraph">
              <wp:posOffset>38100</wp:posOffset>
            </wp:positionV>
            <wp:extent cx="2739390" cy="2487930"/>
            <wp:effectExtent l="19050" t="0" r="22860" b="7620"/>
            <wp:wrapTight wrapText="bothSides">
              <wp:wrapPolygon edited="0">
                <wp:start x="-150" y="0"/>
                <wp:lineTo x="-150" y="21666"/>
                <wp:lineTo x="21780" y="21666"/>
                <wp:lineTo x="21780" y="0"/>
                <wp:lineTo x="-150" y="0"/>
              </wp:wrapPolygon>
            </wp:wrapTight>
            <wp:docPr id="7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976B97" w:rsidRDefault="00976B97" w:rsidP="007471A8">
      <w:pPr>
        <w:contextualSpacing/>
        <w:rPr>
          <w:b/>
          <w:bCs/>
          <w:i/>
          <w:iCs/>
        </w:rPr>
      </w:pPr>
      <w:r>
        <w:rPr>
          <w:b/>
          <w:i/>
        </w:rPr>
        <w:t>FY 2012 Target:</w:t>
      </w:r>
      <w:r w:rsidR="00842C48">
        <w:rPr>
          <w:b/>
          <w:i/>
        </w:rPr>
        <w:tab/>
      </w:r>
      <w:r w:rsidRPr="00842C48">
        <w:t>50%</w:t>
      </w:r>
    </w:p>
    <w:p w:rsidR="00630F6F" w:rsidRDefault="00976B97" w:rsidP="007471A8">
      <w:pPr>
        <w:contextualSpacing/>
      </w:pPr>
      <w:r w:rsidRPr="00120534">
        <w:rPr>
          <w:b/>
          <w:bCs/>
          <w:i/>
          <w:iCs/>
        </w:rPr>
        <w:t>FY 201</w:t>
      </w:r>
      <w:r>
        <w:rPr>
          <w:b/>
          <w:bCs/>
          <w:i/>
          <w:iCs/>
        </w:rPr>
        <w:t>3</w:t>
      </w:r>
      <w:r w:rsidRPr="00120534">
        <w:rPr>
          <w:b/>
          <w:bCs/>
          <w:i/>
          <w:iCs/>
        </w:rPr>
        <w:t xml:space="preserve"> Target:</w:t>
      </w:r>
      <w:r w:rsidRPr="00120534">
        <w:rPr>
          <w:b/>
          <w:bCs/>
        </w:rPr>
        <w:tab/>
      </w:r>
      <w:r>
        <w:t>58%</w:t>
      </w:r>
    </w:p>
    <w:p w:rsidR="004E63AB" w:rsidRDefault="004E63AB" w:rsidP="007471A8">
      <w:pPr>
        <w:contextualSpacing/>
      </w:pPr>
    </w:p>
    <w:p w:rsidR="00630F6F" w:rsidRPr="008153B6" w:rsidRDefault="00630F6F" w:rsidP="007471A8">
      <w:pPr>
        <w:contextualSpacing/>
        <w:rPr>
          <w:b/>
          <w:bCs/>
          <w:u w:val="single"/>
        </w:rPr>
      </w:pPr>
      <w:r>
        <w:rPr>
          <w:b/>
          <w:bCs/>
          <w:u w:val="single"/>
        </w:rPr>
        <w:t>STB Product Deployment</w:t>
      </w:r>
    </w:p>
    <w:p w:rsidR="00630F6F" w:rsidRDefault="00630F6F" w:rsidP="007471A8">
      <w:pPr>
        <w:contextualSpacing/>
        <w:rPr>
          <w:b/>
          <w:bCs/>
          <w:u w:val="single"/>
        </w:rPr>
      </w:pPr>
    </w:p>
    <w:p w:rsidR="00630F6F" w:rsidRPr="00E14A92" w:rsidRDefault="00630F6F" w:rsidP="007471A8">
      <w:pPr>
        <w:contextualSpacing/>
        <w:rPr>
          <w:b/>
          <w:bCs/>
          <w:u w:val="single"/>
        </w:rPr>
      </w:pPr>
      <w:r w:rsidRPr="00134332">
        <w:rPr>
          <w:b/>
          <w:i/>
          <w:iCs/>
        </w:rPr>
        <w:t>Performance Measure:</w:t>
      </w:r>
      <w:r w:rsidRPr="00134332">
        <w:rPr>
          <w:i/>
          <w:iCs/>
        </w:rPr>
        <w:t xml:space="preserve"> </w:t>
      </w:r>
      <w:r w:rsidRPr="00134332">
        <w:rPr>
          <w:iCs/>
        </w:rPr>
        <w:t>Number of products and services deployed in support of customers</w:t>
      </w:r>
      <w:r>
        <w:rPr>
          <w:b/>
          <w:iCs/>
        </w:rPr>
        <w:t xml:space="preserve"> </w:t>
      </w:r>
    </w:p>
    <w:p w:rsidR="00630F6F" w:rsidRDefault="00630F6F" w:rsidP="007471A8">
      <w:pPr>
        <w:contextualSpacing/>
        <w:rPr>
          <w:b/>
          <w:bCs/>
          <w:i/>
          <w:iCs/>
        </w:rPr>
      </w:pPr>
    </w:p>
    <w:p w:rsidR="00585410" w:rsidRDefault="00585410" w:rsidP="007471A8">
      <w:pPr>
        <w:contextualSpacing/>
        <w:rPr>
          <w:b/>
          <w:i/>
        </w:rPr>
      </w:pPr>
      <w:r>
        <w:rPr>
          <w:b/>
          <w:i/>
        </w:rPr>
        <w:t xml:space="preserve">FY 2011 Actual: </w:t>
      </w:r>
      <w:r w:rsidR="00842C48">
        <w:rPr>
          <w:b/>
          <w:i/>
        </w:rPr>
        <w:tab/>
      </w:r>
      <w:r w:rsidRPr="00842C48">
        <w:t>299</w:t>
      </w:r>
    </w:p>
    <w:p w:rsidR="00630F6F" w:rsidRPr="00120534" w:rsidRDefault="00630F6F" w:rsidP="007471A8">
      <w:pPr>
        <w:contextualSpacing/>
        <w:rPr>
          <w:i/>
          <w:iCs/>
        </w:rPr>
      </w:pPr>
    </w:p>
    <w:p w:rsidR="00630F6F" w:rsidRPr="00134332" w:rsidRDefault="00630F6F" w:rsidP="007471A8">
      <w:pPr>
        <w:contextualSpacing/>
        <w:rPr>
          <w:bCs/>
        </w:rPr>
      </w:pPr>
      <w:r>
        <w:rPr>
          <w:b/>
          <w:bCs/>
          <w:i/>
        </w:rPr>
        <w:t xml:space="preserve">Discussion: </w:t>
      </w:r>
      <w:r w:rsidRPr="00963E20">
        <w:rPr>
          <w:bCs/>
        </w:rPr>
        <w:t xml:space="preserve">The </w:t>
      </w:r>
      <w:r>
        <w:rPr>
          <w:bCs/>
        </w:rPr>
        <w:t xml:space="preserve">FBI’s </w:t>
      </w:r>
      <w:r w:rsidRPr="00963E20">
        <w:rPr>
          <w:bCs/>
        </w:rPr>
        <w:t xml:space="preserve">Science and Technology Branch (STB) </w:t>
      </w:r>
      <w:proofErr w:type="gramStart"/>
      <w:r>
        <w:rPr>
          <w:bCs/>
        </w:rPr>
        <w:t>oversees</w:t>
      </w:r>
      <w:proofErr w:type="gramEnd"/>
      <w:r w:rsidRPr="00963E20">
        <w:rPr>
          <w:bCs/>
        </w:rPr>
        <w:t xml:space="preserve"> the application of innovative scientific, engineering, and technical solutions in support of intelligence and investigative requirements. To that end, STB is constantly searching for opportunities to discover, develop, and deliver new capabilities to </w:t>
      </w:r>
      <w:r w:rsidRPr="00963E20">
        <w:rPr>
          <w:bCs/>
        </w:rPr>
        <w:lastRenderedPageBreak/>
        <w:t xml:space="preserve">partners throughout the FBI, law enforcement and the </w:t>
      </w:r>
      <w:r>
        <w:rPr>
          <w:bCs/>
        </w:rPr>
        <w:t>IC</w:t>
      </w:r>
      <w:r w:rsidRPr="00963E20">
        <w:rPr>
          <w:bCs/>
        </w:rPr>
        <w:t>. STB’s products and services assist partners with the preventi</w:t>
      </w:r>
      <w:r>
        <w:rPr>
          <w:bCs/>
        </w:rPr>
        <w:t>on of crime and enforcement of f</w:t>
      </w:r>
      <w:r w:rsidRPr="00963E20">
        <w:rPr>
          <w:bCs/>
        </w:rPr>
        <w:t xml:space="preserve">ederal laws. </w:t>
      </w:r>
      <w:r>
        <w:rPr>
          <w:bCs/>
        </w:rPr>
        <w:t xml:space="preserve">The targets for this measure </w:t>
      </w:r>
      <w:r w:rsidRPr="00963E20">
        <w:rPr>
          <w:bCs/>
        </w:rPr>
        <w:t xml:space="preserve">reflect STB’s commitment to the continued development of new products and services while also focusing on enhancement and consolidation of previously deployed products and services.  </w:t>
      </w:r>
      <w:r w:rsidRPr="00134332">
        <w:rPr>
          <w:bCs/>
        </w:rPr>
        <w:t xml:space="preserve">The target for the number of products/services to be deployed does not reflect products or services that have been specifically identified this far in the future. </w:t>
      </w:r>
      <w:r>
        <w:rPr>
          <w:bCs/>
        </w:rPr>
        <w:t>STB aims</w:t>
      </w:r>
      <w:r w:rsidRPr="00134332">
        <w:rPr>
          <w:bCs/>
        </w:rPr>
        <w:t xml:space="preserve"> to develop and deploy those products and services that will be of the greatest benefit to stakeholders and will most help the FBI in addressing its investigative and operational needs. </w:t>
      </w:r>
    </w:p>
    <w:p w:rsidR="00630F6F" w:rsidRDefault="00630F6F" w:rsidP="007471A8">
      <w:pPr>
        <w:contextualSpacing/>
        <w:rPr>
          <w:b/>
          <w:bCs/>
          <w:u w:val="single"/>
        </w:rPr>
      </w:pPr>
    </w:p>
    <w:p w:rsidR="00585410" w:rsidRDefault="00585410" w:rsidP="00E20073">
      <w:pPr>
        <w:tabs>
          <w:tab w:val="left" w:pos="2160"/>
        </w:tabs>
        <w:contextualSpacing/>
        <w:rPr>
          <w:b/>
          <w:bCs/>
          <w:i/>
          <w:iCs/>
        </w:rPr>
      </w:pPr>
      <w:r>
        <w:rPr>
          <w:b/>
          <w:i/>
        </w:rPr>
        <w:t xml:space="preserve"> FY 2012 Target: </w:t>
      </w:r>
      <w:r w:rsidR="00E20073">
        <w:rPr>
          <w:b/>
          <w:i/>
        </w:rPr>
        <w:tab/>
      </w:r>
      <w:r w:rsidRPr="00842C48">
        <w:t>260</w:t>
      </w:r>
    </w:p>
    <w:p w:rsidR="00630F6F" w:rsidRDefault="00630F6F" w:rsidP="00E20073">
      <w:pPr>
        <w:tabs>
          <w:tab w:val="left" w:pos="2160"/>
        </w:tabs>
        <w:contextualSpacing/>
      </w:pPr>
      <w:r w:rsidRPr="00585F39">
        <w:rPr>
          <w:b/>
          <w:bCs/>
        </w:rPr>
        <w:t xml:space="preserve"> </w:t>
      </w:r>
      <w:r w:rsidR="00585410" w:rsidRPr="00120534">
        <w:rPr>
          <w:b/>
          <w:bCs/>
          <w:i/>
          <w:iCs/>
        </w:rPr>
        <w:t>FY 201</w:t>
      </w:r>
      <w:r w:rsidR="00585410">
        <w:rPr>
          <w:b/>
          <w:bCs/>
          <w:i/>
          <w:iCs/>
        </w:rPr>
        <w:t>3</w:t>
      </w:r>
      <w:r w:rsidR="00585410" w:rsidRPr="00120534">
        <w:rPr>
          <w:b/>
          <w:bCs/>
          <w:i/>
          <w:iCs/>
        </w:rPr>
        <w:t xml:space="preserve"> Target:</w:t>
      </w:r>
      <w:r w:rsidR="00E20073">
        <w:rPr>
          <w:b/>
          <w:bCs/>
          <w:i/>
          <w:iCs/>
        </w:rPr>
        <w:tab/>
      </w:r>
      <w:r w:rsidR="00585410">
        <w:t>265</w:t>
      </w:r>
    </w:p>
    <w:p w:rsidR="00585410" w:rsidRPr="005C453B" w:rsidRDefault="00585410" w:rsidP="007471A8">
      <w:pPr>
        <w:contextualSpacing/>
        <w:rPr>
          <w:bCs/>
          <w:color w:val="FF0000"/>
        </w:rPr>
      </w:pPr>
    </w:p>
    <w:p w:rsidR="00630F6F" w:rsidRPr="00F4188D" w:rsidRDefault="00630F6F" w:rsidP="007471A8">
      <w:pPr>
        <w:contextualSpacing/>
      </w:pPr>
      <w:r w:rsidRPr="00002D32">
        <w:rPr>
          <w:b/>
          <w:bCs/>
          <w:u w:val="single"/>
        </w:rPr>
        <w:t>Hazardous Devices School (HDS)</w:t>
      </w:r>
      <w:r w:rsidRPr="00002D32">
        <w:rPr>
          <w:b/>
          <w:bCs/>
          <w:color w:val="000000"/>
          <w:u w:val="single"/>
        </w:rPr>
        <w:cr/>
      </w:r>
      <w:r w:rsidRPr="002F223D">
        <w:cr/>
      </w:r>
      <w:r w:rsidRPr="00F4188D">
        <w:t>Two key elements of domestic preparedness are expertise in hazardous devices and emergency response capabilities to address threats such as weapons of mass destruction (WMD).  The HDS is the only formal domestic training school for state and local law enforcement to learn safe and effective bomb disposal operations.  The HDS prepares bomb technicians to locate, identify, render safe, and dispose of improvised hazardous devices, including those containing explosives, incendiary materials, and materials classified as WMD.</w:t>
      </w:r>
    </w:p>
    <w:p w:rsidR="00630F6F" w:rsidRPr="00F4188D" w:rsidRDefault="00630F6F" w:rsidP="007471A8">
      <w:pPr>
        <w:contextualSpacing/>
      </w:pPr>
    </w:p>
    <w:p w:rsidR="00630F6F" w:rsidRPr="004E63AB" w:rsidRDefault="00630F6F" w:rsidP="007471A8">
      <w:pPr>
        <w:contextualSpacing/>
        <w:rPr>
          <w:b/>
          <w:bCs/>
          <w:i/>
          <w:iCs/>
        </w:rPr>
      </w:pPr>
      <w:r w:rsidRPr="00F4188D">
        <w:rPr>
          <w:b/>
          <w:bCs/>
          <w:i/>
          <w:iCs/>
        </w:rPr>
        <w:t>Performance Measure:</w:t>
      </w:r>
      <w:r w:rsidRPr="00F4188D">
        <w:t xml:space="preserve">  State and Local Bomb Technicians Trained (# of student-weeks) at the HDS</w:t>
      </w:r>
    </w:p>
    <w:p w:rsidR="00630F6F" w:rsidRDefault="00C5224D" w:rsidP="007471A8">
      <w:pPr>
        <w:ind w:left="720"/>
        <w:contextualSpacing/>
        <w:rPr>
          <w:b/>
          <w:i/>
        </w:rPr>
      </w:pPr>
      <w:r w:rsidRPr="00C5224D">
        <w:rPr>
          <w:b/>
          <w:bCs/>
          <w:noProof/>
          <w:lang w:eastAsia="zh-CN"/>
        </w:rPr>
        <w:pict>
          <v:shape id="_x0000_s1057" type="#_x0000_t202" style="position:absolute;left:0;text-align:left;margin-left:2174.65pt;margin-top:12.5pt;width:324.75pt;height:224.5pt;z-index:-251635712;mso-wrap-distance-top:28.8pt;mso-wrap-distance-bottom:7.2pt;mso-position-horizontal:right;mso-position-horizontal-relative:margin" wrapcoords="-50 -72 -50 21528 21650 21528 21650 -72 -50 -72" filled="f" fillcolor="yellow" strokecolor="#969696">
            <v:textbox style="mso-next-textbox:#_x0000_s1057">
              <w:txbxContent>
                <w:p w:rsidR="00561262" w:rsidRDefault="00561262" w:rsidP="00630F6F">
                  <w:pPr>
                    <w:rPr>
                      <w:b/>
                      <w:sz w:val="16"/>
                    </w:rPr>
                  </w:pPr>
                  <w:r>
                    <w:rPr>
                      <w:b/>
                      <w:noProof/>
                      <w:sz w:val="16"/>
                    </w:rPr>
                    <w:drawing>
                      <wp:inline distT="0" distB="0" distL="0" distR="0">
                        <wp:extent cx="3886200" cy="2743200"/>
                        <wp:effectExtent l="0" t="0" r="0" b="0"/>
                        <wp:docPr id="68" name="Object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61262" w:rsidRDefault="00561262" w:rsidP="00630F6F">
                  <w:pPr>
                    <w:jc w:val="both"/>
                  </w:pPr>
                </w:p>
              </w:txbxContent>
            </v:textbox>
            <w10:wrap type="tight" anchorx="margin"/>
          </v:shape>
        </w:pict>
      </w:r>
    </w:p>
    <w:p w:rsidR="00295F21" w:rsidRDefault="00295F21" w:rsidP="00E20073">
      <w:pPr>
        <w:tabs>
          <w:tab w:val="left" w:pos="2160"/>
        </w:tabs>
        <w:contextualSpacing/>
        <w:rPr>
          <w:b/>
          <w:i/>
        </w:rPr>
      </w:pPr>
      <w:r>
        <w:rPr>
          <w:b/>
          <w:i/>
        </w:rPr>
        <w:t xml:space="preserve">FY 2011 Target: </w:t>
      </w:r>
      <w:r w:rsidR="00E20073">
        <w:rPr>
          <w:b/>
          <w:i/>
        </w:rPr>
        <w:tab/>
      </w:r>
      <w:r w:rsidRPr="00842C48">
        <w:t>2,668</w:t>
      </w:r>
      <w:r>
        <w:rPr>
          <w:b/>
          <w:i/>
        </w:rPr>
        <w:t xml:space="preserve"> </w:t>
      </w:r>
    </w:p>
    <w:p w:rsidR="00295F21" w:rsidRDefault="00295F21" w:rsidP="00E20073">
      <w:pPr>
        <w:tabs>
          <w:tab w:val="left" w:pos="2160"/>
        </w:tabs>
        <w:contextualSpacing/>
        <w:rPr>
          <w:b/>
          <w:i/>
        </w:rPr>
      </w:pPr>
      <w:r>
        <w:rPr>
          <w:b/>
          <w:i/>
        </w:rPr>
        <w:t xml:space="preserve">FY 2011 Actual: </w:t>
      </w:r>
      <w:r w:rsidR="00E20073">
        <w:rPr>
          <w:b/>
          <w:i/>
        </w:rPr>
        <w:tab/>
      </w:r>
      <w:r w:rsidRPr="00842C48">
        <w:t>2,295</w:t>
      </w:r>
    </w:p>
    <w:p w:rsidR="00630F6F" w:rsidRDefault="00630F6F" w:rsidP="007471A8">
      <w:pPr>
        <w:contextualSpacing/>
        <w:rPr>
          <w:b/>
          <w:bCs/>
          <w:i/>
          <w:iCs/>
          <w:lang w:eastAsia="zh-CN"/>
        </w:rPr>
      </w:pPr>
    </w:p>
    <w:p w:rsidR="00630F6F" w:rsidRDefault="00630F6F" w:rsidP="007471A8">
      <w:pPr>
        <w:contextualSpacing/>
      </w:pPr>
      <w:r w:rsidRPr="002F223D">
        <w:rPr>
          <w:b/>
          <w:bCs/>
          <w:i/>
          <w:iCs/>
          <w:lang w:eastAsia="zh-CN"/>
        </w:rPr>
        <w:t xml:space="preserve">Discussion: </w:t>
      </w:r>
      <w:r w:rsidRPr="006A40A4">
        <w:rPr>
          <w:lang w:eastAsia="zh-CN"/>
        </w:rPr>
        <w:t xml:space="preserve">FY 2011 target </w:t>
      </w:r>
      <w:r>
        <w:rPr>
          <w:lang w:eastAsia="zh-CN"/>
        </w:rPr>
        <w:t>was not met</w:t>
      </w:r>
      <w:r w:rsidRPr="006A40A4">
        <w:rPr>
          <w:lang w:eastAsia="zh-CN"/>
        </w:rPr>
        <w:t xml:space="preserve">. </w:t>
      </w:r>
      <w:r w:rsidRPr="006A40A4">
        <w:t>The HDS program is a reimbursable inter-service support agreement between the FBI and the U.S. Army.</w:t>
      </w:r>
    </w:p>
    <w:p w:rsidR="00630F6F" w:rsidRDefault="00630F6F" w:rsidP="007471A8">
      <w:pPr>
        <w:contextualSpacing/>
        <w:rPr>
          <w:lang w:eastAsia="zh-CN"/>
        </w:rPr>
      </w:pPr>
    </w:p>
    <w:p w:rsidR="00630F6F" w:rsidRDefault="00630F6F" w:rsidP="007471A8">
      <w:pPr>
        <w:contextualSpacing/>
      </w:pPr>
      <w:r w:rsidRPr="006A40A4">
        <w:rPr>
          <w:lang w:eastAsia="zh-CN"/>
        </w:rPr>
        <w:t xml:space="preserve">The target number </w:t>
      </w:r>
      <w:r>
        <w:rPr>
          <w:lang w:eastAsia="zh-CN"/>
        </w:rPr>
        <w:t>was</w:t>
      </w:r>
      <w:r w:rsidRPr="006A40A4">
        <w:rPr>
          <w:lang w:eastAsia="zh-CN"/>
        </w:rPr>
        <w:t xml:space="preserve"> based on the assumption that the Electronic </w:t>
      </w:r>
      <w:r>
        <w:rPr>
          <w:lang w:eastAsia="zh-CN"/>
        </w:rPr>
        <w:t>Counterm</w:t>
      </w:r>
      <w:r w:rsidRPr="006A40A4">
        <w:rPr>
          <w:lang w:eastAsia="zh-CN"/>
        </w:rPr>
        <w:t>easures (ECM) and other advanced courses wo</w:t>
      </w:r>
      <w:r>
        <w:rPr>
          <w:lang w:eastAsia="zh-CN"/>
        </w:rPr>
        <w:t xml:space="preserve">uld be conducted. During FY 2011; </w:t>
      </w:r>
      <w:r w:rsidRPr="006A40A4">
        <w:rPr>
          <w:lang w:eastAsia="zh-CN"/>
        </w:rPr>
        <w:t>these courses were not conducted</w:t>
      </w:r>
      <w:r w:rsidR="00295F21">
        <w:rPr>
          <w:lang w:eastAsia="zh-CN"/>
        </w:rPr>
        <w:t xml:space="preserve"> due to lower than expected reimbursable funding</w:t>
      </w:r>
      <w:r w:rsidRPr="006A40A4">
        <w:rPr>
          <w:lang w:eastAsia="zh-CN"/>
        </w:rPr>
        <w:t xml:space="preserve">.  </w:t>
      </w:r>
      <w:r w:rsidRPr="006A40A4">
        <w:t xml:space="preserve">The amount of projected training is based upon </w:t>
      </w:r>
      <w:r>
        <w:t xml:space="preserve">the amount of reimbursable </w:t>
      </w:r>
      <w:r w:rsidRPr="006A40A4">
        <w:t xml:space="preserve">funding </w:t>
      </w:r>
      <w:r>
        <w:t xml:space="preserve">received, </w:t>
      </w:r>
      <w:r w:rsidRPr="006A40A4">
        <w:t>which drives the frequency of training courses available, duration of training courses, and the number of courses that can be offered</w:t>
      </w:r>
      <w:r>
        <w:t xml:space="preserve">  per FY. The FBI expects that the </w:t>
      </w:r>
      <w:r w:rsidRPr="00F4188D">
        <w:t>FY</w:t>
      </w:r>
      <w:r>
        <w:t xml:space="preserve"> 20</w:t>
      </w:r>
      <w:r w:rsidRPr="00F4188D">
        <w:t>12 and FY</w:t>
      </w:r>
      <w:r>
        <w:t xml:space="preserve"> 20</w:t>
      </w:r>
      <w:r w:rsidRPr="00F4188D">
        <w:t xml:space="preserve">13 </w:t>
      </w:r>
      <w:r>
        <w:t>will increase</w:t>
      </w:r>
      <w:r w:rsidRPr="00F4188D">
        <w:t xml:space="preserve"> due to inclusion of some advanced training courses at HDS.</w:t>
      </w:r>
    </w:p>
    <w:p w:rsidR="00630F6F" w:rsidRDefault="00630F6F" w:rsidP="007471A8">
      <w:pPr>
        <w:ind w:left="720"/>
        <w:contextualSpacing/>
        <w:rPr>
          <w:b/>
          <w:bCs/>
        </w:rPr>
      </w:pPr>
    </w:p>
    <w:p w:rsidR="00295F21" w:rsidRPr="00842C48" w:rsidRDefault="00295F21" w:rsidP="00E20073">
      <w:pPr>
        <w:tabs>
          <w:tab w:val="left" w:pos="2160"/>
        </w:tabs>
        <w:contextualSpacing/>
        <w:rPr>
          <w:bCs/>
          <w:iCs/>
        </w:rPr>
      </w:pPr>
      <w:r>
        <w:rPr>
          <w:b/>
          <w:i/>
        </w:rPr>
        <w:t xml:space="preserve">FY 2012 Target: </w:t>
      </w:r>
      <w:r w:rsidR="00E20073">
        <w:rPr>
          <w:b/>
          <w:i/>
        </w:rPr>
        <w:tab/>
      </w:r>
      <w:r w:rsidRPr="00842C48">
        <w:t>2,668</w:t>
      </w:r>
    </w:p>
    <w:p w:rsidR="00295F21" w:rsidRDefault="00295F21" w:rsidP="00E20073">
      <w:pPr>
        <w:tabs>
          <w:tab w:val="left" w:pos="2160"/>
        </w:tabs>
        <w:contextualSpacing/>
      </w:pPr>
      <w:r>
        <w:rPr>
          <w:b/>
          <w:i/>
        </w:rPr>
        <w:t>F</w:t>
      </w:r>
      <w:r w:rsidRPr="002F223D">
        <w:rPr>
          <w:b/>
          <w:i/>
        </w:rPr>
        <w:t>Y 20</w:t>
      </w:r>
      <w:r>
        <w:rPr>
          <w:b/>
          <w:i/>
        </w:rPr>
        <w:t>13</w:t>
      </w:r>
      <w:r w:rsidRPr="002F223D">
        <w:rPr>
          <w:b/>
          <w:i/>
        </w:rPr>
        <w:t xml:space="preserve"> Target:</w:t>
      </w:r>
      <w:r>
        <w:t xml:space="preserve"> </w:t>
      </w:r>
      <w:r w:rsidR="00E20073">
        <w:tab/>
      </w:r>
      <w:r>
        <w:t>2,668</w:t>
      </w:r>
    </w:p>
    <w:p w:rsidR="00295F21" w:rsidRDefault="00295F21" w:rsidP="007471A8">
      <w:pPr>
        <w:ind w:left="720"/>
        <w:contextualSpacing/>
        <w:rPr>
          <w:b/>
          <w:bCs/>
        </w:rPr>
      </w:pPr>
    </w:p>
    <w:p w:rsidR="00630F6F" w:rsidRPr="00132751" w:rsidRDefault="00630F6F" w:rsidP="007471A8">
      <w:pPr>
        <w:contextualSpacing/>
      </w:pPr>
      <w:r w:rsidRPr="00727FCE">
        <w:rPr>
          <w:b/>
          <w:bCs/>
        </w:rPr>
        <w:lastRenderedPageBreak/>
        <w:t>b. Strategies to Accomplish Outcomes</w:t>
      </w:r>
      <w:r w:rsidRPr="00727FCE">
        <w:rPr>
          <w:b/>
          <w:bCs/>
        </w:rPr>
        <w:cr/>
      </w:r>
      <w:r w:rsidRPr="00132751">
        <w:t xml:space="preserve">The FBI’s Criminal Justice Information Services Division (CJIS) provides law enforcement and civil identification and information services with timely and critical information that matches individuals with their criminal history records, criminal activity (e.g., stolen property, gang or terrorist affiliation, fugitive status, etc.), and latent fingerprints, and provides information used for employment, licensing, or gun purchase consideration.    Automation and computer technology inherently require constant upgrading and enhancement if such systems are to remain viable and flexible to accommodate changing customer requirements.  </w:t>
      </w:r>
    </w:p>
    <w:p w:rsidR="00630F6F" w:rsidRPr="00132751" w:rsidRDefault="00630F6F" w:rsidP="007471A8">
      <w:pPr>
        <w:contextualSpacing/>
      </w:pPr>
    </w:p>
    <w:p w:rsidR="009217D6" w:rsidRDefault="00630F6F" w:rsidP="007471A8">
      <w:pPr>
        <w:contextualSpacing/>
        <w:rPr>
          <w:rFonts w:cs="Arial"/>
          <w:b/>
          <w:bCs/>
          <w:sz w:val="28"/>
          <w:szCs w:val="28"/>
        </w:rPr>
        <w:sectPr w:rsidR="009217D6" w:rsidSect="007471A8">
          <w:headerReference w:type="even" r:id="rId55"/>
          <w:footerReference w:type="even" r:id="rId56"/>
          <w:footerReference w:type="default" r:id="rId57"/>
          <w:type w:val="continuous"/>
          <w:pgSz w:w="12240" w:h="15840" w:code="1"/>
          <w:pgMar w:top="1080" w:right="1080" w:bottom="1080" w:left="1080" w:header="432" w:footer="432" w:gutter="0"/>
          <w:cols w:space="720"/>
          <w:docGrid w:linePitch="326"/>
        </w:sectPr>
      </w:pPr>
      <w:r w:rsidRPr="00132751">
        <w:t xml:space="preserve">The FBI’s HDS provides state-of-the-art technical intelligence to state, local, and federal first responders in courses regarding the criminal and terrorist use of improvised explosive devices (IEDs) and the tactics, techniques, and procedures to render these hazardous devices safe.  HDS provides training on emerging threats targeting the </w:t>
      </w:r>
      <w:r w:rsidR="00C90C45">
        <w:t>U.S.</w:t>
      </w:r>
      <w:r w:rsidRPr="00132751">
        <w:t xml:space="preserve"> and its interests.  This training includes countermeasures targeting suicide bombers, vehicle borne IEDs, stand-off weapons, WMD devices, and radio-controlled IEDs.  To meet future demand for the training of first responders, HDS needs to add additional courses and increase student capacity to significantly impact the preparedness of our first-responder public safety bomb squads throughout the country</w:t>
      </w:r>
      <w:r w:rsidR="004843FE">
        <w:t>.</w:t>
      </w:r>
    </w:p>
    <w:p w:rsidR="00AF7620" w:rsidRPr="005950BB" w:rsidRDefault="00AF7620" w:rsidP="007471A8">
      <w:pPr>
        <w:pStyle w:val="xl19"/>
        <w:tabs>
          <w:tab w:val="left" w:pos="3840"/>
        </w:tabs>
        <w:spacing w:before="0" w:after="0"/>
        <w:contextualSpacing/>
        <w:rPr>
          <w:b/>
          <w:sz w:val="28"/>
          <w:szCs w:val="28"/>
        </w:rPr>
      </w:pPr>
      <w:bookmarkStart w:id="11" w:name="Increases"/>
      <w:bookmarkEnd w:id="11"/>
      <w:r w:rsidRPr="005950BB">
        <w:rPr>
          <w:b/>
          <w:sz w:val="28"/>
          <w:szCs w:val="28"/>
        </w:rPr>
        <w:lastRenderedPageBreak/>
        <w:t>V. Program Increase by Item</w:t>
      </w:r>
    </w:p>
    <w:p w:rsidR="000A41E5" w:rsidRDefault="000A41E5" w:rsidP="004E63AB">
      <w:pPr>
        <w:pStyle w:val="xl19"/>
        <w:tabs>
          <w:tab w:val="left" w:pos="3840"/>
        </w:tabs>
        <w:spacing w:before="0" w:after="0"/>
        <w:contextualSpacing/>
        <w:rPr>
          <w:b/>
          <w:szCs w:val="24"/>
        </w:rPr>
      </w:pPr>
    </w:p>
    <w:p w:rsidR="00CC23CD" w:rsidRPr="00AB6ABE" w:rsidRDefault="00CC23CD" w:rsidP="004E63AB">
      <w:pPr>
        <w:pStyle w:val="xl19"/>
        <w:tabs>
          <w:tab w:val="left" w:pos="3840"/>
        </w:tabs>
        <w:spacing w:before="0" w:after="0"/>
        <w:contextualSpacing/>
        <w:rPr>
          <w:b/>
          <w:szCs w:val="24"/>
        </w:rPr>
      </w:pPr>
      <w:bookmarkStart w:id="12" w:name="Financial_Fraud"/>
      <w:bookmarkEnd w:id="12"/>
      <w:r>
        <w:rPr>
          <w:b/>
          <w:szCs w:val="24"/>
        </w:rPr>
        <w:t xml:space="preserve">Threat Name: </w:t>
      </w:r>
      <w:r>
        <w:rPr>
          <w:b/>
          <w:szCs w:val="24"/>
        </w:rPr>
        <w:tab/>
      </w:r>
      <w:r>
        <w:rPr>
          <w:b/>
          <w:szCs w:val="24"/>
          <w:u w:val="single"/>
        </w:rPr>
        <w:t>Financial and Mortgage Fraud</w:t>
      </w:r>
    </w:p>
    <w:p w:rsidR="00CC23CD" w:rsidRDefault="00CC23CD" w:rsidP="007471A8">
      <w:pPr>
        <w:pStyle w:val="xl19"/>
        <w:tabs>
          <w:tab w:val="left" w:pos="3840"/>
        </w:tabs>
        <w:spacing w:before="0" w:after="0"/>
        <w:contextualSpacing/>
        <w:rPr>
          <w:szCs w:val="24"/>
          <w:u w:val="single"/>
        </w:rPr>
      </w:pPr>
      <w:r w:rsidRPr="00192A08">
        <w:rPr>
          <w:szCs w:val="24"/>
        </w:rPr>
        <w:t>Budget Decision Unit(s):</w:t>
      </w:r>
      <w:r>
        <w:rPr>
          <w:szCs w:val="24"/>
        </w:rPr>
        <w:t xml:space="preserve">  </w:t>
      </w:r>
      <w:r>
        <w:rPr>
          <w:szCs w:val="24"/>
        </w:rPr>
        <w:tab/>
      </w:r>
      <w:r w:rsidRPr="00E50BEF">
        <w:rPr>
          <w:szCs w:val="24"/>
          <w:u w:val="single"/>
        </w:rPr>
        <w:t>Criminal Enterprises and Federal Crimes</w:t>
      </w:r>
    </w:p>
    <w:p w:rsidR="00CC23CD" w:rsidRDefault="00CC23CD" w:rsidP="007471A8">
      <w:pPr>
        <w:pStyle w:val="xl19"/>
        <w:tabs>
          <w:tab w:val="left" w:pos="3870"/>
          <w:tab w:val="right" w:pos="8640"/>
        </w:tabs>
        <w:spacing w:before="0" w:after="0"/>
        <w:contextualSpacing/>
        <w:rPr>
          <w:szCs w:val="24"/>
        </w:rPr>
      </w:pPr>
      <w:r w:rsidRPr="00192A08">
        <w:rPr>
          <w:szCs w:val="24"/>
        </w:rPr>
        <w:t xml:space="preserve">Strategic Goal(s) &amp; Objective(s): </w:t>
      </w:r>
      <w:r>
        <w:rPr>
          <w:szCs w:val="24"/>
        </w:rPr>
        <w:t xml:space="preserve"> </w:t>
      </w:r>
      <w:r>
        <w:rPr>
          <w:szCs w:val="24"/>
        </w:rPr>
        <w:tab/>
        <w:t>2.5</w:t>
      </w:r>
    </w:p>
    <w:p w:rsidR="00CC23CD" w:rsidRDefault="00CC23CD" w:rsidP="007471A8">
      <w:pPr>
        <w:pStyle w:val="xl19"/>
        <w:tabs>
          <w:tab w:val="left" w:pos="3840"/>
          <w:tab w:val="right" w:pos="8640"/>
        </w:tabs>
        <w:spacing w:before="0" w:after="0"/>
        <w:contextualSpacing/>
        <w:rPr>
          <w:szCs w:val="24"/>
        </w:rPr>
      </w:pPr>
      <w:r w:rsidRPr="00192A08">
        <w:rPr>
          <w:szCs w:val="24"/>
        </w:rPr>
        <w:t>Organizational Program:</w:t>
      </w:r>
      <w:r>
        <w:rPr>
          <w:szCs w:val="24"/>
        </w:rPr>
        <w:t xml:space="preserve">  </w:t>
      </w:r>
      <w:r>
        <w:rPr>
          <w:szCs w:val="24"/>
        </w:rPr>
        <w:tab/>
      </w:r>
      <w:r w:rsidRPr="00E50BEF">
        <w:rPr>
          <w:szCs w:val="24"/>
          <w:u w:val="single"/>
        </w:rPr>
        <w:t>Criminal Investigative</w:t>
      </w:r>
      <w:r>
        <w:rPr>
          <w:szCs w:val="24"/>
        </w:rPr>
        <w:t xml:space="preserve"> </w:t>
      </w:r>
      <w:r w:rsidRPr="00192A08">
        <w:rPr>
          <w:szCs w:val="24"/>
        </w:rPr>
        <w:tab/>
      </w:r>
      <w:r w:rsidRPr="00192A08">
        <w:rPr>
          <w:szCs w:val="24"/>
        </w:rPr>
        <w:tab/>
      </w:r>
    </w:p>
    <w:p w:rsidR="00CC23CD" w:rsidRDefault="00CC23CD" w:rsidP="007471A8">
      <w:pPr>
        <w:pStyle w:val="xl19"/>
        <w:tabs>
          <w:tab w:val="left" w:pos="2340"/>
          <w:tab w:val="right" w:pos="3060"/>
          <w:tab w:val="left" w:pos="3600"/>
          <w:tab w:val="right" w:pos="4500"/>
          <w:tab w:val="left" w:pos="5310"/>
          <w:tab w:val="right" w:pos="6300"/>
        </w:tabs>
        <w:spacing w:before="0" w:after="0"/>
        <w:contextualSpacing/>
        <w:rPr>
          <w:szCs w:val="24"/>
        </w:rPr>
      </w:pPr>
    </w:p>
    <w:p w:rsidR="00CC23CD" w:rsidRPr="00857AD6" w:rsidRDefault="00CC23CD" w:rsidP="007471A8">
      <w:pPr>
        <w:pStyle w:val="xl19"/>
        <w:tabs>
          <w:tab w:val="left" w:pos="2340"/>
          <w:tab w:val="right" w:pos="3060"/>
          <w:tab w:val="left" w:pos="3600"/>
          <w:tab w:val="right" w:pos="4500"/>
          <w:tab w:val="left" w:pos="5310"/>
          <w:tab w:val="right" w:pos="6300"/>
        </w:tabs>
        <w:spacing w:before="0" w:after="0"/>
        <w:contextualSpacing/>
        <w:rPr>
          <w:szCs w:val="24"/>
        </w:rPr>
      </w:pPr>
      <w:r w:rsidRPr="00192A08">
        <w:rPr>
          <w:szCs w:val="24"/>
        </w:rPr>
        <w:t xml:space="preserve">Program Increase:  Positions </w:t>
      </w:r>
      <w:proofErr w:type="gramStart"/>
      <w:r>
        <w:rPr>
          <w:szCs w:val="24"/>
          <w:u w:val="single"/>
        </w:rPr>
        <w:t>44</w:t>
      </w:r>
      <w:r>
        <w:rPr>
          <w:szCs w:val="24"/>
        </w:rPr>
        <w:t xml:space="preserve">  Agt</w:t>
      </w:r>
      <w:proofErr w:type="gramEnd"/>
      <w:r>
        <w:rPr>
          <w:szCs w:val="24"/>
        </w:rPr>
        <w:t xml:space="preserve"> </w:t>
      </w:r>
      <w:r>
        <w:rPr>
          <w:szCs w:val="24"/>
          <w:u w:val="single"/>
        </w:rPr>
        <w:t>40</w:t>
      </w:r>
      <w:r>
        <w:rPr>
          <w:szCs w:val="24"/>
        </w:rPr>
        <w:t xml:space="preserve">  </w:t>
      </w:r>
      <w:r w:rsidRPr="00192A08">
        <w:rPr>
          <w:szCs w:val="24"/>
        </w:rPr>
        <w:t xml:space="preserve">FTE </w:t>
      </w:r>
      <w:r>
        <w:rPr>
          <w:szCs w:val="24"/>
          <w:u w:val="single"/>
        </w:rPr>
        <w:t>22</w:t>
      </w:r>
      <w:r w:rsidRPr="00192A08">
        <w:rPr>
          <w:szCs w:val="24"/>
        </w:rPr>
        <w:t xml:space="preserve">  Dollars </w:t>
      </w:r>
      <w:r w:rsidRPr="00413BAB">
        <w:rPr>
          <w:szCs w:val="24"/>
          <w:u w:val="single"/>
        </w:rPr>
        <w:t>$</w:t>
      </w:r>
      <w:r>
        <w:rPr>
          <w:szCs w:val="24"/>
          <w:u w:val="single"/>
        </w:rPr>
        <w:t>1</w:t>
      </w:r>
      <w:r w:rsidRPr="00413BAB">
        <w:rPr>
          <w:szCs w:val="24"/>
          <w:u w:val="single"/>
        </w:rPr>
        <w:t>5,</w:t>
      </w:r>
      <w:r>
        <w:rPr>
          <w:szCs w:val="24"/>
          <w:u w:val="single"/>
        </w:rPr>
        <w:t>000</w:t>
      </w:r>
      <w:r w:rsidRPr="00413BAB">
        <w:rPr>
          <w:szCs w:val="24"/>
          <w:u w:val="single"/>
        </w:rPr>
        <w:t>,000</w:t>
      </w:r>
      <w:r w:rsidRPr="00E50BEF">
        <w:rPr>
          <w:szCs w:val="24"/>
        </w:rPr>
        <w:t xml:space="preserve">  ($</w:t>
      </w:r>
      <w:r>
        <w:rPr>
          <w:szCs w:val="24"/>
        </w:rPr>
        <w:t>3,952</w:t>
      </w:r>
      <w:r w:rsidRPr="00E50BEF">
        <w:rPr>
          <w:szCs w:val="24"/>
        </w:rPr>
        <w:t>,000 non-personnel)</w:t>
      </w:r>
    </w:p>
    <w:p w:rsidR="00CC23CD" w:rsidRPr="00192A08" w:rsidRDefault="00CC23CD" w:rsidP="007471A8">
      <w:pPr>
        <w:pStyle w:val="xl19"/>
        <w:tabs>
          <w:tab w:val="left" w:pos="2340"/>
          <w:tab w:val="right" w:pos="3060"/>
          <w:tab w:val="left" w:pos="3600"/>
          <w:tab w:val="right" w:pos="4500"/>
          <w:tab w:val="left" w:pos="5310"/>
          <w:tab w:val="right" w:pos="6300"/>
        </w:tabs>
        <w:spacing w:before="0" w:after="0"/>
        <w:contextualSpacing/>
        <w:rPr>
          <w:color w:val="FF0000"/>
          <w:szCs w:val="24"/>
          <w:u w:val="single"/>
        </w:rPr>
      </w:pPr>
    </w:p>
    <w:p w:rsidR="00CC23CD" w:rsidRPr="00353139" w:rsidRDefault="00CC23CD" w:rsidP="007471A8">
      <w:pPr>
        <w:contextualSpacing/>
        <w:rPr>
          <w:u w:val="single"/>
        </w:rPr>
      </w:pPr>
      <w:r w:rsidRPr="00353139">
        <w:rPr>
          <w:u w:val="single"/>
        </w:rPr>
        <w:t>Description of Item</w:t>
      </w:r>
    </w:p>
    <w:p w:rsidR="00CC23CD" w:rsidRDefault="00CC23CD" w:rsidP="007471A8">
      <w:pPr>
        <w:contextualSpacing/>
      </w:pPr>
      <w:r w:rsidRPr="00353139">
        <w:t xml:space="preserve">The FBI requests </w:t>
      </w:r>
      <w:r>
        <w:t>44 positions (40 Agents and 4 Forensic Accountants) and $15,000,000 ($3,952,000 non-personnel) to combat</w:t>
      </w:r>
      <w:r w:rsidRPr="00353139">
        <w:t xml:space="preserve"> </w:t>
      </w:r>
      <w:r>
        <w:t>C</w:t>
      </w:r>
      <w:r w:rsidRPr="00353139">
        <w:t>orporate</w:t>
      </w:r>
      <w:r>
        <w:t xml:space="preserve"> Fraud, S</w:t>
      </w:r>
      <w:r w:rsidRPr="00353139">
        <w:t xml:space="preserve">ecurities and </w:t>
      </w:r>
      <w:r>
        <w:t>C</w:t>
      </w:r>
      <w:r w:rsidRPr="00353139">
        <w:t xml:space="preserve">ommodities </w:t>
      </w:r>
      <w:r>
        <w:t>Fraud, and Mortgage Fraud</w:t>
      </w:r>
      <w:r w:rsidRPr="00353139">
        <w:t>.</w:t>
      </w:r>
      <w:r>
        <w:t xml:space="preserve"> </w:t>
      </w:r>
      <w:r w:rsidRPr="00353139">
        <w:t xml:space="preserve"> The requested </w:t>
      </w:r>
      <w:r>
        <w:t>enhancement</w:t>
      </w:r>
      <w:r w:rsidRPr="00353139">
        <w:t xml:space="preserve"> will </w:t>
      </w:r>
      <w:r>
        <w:t>increase resources for investigating the highest impact Complex Financial Crime cases.</w:t>
      </w:r>
    </w:p>
    <w:p w:rsidR="00CC23CD" w:rsidRPr="00353139" w:rsidRDefault="00CC23CD" w:rsidP="007471A8">
      <w:pPr>
        <w:contextualSpacing/>
      </w:pPr>
    </w:p>
    <w:p w:rsidR="00CC23CD" w:rsidRPr="00353139" w:rsidRDefault="00CC23CD" w:rsidP="007471A8">
      <w:pPr>
        <w:contextualSpacing/>
        <w:rPr>
          <w:u w:val="single"/>
        </w:rPr>
      </w:pPr>
      <w:r w:rsidRPr="00353139">
        <w:rPr>
          <w:u w:val="single"/>
        </w:rPr>
        <w:t>Justification</w:t>
      </w:r>
    </w:p>
    <w:p w:rsidR="00CC23CD" w:rsidRPr="00413BAB" w:rsidRDefault="00CC23CD" w:rsidP="007471A8">
      <w:pPr>
        <w:contextualSpacing/>
        <w:outlineLvl w:val="0"/>
        <w:rPr>
          <w:i/>
        </w:rPr>
      </w:pPr>
      <w:r w:rsidRPr="00413BAB">
        <w:rPr>
          <w:bCs/>
          <w:i/>
        </w:rPr>
        <w:t>Threat Summary</w:t>
      </w:r>
    </w:p>
    <w:p w:rsidR="00CC23CD" w:rsidRDefault="00CC23CD" w:rsidP="007471A8">
      <w:pPr>
        <w:contextualSpacing/>
      </w:pPr>
      <w:r>
        <w:t xml:space="preserve">The housing and financial system collapse revealed a myriad of mortgage, corporate, and securities and commodities fraud schemes, costing Americans and world financial markets trillions of dollars.  </w:t>
      </w:r>
    </w:p>
    <w:p w:rsidR="00CC23CD" w:rsidRDefault="00CC23CD" w:rsidP="007471A8">
      <w:pPr>
        <w:contextualSpacing/>
        <w:rPr>
          <w:i/>
          <w:iCs/>
        </w:rPr>
      </w:pPr>
      <w:r>
        <w:t xml:space="preserve"> </w:t>
      </w:r>
    </w:p>
    <w:p w:rsidR="00CC23CD" w:rsidRDefault="00CC23CD" w:rsidP="007471A8">
      <w:pPr>
        <w:pStyle w:val="xl19"/>
        <w:tabs>
          <w:tab w:val="left" w:pos="3420"/>
          <w:tab w:val="right" w:pos="8640"/>
        </w:tabs>
        <w:spacing w:before="0" w:after="0"/>
        <w:contextualSpacing/>
      </w:pPr>
      <w:r>
        <w:rPr>
          <w:i/>
          <w:iCs/>
        </w:rPr>
        <w:t>Corporate Fraud</w:t>
      </w:r>
    </w:p>
    <w:p w:rsidR="00CC23CD" w:rsidRDefault="00564378" w:rsidP="007471A8">
      <w:pPr>
        <w:contextualSpacing/>
        <w:rPr>
          <w:color w:val="000000"/>
        </w:rPr>
      </w:pPr>
      <w:r w:rsidRPr="00353139">
        <w:rPr>
          <w:color w:val="000000"/>
        </w:rPr>
        <w:t>As the lead agency investigating corporate fraud, the FBI focuses</w:t>
      </w:r>
      <w:r>
        <w:rPr>
          <w:color w:val="000000"/>
        </w:rPr>
        <w:t xml:space="preserve"> </w:t>
      </w:r>
      <w:r w:rsidRPr="00353139">
        <w:rPr>
          <w:color w:val="000000"/>
        </w:rPr>
        <w:t>on cases that involve accounting schemes</w:t>
      </w:r>
      <w:r>
        <w:rPr>
          <w:color w:val="000000"/>
        </w:rPr>
        <w:t xml:space="preserve"> designed to deceive investors, auditors, and analysts about the true financial condition of a corporation</w:t>
      </w:r>
      <w:r w:rsidRPr="00353139">
        <w:rPr>
          <w:color w:val="000000"/>
        </w:rPr>
        <w:t>, self-dealing corporate executives, and</w:t>
      </w:r>
      <w:r>
        <w:rPr>
          <w:color w:val="000000"/>
        </w:rPr>
        <w:t xml:space="preserve"> </w:t>
      </w:r>
      <w:r w:rsidRPr="00353139">
        <w:rPr>
          <w:color w:val="000000"/>
        </w:rPr>
        <w:t>obstruction of justice</w:t>
      </w:r>
      <w:r>
        <w:rPr>
          <w:color w:val="000000"/>
        </w:rPr>
        <w:t xml:space="preserve">.  </w:t>
      </w:r>
      <w:r w:rsidR="00CC23CD">
        <w:rPr>
          <w:color w:val="000000"/>
        </w:rPr>
        <w:t>Through the manipulation of financial data, the share price of a corporation remains artificially inflated based on fictitious performance indicators provided to the investing public.  In addition to significant financial losses to investors, corporate fraud has the potential to cause immeasurable damage to the U.S. economy and investor confidence.  As of December 2011, FBI Field Offices had 761 investigations pending</w:t>
      </w:r>
      <w:r w:rsidR="00CC23CD" w:rsidRPr="003E0378">
        <w:rPr>
          <w:color w:val="000000"/>
        </w:rPr>
        <w:t xml:space="preserve"> </w:t>
      </w:r>
      <w:r w:rsidR="00CC23CD">
        <w:rPr>
          <w:color w:val="000000"/>
        </w:rPr>
        <w:t>in some form of corporate fraud.</w:t>
      </w:r>
    </w:p>
    <w:p w:rsidR="00CC23CD" w:rsidRDefault="00CC23CD" w:rsidP="007471A8">
      <w:pPr>
        <w:contextualSpacing/>
        <w:rPr>
          <w:color w:val="000000"/>
        </w:rPr>
      </w:pPr>
    </w:p>
    <w:p w:rsidR="00CC23CD" w:rsidRPr="00353139" w:rsidRDefault="00CC23CD" w:rsidP="007471A8">
      <w:pPr>
        <w:contextualSpacing/>
        <w:rPr>
          <w:color w:val="000000"/>
        </w:rPr>
      </w:pPr>
      <w:r w:rsidRPr="00353139">
        <w:rPr>
          <w:color w:val="000000"/>
        </w:rPr>
        <w:t xml:space="preserve">Examples of </w:t>
      </w:r>
      <w:r>
        <w:rPr>
          <w:color w:val="000000"/>
        </w:rPr>
        <w:t>c</w:t>
      </w:r>
      <w:r w:rsidRPr="00353139">
        <w:rPr>
          <w:color w:val="000000"/>
        </w:rPr>
        <w:t xml:space="preserve">orporate </w:t>
      </w:r>
      <w:r>
        <w:rPr>
          <w:color w:val="000000"/>
        </w:rPr>
        <w:t>f</w:t>
      </w:r>
      <w:r w:rsidRPr="00353139">
        <w:rPr>
          <w:color w:val="000000"/>
        </w:rPr>
        <w:t>raud include:</w:t>
      </w:r>
    </w:p>
    <w:p w:rsidR="00CC23CD" w:rsidRDefault="00CC23CD" w:rsidP="007471A8">
      <w:pPr>
        <w:ind w:left="360"/>
        <w:contextualSpacing/>
        <w:rPr>
          <w:color w:val="000000"/>
        </w:rPr>
      </w:pPr>
      <w:r w:rsidRPr="00353139">
        <w:rPr>
          <w:color w:val="000000"/>
        </w:rPr>
        <w:t>1. Falsification of financial information, including:</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False accounting entries</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Bogus trades designed to inflate profit or hide losses</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False transactions designed to evade regulatory oversight</w:t>
      </w:r>
    </w:p>
    <w:p w:rsidR="00CC23CD" w:rsidRDefault="00CC23CD" w:rsidP="007471A8">
      <w:pPr>
        <w:pStyle w:val="ListParagraph"/>
        <w:ind w:left="360"/>
        <w:contextualSpacing/>
        <w:rPr>
          <w:color w:val="000000"/>
        </w:rPr>
      </w:pPr>
    </w:p>
    <w:p w:rsidR="00CC23CD" w:rsidRDefault="00CC23CD" w:rsidP="007471A8">
      <w:pPr>
        <w:pStyle w:val="ListParagraph"/>
        <w:ind w:left="360"/>
        <w:contextualSpacing/>
        <w:rPr>
          <w:color w:val="000000"/>
        </w:rPr>
      </w:pPr>
      <w:r w:rsidRPr="00353139">
        <w:rPr>
          <w:color w:val="000000"/>
        </w:rPr>
        <w:t>2. Self-dealing by corporate insiders, including:</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 xml:space="preserve">Insider </w:t>
      </w:r>
      <w:r>
        <w:rPr>
          <w:color w:val="000000"/>
        </w:rPr>
        <w:t>t</w:t>
      </w:r>
      <w:r w:rsidRPr="00353139">
        <w:rPr>
          <w:color w:val="000000"/>
        </w:rPr>
        <w:t>rading</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Kickbacks</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 xml:space="preserve">Backdating of </w:t>
      </w:r>
      <w:r>
        <w:rPr>
          <w:color w:val="000000"/>
        </w:rPr>
        <w:t>e</w:t>
      </w:r>
      <w:r w:rsidRPr="00353139">
        <w:rPr>
          <w:color w:val="000000"/>
        </w:rPr>
        <w:t xml:space="preserve">xecutive </w:t>
      </w:r>
      <w:r>
        <w:rPr>
          <w:color w:val="000000"/>
        </w:rPr>
        <w:t>st</w:t>
      </w:r>
      <w:r w:rsidRPr="00353139">
        <w:rPr>
          <w:color w:val="000000"/>
        </w:rPr>
        <w:t xml:space="preserve">ock </w:t>
      </w:r>
      <w:r>
        <w:rPr>
          <w:color w:val="000000"/>
        </w:rPr>
        <w:t>o</w:t>
      </w:r>
      <w:r w:rsidRPr="00353139">
        <w:rPr>
          <w:color w:val="000000"/>
        </w:rPr>
        <w:t>ption</w:t>
      </w:r>
      <w:r>
        <w:rPr>
          <w:color w:val="000000"/>
        </w:rPr>
        <w:t>s</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Misuse of corporate property for personal gain</w:t>
      </w:r>
    </w:p>
    <w:p w:rsidR="00556483" w:rsidRDefault="00CC23CD" w:rsidP="00556483">
      <w:pPr>
        <w:pStyle w:val="ListParagraph"/>
        <w:numPr>
          <w:ilvl w:val="0"/>
          <w:numId w:val="41"/>
        </w:numPr>
        <w:autoSpaceDE w:val="0"/>
        <w:autoSpaceDN w:val="0"/>
        <w:adjustRightInd w:val="0"/>
        <w:ind w:left="1080"/>
        <w:contextualSpacing/>
        <w:rPr>
          <w:color w:val="000000"/>
        </w:rPr>
      </w:pPr>
      <w:r w:rsidRPr="00353139">
        <w:rPr>
          <w:color w:val="000000"/>
        </w:rPr>
        <w:t>Individual tax violations related to self-dealing</w:t>
      </w:r>
    </w:p>
    <w:p w:rsidR="00556483" w:rsidRDefault="00556483" w:rsidP="00556483">
      <w:pPr>
        <w:autoSpaceDE w:val="0"/>
        <w:autoSpaceDN w:val="0"/>
        <w:adjustRightInd w:val="0"/>
        <w:contextualSpacing/>
        <w:rPr>
          <w:color w:val="000000"/>
        </w:rPr>
      </w:pPr>
    </w:p>
    <w:p w:rsidR="00CC23CD" w:rsidRPr="00556483" w:rsidRDefault="00CC23CD" w:rsidP="00556483">
      <w:pPr>
        <w:autoSpaceDE w:val="0"/>
        <w:autoSpaceDN w:val="0"/>
        <w:adjustRightInd w:val="0"/>
        <w:ind w:left="360"/>
        <w:contextualSpacing/>
        <w:rPr>
          <w:color w:val="000000"/>
        </w:rPr>
      </w:pPr>
      <w:r w:rsidRPr="00556483">
        <w:rPr>
          <w:color w:val="000000"/>
        </w:rPr>
        <w:t>3. Fraud in connection with an otherwise legitimately-operated mutual or hedge fund, including:</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 xml:space="preserve">Late </w:t>
      </w:r>
      <w:r>
        <w:rPr>
          <w:color w:val="000000"/>
        </w:rPr>
        <w:t>t</w:t>
      </w:r>
      <w:r w:rsidRPr="00353139">
        <w:rPr>
          <w:color w:val="000000"/>
        </w:rPr>
        <w:t>rading</w:t>
      </w:r>
    </w:p>
    <w:p w:rsidR="00CC23CD" w:rsidRDefault="00CC23CD" w:rsidP="007471A8">
      <w:pPr>
        <w:pStyle w:val="ListParagraph"/>
        <w:numPr>
          <w:ilvl w:val="0"/>
          <w:numId w:val="41"/>
        </w:numPr>
        <w:autoSpaceDE w:val="0"/>
        <w:autoSpaceDN w:val="0"/>
        <w:adjustRightInd w:val="0"/>
        <w:ind w:left="1080"/>
        <w:contextualSpacing/>
        <w:rPr>
          <w:color w:val="000000"/>
        </w:rPr>
      </w:pPr>
      <w:r>
        <w:rPr>
          <w:color w:val="000000"/>
        </w:rPr>
        <w:t>M</w:t>
      </w:r>
      <w:r w:rsidRPr="00353139">
        <w:rPr>
          <w:color w:val="000000"/>
        </w:rPr>
        <w:t>arket timing schemes</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Falsification of net asset values</w:t>
      </w:r>
    </w:p>
    <w:p w:rsidR="00CC23CD" w:rsidRDefault="00CC23CD" w:rsidP="007471A8">
      <w:pPr>
        <w:pStyle w:val="ListParagraph"/>
        <w:numPr>
          <w:ilvl w:val="0"/>
          <w:numId w:val="41"/>
        </w:numPr>
        <w:autoSpaceDE w:val="0"/>
        <w:autoSpaceDN w:val="0"/>
        <w:adjustRightInd w:val="0"/>
        <w:ind w:left="1080"/>
        <w:contextualSpacing/>
        <w:rPr>
          <w:color w:val="000000"/>
        </w:rPr>
      </w:pPr>
      <w:r w:rsidRPr="00353139">
        <w:rPr>
          <w:color w:val="000000"/>
        </w:rPr>
        <w:t>Other fraudulent or abusive trading practices by, within, or involving a mutual or hedge fund</w:t>
      </w:r>
    </w:p>
    <w:p w:rsidR="00CC23CD" w:rsidRDefault="00CC23CD" w:rsidP="007471A8">
      <w:pPr>
        <w:pStyle w:val="ListParagraph"/>
        <w:ind w:left="1080"/>
        <w:contextualSpacing/>
        <w:rPr>
          <w:color w:val="000000"/>
        </w:rPr>
      </w:pPr>
    </w:p>
    <w:p w:rsidR="00CC23CD" w:rsidRDefault="00CC23CD" w:rsidP="007471A8">
      <w:pPr>
        <w:ind w:left="360"/>
        <w:contextualSpacing/>
        <w:rPr>
          <w:color w:val="000000"/>
        </w:rPr>
      </w:pPr>
      <w:r w:rsidRPr="00353139">
        <w:rPr>
          <w:color w:val="000000"/>
        </w:rPr>
        <w:lastRenderedPageBreak/>
        <w:t>4. Obstruction of justice designed to conceal any of the above-noted types of</w:t>
      </w:r>
      <w:r>
        <w:rPr>
          <w:color w:val="000000"/>
        </w:rPr>
        <w:t xml:space="preserve"> </w:t>
      </w:r>
      <w:r w:rsidRPr="00353139">
        <w:rPr>
          <w:color w:val="000000"/>
        </w:rPr>
        <w:t>criminal conduct, particularly when the obstruction impedes the inquiries of the</w:t>
      </w:r>
      <w:r>
        <w:rPr>
          <w:color w:val="000000"/>
        </w:rPr>
        <w:t xml:space="preserve"> </w:t>
      </w:r>
      <w:r w:rsidRPr="00353139">
        <w:rPr>
          <w:color w:val="000000"/>
        </w:rPr>
        <w:t>Securities and Exchange Commission (SEC), other regulatory agencies, and/or</w:t>
      </w:r>
      <w:r>
        <w:rPr>
          <w:color w:val="000000"/>
        </w:rPr>
        <w:t xml:space="preserve"> </w:t>
      </w:r>
      <w:r w:rsidRPr="00353139">
        <w:rPr>
          <w:color w:val="000000"/>
        </w:rPr>
        <w:t>law enforcement agencies.</w:t>
      </w:r>
    </w:p>
    <w:p w:rsidR="00CC23CD" w:rsidRDefault="00CC23CD" w:rsidP="007471A8">
      <w:pPr>
        <w:contextualSpacing/>
        <w:rPr>
          <w:color w:val="000000"/>
        </w:rPr>
      </w:pPr>
    </w:p>
    <w:p w:rsidR="00CC23CD" w:rsidRDefault="00CC23CD" w:rsidP="007471A8">
      <w:pPr>
        <w:ind w:left="360"/>
        <w:contextualSpacing/>
        <w:rPr>
          <w:color w:val="000000"/>
        </w:rPr>
      </w:pPr>
      <w:r w:rsidRPr="008359C3">
        <w:rPr>
          <w:color w:val="000000"/>
        </w:rPr>
        <w:t xml:space="preserve">Insider trading continues to pose a serious threat to the U.S. </w:t>
      </w:r>
      <w:r>
        <w:rPr>
          <w:color w:val="000000"/>
        </w:rPr>
        <w:t>f</w:t>
      </w:r>
      <w:r w:rsidRPr="008359C3">
        <w:rPr>
          <w:color w:val="000000"/>
        </w:rPr>
        <w:t xml:space="preserve">inancial </w:t>
      </w:r>
      <w:r>
        <w:rPr>
          <w:color w:val="000000"/>
        </w:rPr>
        <w:t>m</w:t>
      </w:r>
      <w:r w:rsidRPr="008359C3">
        <w:rPr>
          <w:color w:val="000000"/>
        </w:rPr>
        <w:t>arkets.</w:t>
      </w:r>
      <w:r>
        <w:rPr>
          <w:color w:val="000000"/>
        </w:rPr>
        <w:t xml:space="preserve">  </w:t>
      </w:r>
      <w:r w:rsidRPr="008359C3">
        <w:rPr>
          <w:color w:val="000000"/>
        </w:rPr>
        <w:t xml:space="preserve"> Through national</w:t>
      </w:r>
      <w:r>
        <w:rPr>
          <w:color w:val="000000"/>
        </w:rPr>
        <w:t>-</w:t>
      </w:r>
      <w:r w:rsidRPr="008359C3">
        <w:rPr>
          <w:color w:val="000000"/>
        </w:rPr>
        <w:t>level coordination, the FBI strive</w:t>
      </w:r>
      <w:r>
        <w:rPr>
          <w:color w:val="000000"/>
        </w:rPr>
        <w:t>s</w:t>
      </w:r>
      <w:r w:rsidRPr="008359C3">
        <w:rPr>
          <w:color w:val="000000"/>
        </w:rPr>
        <w:t xml:space="preserve"> to protect the fair and orderly operation of the U.S. financial markets</w:t>
      </w:r>
      <w:r>
        <w:rPr>
          <w:color w:val="000000"/>
        </w:rPr>
        <w:t xml:space="preserve"> and </w:t>
      </w:r>
      <w:r w:rsidRPr="008359C3">
        <w:rPr>
          <w:color w:val="000000"/>
        </w:rPr>
        <w:t>help maintain public trust in the financial markets</w:t>
      </w:r>
      <w:r>
        <w:rPr>
          <w:color w:val="000000"/>
        </w:rPr>
        <w:t xml:space="preserve"> and</w:t>
      </w:r>
      <w:r w:rsidRPr="008359C3">
        <w:rPr>
          <w:color w:val="000000"/>
        </w:rPr>
        <w:t xml:space="preserve"> the financial system</w:t>
      </w:r>
      <w:r>
        <w:rPr>
          <w:color w:val="000000"/>
        </w:rPr>
        <w:t xml:space="preserve"> as a whole</w:t>
      </w:r>
      <w:r w:rsidRPr="008359C3">
        <w:rPr>
          <w:color w:val="000000"/>
        </w:rPr>
        <w:t xml:space="preserve">.  These efforts have led to more than a </w:t>
      </w:r>
      <w:r>
        <w:rPr>
          <w:color w:val="000000"/>
        </w:rPr>
        <w:t>54</w:t>
      </w:r>
      <w:r w:rsidRPr="008359C3">
        <w:rPr>
          <w:color w:val="000000"/>
        </w:rPr>
        <w:t xml:space="preserve"> percent increase in </w:t>
      </w:r>
      <w:r>
        <w:rPr>
          <w:color w:val="000000"/>
        </w:rPr>
        <w:t>i</w:t>
      </w:r>
      <w:r w:rsidRPr="008359C3">
        <w:rPr>
          <w:color w:val="000000"/>
        </w:rPr>
        <w:t xml:space="preserve">nsider </w:t>
      </w:r>
      <w:r>
        <w:rPr>
          <w:color w:val="000000"/>
        </w:rPr>
        <w:t>t</w:t>
      </w:r>
      <w:r w:rsidRPr="008359C3">
        <w:rPr>
          <w:color w:val="000000"/>
        </w:rPr>
        <w:t xml:space="preserve">rading cases from October 2010 to </w:t>
      </w:r>
      <w:r>
        <w:rPr>
          <w:color w:val="000000"/>
        </w:rPr>
        <w:t>December</w:t>
      </w:r>
      <w:r w:rsidRPr="008359C3">
        <w:rPr>
          <w:color w:val="000000"/>
        </w:rPr>
        <w:t xml:space="preserve"> 2011</w:t>
      </w:r>
      <w:r>
        <w:rPr>
          <w:color w:val="000000"/>
        </w:rPr>
        <w:t>,</w:t>
      </w:r>
      <w:r w:rsidRPr="008359C3">
        <w:rPr>
          <w:color w:val="000000"/>
        </w:rPr>
        <w:t xml:space="preserve"> and a historic success with the recent ongoing </w:t>
      </w:r>
      <w:r>
        <w:rPr>
          <w:color w:val="000000"/>
        </w:rPr>
        <w:t>i</w:t>
      </w:r>
      <w:r w:rsidRPr="008359C3">
        <w:rPr>
          <w:color w:val="000000"/>
        </w:rPr>
        <w:t xml:space="preserve">nsider </w:t>
      </w:r>
      <w:r>
        <w:rPr>
          <w:color w:val="000000"/>
        </w:rPr>
        <w:t>t</w:t>
      </w:r>
      <w:r w:rsidRPr="008359C3">
        <w:rPr>
          <w:color w:val="000000"/>
        </w:rPr>
        <w:t>rading probe</w:t>
      </w:r>
      <w:r>
        <w:rPr>
          <w:color w:val="000000"/>
        </w:rPr>
        <w:t>.</w:t>
      </w:r>
    </w:p>
    <w:p w:rsidR="00CC23CD" w:rsidRDefault="00CC23CD" w:rsidP="007471A8">
      <w:pPr>
        <w:ind w:left="360"/>
        <w:contextualSpacing/>
        <w:rPr>
          <w:color w:val="000000"/>
        </w:rPr>
      </w:pPr>
      <w:r>
        <w:rPr>
          <w:color w:val="000000"/>
        </w:rPr>
        <w:t xml:space="preserve"> </w:t>
      </w:r>
    </w:p>
    <w:p w:rsidR="00842C48" w:rsidRDefault="00842C48" w:rsidP="007471A8">
      <w:pPr>
        <w:contextualSpacing/>
        <w:rPr>
          <w:color w:val="000000"/>
        </w:rPr>
      </w:pPr>
      <w:r w:rsidRPr="00353139">
        <w:rPr>
          <w:color w:val="000000"/>
        </w:rPr>
        <w:t xml:space="preserve">The following charts represent the rise in </w:t>
      </w:r>
      <w:r>
        <w:rPr>
          <w:color w:val="000000"/>
        </w:rPr>
        <w:t>c</w:t>
      </w:r>
      <w:r w:rsidRPr="00353139">
        <w:rPr>
          <w:color w:val="000000"/>
        </w:rPr>
        <w:t xml:space="preserve">orporate </w:t>
      </w:r>
      <w:r>
        <w:rPr>
          <w:color w:val="000000"/>
        </w:rPr>
        <w:t>f</w:t>
      </w:r>
      <w:r w:rsidRPr="00353139">
        <w:rPr>
          <w:color w:val="000000"/>
        </w:rPr>
        <w:t>raud matters and the corresponding increase in success against the crime proble</w:t>
      </w:r>
      <w:r>
        <w:rPr>
          <w:color w:val="000000"/>
        </w:rPr>
        <w:t>m.  The requested resources will be used to address this corporate fraud case requirement.</w:t>
      </w:r>
    </w:p>
    <w:p w:rsidR="00842C48" w:rsidRDefault="00842C48" w:rsidP="007471A8">
      <w:pPr>
        <w:contextualSpacing/>
        <w:rPr>
          <w:color w:val="000000"/>
        </w:rPr>
      </w:pPr>
    </w:p>
    <w:p w:rsidR="00842C48" w:rsidRDefault="00C5457C" w:rsidP="007471A8">
      <w:pPr>
        <w:contextualSpacing/>
        <w:jc w:val="center"/>
        <w:rPr>
          <w:color w:val="000000"/>
        </w:rPr>
      </w:pPr>
      <w:r>
        <w:rPr>
          <w:noProof/>
        </w:rPr>
        <w:drawing>
          <wp:inline distT="0" distB="0" distL="0" distR="0">
            <wp:extent cx="4580255" cy="275145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580255" cy="2751455"/>
                    </a:xfrm>
                    <a:prstGeom prst="rect">
                      <a:avLst/>
                    </a:prstGeom>
                    <a:noFill/>
                    <a:ln w="9525">
                      <a:noFill/>
                      <a:miter lim="800000"/>
                      <a:headEnd/>
                      <a:tailEnd/>
                    </a:ln>
                  </pic:spPr>
                </pic:pic>
              </a:graphicData>
            </a:graphic>
          </wp:inline>
        </w:drawing>
      </w:r>
    </w:p>
    <w:p w:rsidR="00842C48" w:rsidRDefault="00842C48" w:rsidP="007471A8">
      <w:pPr>
        <w:contextualSpacing/>
        <w:rPr>
          <w:color w:val="000000"/>
        </w:rPr>
      </w:pPr>
    </w:p>
    <w:p w:rsidR="00842C48" w:rsidRDefault="00842C48" w:rsidP="007471A8">
      <w:pPr>
        <w:contextualSpacing/>
        <w:rPr>
          <w:color w:val="000000"/>
          <w:sz w:val="20"/>
          <w:szCs w:val="20"/>
        </w:rPr>
      </w:pPr>
      <w:r w:rsidRPr="00B86121">
        <w:rPr>
          <w:color w:val="000000"/>
          <w:sz w:val="20"/>
          <w:szCs w:val="20"/>
        </w:rPr>
        <w:t>Note:  The above chart shows the caseload as a snapshot in time for each fiscal year.  FY 2012 Caseload data is as of 12/31/2011.</w:t>
      </w:r>
    </w:p>
    <w:p w:rsidR="00842C48" w:rsidRDefault="00842C48" w:rsidP="007471A8">
      <w:pPr>
        <w:contextualSpacing/>
        <w:rPr>
          <w:color w:val="000000"/>
          <w:sz w:val="20"/>
          <w:szCs w:val="20"/>
        </w:rPr>
      </w:pPr>
    </w:p>
    <w:p w:rsidR="00842C48" w:rsidRDefault="00C5457C" w:rsidP="007471A8">
      <w:pPr>
        <w:contextualSpacing/>
        <w:jc w:val="center"/>
        <w:rPr>
          <w:color w:val="000000"/>
          <w:sz w:val="20"/>
          <w:szCs w:val="20"/>
        </w:rPr>
      </w:pPr>
      <w:r>
        <w:rPr>
          <w:noProof/>
          <w:szCs w:val="20"/>
        </w:rPr>
        <w:lastRenderedPageBreak/>
        <w:drawing>
          <wp:inline distT="0" distB="0" distL="0" distR="0">
            <wp:extent cx="5136515" cy="302958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136515" cy="3029585"/>
                    </a:xfrm>
                    <a:prstGeom prst="rect">
                      <a:avLst/>
                    </a:prstGeom>
                    <a:noFill/>
                    <a:ln w="9525">
                      <a:noFill/>
                      <a:miter lim="800000"/>
                      <a:headEnd/>
                      <a:tailEnd/>
                    </a:ln>
                  </pic:spPr>
                </pic:pic>
              </a:graphicData>
            </a:graphic>
          </wp:inline>
        </w:drawing>
      </w:r>
    </w:p>
    <w:p w:rsidR="00842C48" w:rsidRPr="00622DEB" w:rsidRDefault="00842C48" w:rsidP="007471A8">
      <w:pPr>
        <w:contextualSpacing/>
        <w:rPr>
          <w:color w:val="000000"/>
          <w:sz w:val="20"/>
          <w:szCs w:val="20"/>
        </w:rPr>
      </w:pPr>
      <w:r>
        <w:rPr>
          <w:color w:val="000000"/>
          <w:sz w:val="20"/>
          <w:szCs w:val="20"/>
        </w:rPr>
        <w:t>Note:  FY 2012 accomplishment data is as of 2/1/2012.</w:t>
      </w:r>
    </w:p>
    <w:p w:rsidR="00842C48" w:rsidRDefault="00842C48" w:rsidP="007471A8">
      <w:pPr>
        <w:contextualSpacing/>
        <w:rPr>
          <w:color w:val="000000"/>
        </w:rPr>
      </w:pPr>
    </w:p>
    <w:p w:rsidR="00CC23CD" w:rsidRDefault="00CC23CD" w:rsidP="007471A8">
      <w:pPr>
        <w:contextualSpacing/>
        <w:rPr>
          <w:u w:val="single"/>
        </w:rPr>
      </w:pPr>
      <w:r>
        <w:rPr>
          <w:i/>
          <w:iCs/>
        </w:rPr>
        <w:t>Securities and Commodities Fraud</w:t>
      </w:r>
    </w:p>
    <w:p w:rsidR="00CC23CD" w:rsidRDefault="00CC23CD" w:rsidP="007471A8">
      <w:pPr>
        <w:contextualSpacing/>
      </w:pPr>
      <w:r>
        <w:t xml:space="preserve">Estimated losses due to securities and commodities fraud are measured in the tens of billions of dollars per year, and are associated with decreased market value of businesses, reduced or non-existent return on investments, and legal and investigative costs.  The victims of securities and commodities frauds include individual investors, financial institutions, public and private companies, government entities, and retirement funds.  </w:t>
      </w:r>
    </w:p>
    <w:p w:rsidR="00CC23CD" w:rsidRDefault="00CC23CD" w:rsidP="007471A8">
      <w:pPr>
        <w:contextualSpacing/>
      </w:pPr>
    </w:p>
    <w:p w:rsidR="00564378" w:rsidRDefault="00564378" w:rsidP="007471A8">
      <w:pPr>
        <w:contextualSpacing/>
        <w:rPr>
          <w:color w:val="000000"/>
        </w:rPr>
      </w:pPr>
      <w:r w:rsidRPr="00353139">
        <w:rPr>
          <w:color w:val="000000"/>
        </w:rPr>
        <w:t>The FBI has adopted an intelligence-led proactive approach to identify and target the</w:t>
      </w:r>
      <w:r>
        <w:rPr>
          <w:color w:val="000000"/>
        </w:rPr>
        <w:t xml:space="preserve"> </w:t>
      </w:r>
      <w:r w:rsidRPr="00353139">
        <w:rPr>
          <w:color w:val="000000"/>
        </w:rPr>
        <w:t xml:space="preserve">most egregious perpetrators of securities fraud, utilizing sophisticated techniques such as undercover operations to identify and stop perpetrators before they are able to victimize individuals and damage </w:t>
      </w:r>
      <w:r>
        <w:rPr>
          <w:color w:val="000000"/>
        </w:rPr>
        <w:t>U.S. f</w:t>
      </w:r>
      <w:r w:rsidRPr="00353139">
        <w:rPr>
          <w:color w:val="000000"/>
        </w:rPr>
        <w:t xml:space="preserve">inancial </w:t>
      </w:r>
      <w:r>
        <w:rPr>
          <w:color w:val="000000"/>
        </w:rPr>
        <w:t>m</w:t>
      </w:r>
      <w:r w:rsidRPr="00353139">
        <w:rPr>
          <w:color w:val="000000"/>
        </w:rPr>
        <w:t>arkets</w:t>
      </w:r>
      <w:r>
        <w:rPr>
          <w:color w:val="000000"/>
        </w:rPr>
        <w:t xml:space="preserve">.  </w:t>
      </w:r>
      <w:r w:rsidRPr="00353139">
        <w:rPr>
          <w:color w:val="000000"/>
        </w:rPr>
        <w:t>In furtherance of this</w:t>
      </w:r>
      <w:r>
        <w:rPr>
          <w:color w:val="000000"/>
        </w:rPr>
        <w:t xml:space="preserve"> threat-focused</w:t>
      </w:r>
      <w:r w:rsidRPr="00353139">
        <w:rPr>
          <w:color w:val="000000"/>
        </w:rPr>
        <w:t xml:space="preserve"> approach, it is imperative to have timely access to actionable information and intelligence.</w:t>
      </w:r>
      <w:r>
        <w:rPr>
          <w:color w:val="000000"/>
        </w:rPr>
        <w:t xml:space="preserve"> </w:t>
      </w:r>
      <w:r w:rsidRPr="00353139">
        <w:rPr>
          <w:color w:val="000000"/>
        </w:rPr>
        <w:t xml:space="preserve"> This information and intelligence is often held by other partner regulatory and law enforcement agencies.  It is crucial to </w:t>
      </w:r>
      <w:r>
        <w:rPr>
          <w:color w:val="000000"/>
        </w:rPr>
        <w:t>the FBI’s</w:t>
      </w:r>
      <w:r w:rsidRPr="00353139">
        <w:rPr>
          <w:color w:val="000000"/>
        </w:rPr>
        <w:t xml:space="preserve"> mission to place agents and</w:t>
      </w:r>
      <w:r>
        <w:rPr>
          <w:color w:val="000000"/>
        </w:rPr>
        <w:t xml:space="preserve"> </w:t>
      </w:r>
      <w:r w:rsidRPr="00353139">
        <w:rPr>
          <w:color w:val="000000"/>
        </w:rPr>
        <w:t xml:space="preserve">analysts with strategic partners to improve the speed of intelligence received so the FBI can move pro-actively against these threats.  As such, the FBI has successfully detailed an agent to the SEC and </w:t>
      </w:r>
      <w:r w:rsidR="00233A47">
        <w:rPr>
          <w:color w:val="000000"/>
        </w:rPr>
        <w:t>the Special Inspector General of the Troubled Asset Relief Program (</w:t>
      </w:r>
      <w:r w:rsidRPr="00353139">
        <w:rPr>
          <w:color w:val="000000"/>
        </w:rPr>
        <w:t>SIGTARP</w:t>
      </w:r>
      <w:r w:rsidR="00233A47">
        <w:rPr>
          <w:color w:val="000000"/>
        </w:rPr>
        <w:t>)</w:t>
      </w:r>
      <w:r w:rsidRPr="00353139">
        <w:rPr>
          <w:color w:val="000000"/>
        </w:rPr>
        <w:t xml:space="preserve"> and is working to detail agents</w:t>
      </w:r>
      <w:r>
        <w:rPr>
          <w:color w:val="000000"/>
        </w:rPr>
        <w:t xml:space="preserve"> and </w:t>
      </w:r>
      <w:r w:rsidRPr="00353139">
        <w:rPr>
          <w:color w:val="000000"/>
        </w:rPr>
        <w:t>analysts</w:t>
      </w:r>
      <w:r>
        <w:rPr>
          <w:color w:val="000000"/>
        </w:rPr>
        <w:t xml:space="preserve"> to</w:t>
      </w:r>
      <w:r w:rsidRPr="00353139">
        <w:rPr>
          <w:color w:val="000000"/>
        </w:rPr>
        <w:t xml:space="preserve"> the Commodity Futures Trading Commission.</w:t>
      </w:r>
    </w:p>
    <w:p w:rsidR="00564378" w:rsidRDefault="00564378" w:rsidP="007471A8">
      <w:pPr>
        <w:contextualSpacing/>
      </w:pPr>
    </w:p>
    <w:p w:rsidR="00CC23CD" w:rsidRDefault="00CC23CD" w:rsidP="007471A8">
      <w:pPr>
        <w:contextualSpacing/>
      </w:pPr>
      <w:r>
        <w:t>Based on current trends, the FBI anticipates an increase in the volume of fraud investigations pertaining to high-yield investment frauds, or “</w:t>
      </w:r>
      <w:proofErr w:type="spellStart"/>
      <w:r>
        <w:t>Ponzi</w:t>
      </w:r>
      <w:proofErr w:type="spellEnd"/>
      <w:r>
        <w:t xml:space="preserve"> schemes.”  High-yield investment frauds survive by utilizing new investment money from new investors to pay returns to previous investors.  As markets fluctuate and economic conditions adjust, investors limit or stop investing and often request pay outs from their investment portfolio.  As a result, </w:t>
      </w:r>
      <w:proofErr w:type="spellStart"/>
      <w:r>
        <w:t>Ponzi</w:t>
      </w:r>
      <w:proofErr w:type="spellEnd"/>
      <w:r>
        <w:t xml:space="preserve"> schemes are exposed when the perpetrators do not have the funds available to pay the investors.  The collapse of </w:t>
      </w:r>
      <w:proofErr w:type="spellStart"/>
      <w:r>
        <w:t>Ponzi</w:t>
      </w:r>
      <w:proofErr w:type="spellEnd"/>
      <w:r>
        <w:t xml:space="preserve"> schemes can have a dramatic impact on investors and financial markets.  </w:t>
      </w:r>
    </w:p>
    <w:p w:rsidR="00564378" w:rsidRDefault="00564378" w:rsidP="007471A8">
      <w:pPr>
        <w:contextualSpacing/>
      </w:pPr>
    </w:p>
    <w:p w:rsidR="00CC23CD" w:rsidRDefault="00CC23CD" w:rsidP="007471A8">
      <w:pPr>
        <w:contextualSpacing/>
      </w:pPr>
      <w:r>
        <w:t xml:space="preserve">Securities fraud continues to spread globally as markets widen and barriers to international business are surpassed.  With the globalization of markets, the FBI has seen the use of reverse mergers by foreign entities to gain access to trading markets and subsequent “pump and dump” manipulation schemes that victimize U.S. investors.  Given the nature of the criminal actors and their location, investigations are </w:t>
      </w:r>
      <w:r>
        <w:lastRenderedPageBreak/>
        <w:t xml:space="preserve">increasingly complex and resource intensive.  </w:t>
      </w:r>
      <w:r w:rsidRPr="000A62AD">
        <w:t xml:space="preserve">The FBI has already noted that fraudulent foreign firms entering </w:t>
      </w:r>
      <w:r>
        <w:t>U.S.</w:t>
      </w:r>
      <w:r w:rsidRPr="000A62AD">
        <w:t xml:space="preserve"> markets are using reverse mergers to avoid regulatory and auditor scrutiny.  The SEC has already halted trading of several China</w:t>
      </w:r>
      <w:r>
        <w:t>-</w:t>
      </w:r>
      <w:r w:rsidRPr="000A62AD">
        <w:t>based issuers</w:t>
      </w:r>
      <w:r>
        <w:t xml:space="preserve">.  The SEC </w:t>
      </w:r>
      <w:r w:rsidRPr="000A62AD">
        <w:t>assess</w:t>
      </w:r>
      <w:r>
        <w:t>es</w:t>
      </w:r>
      <w:r w:rsidRPr="000A62AD">
        <w:t xml:space="preserve"> the market cap exposure to be in the billions</w:t>
      </w:r>
      <w:r>
        <w:t xml:space="preserve"> of dollars</w:t>
      </w:r>
      <w:r w:rsidRPr="000A62AD">
        <w:t xml:space="preserve"> with a significant amount of these companies currently traded on the NASDAQ stock exchange. </w:t>
      </w:r>
      <w:r>
        <w:t xml:space="preserve"> </w:t>
      </w:r>
      <w:r w:rsidRPr="000A62AD">
        <w:t xml:space="preserve">Over the last five years, </w:t>
      </w:r>
      <w:r>
        <w:t xml:space="preserve">FBI </w:t>
      </w:r>
      <w:r w:rsidRPr="000A62AD">
        <w:t xml:space="preserve">securities fraud investigations have increased by </w:t>
      </w:r>
      <w:r>
        <w:t>55</w:t>
      </w:r>
      <w:r w:rsidRPr="000A62AD">
        <w:t xml:space="preserve"> percent and show an increasing threat.  </w:t>
      </w:r>
    </w:p>
    <w:p w:rsidR="00564378" w:rsidRDefault="00C5457C" w:rsidP="007471A8">
      <w:pPr>
        <w:contextualSpacing/>
        <w:jc w:val="center"/>
        <w:rPr>
          <w:color w:val="000000"/>
        </w:rPr>
      </w:pPr>
      <w:r>
        <w:rPr>
          <w:noProof/>
        </w:rPr>
        <w:drawing>
          <wp:inline distT="0" distB="0" distL="0" distR="0">
            <wp:extent cx="4580255" cy="275145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4580255" cy="2751455"/>
                    </a:xfrm>
                    <a:prstGeom prst="rect">
                      <a:avLst/>
                    </a:prstGeom>
                    <a:noFill/>
                    <a:ln w="9525">
                      <a:noFill/>
                      <a:miter lim="800000"/>
                      <a:headEnd/>
                      <a:tailEnd/>
                    </a:ln>
                  </pic:spPr>
                </pic:pic>
              </a:graphicData>
            </a:graphic>
          </wp:inline>
        </w:drawing>
      </w:r>
    </w:p>
    <w:p w:rsidR="00564378" w:rsidRDefault="00564378" w:rsidP="007471A8">
      <w:pPr>
        <w:contextualSpacing/>
        <w:rPr>
          <w:color w:val="000000"/>
          <w:sz w:val="20"/>
          <w:szCs w:val="20"/>
        </w:rPr>
      </w:pPr>
      <w:r w:rsidRPr="00533B7C">
        <w:rPr>
          <w:color w:val="000000"/>
          <w:sz w:val="20"/>
          <w:szCs w:val="20"/>
        </w:rPr>
        <w:t>Note:  The above chart shows the caseload as a snapshot in time for each fiscal year.  FY 2012 Caseload data is as of 12/31/2011.</w:t>
      </w:r>
    </w:p>
    <w:p w:rsidR="00564378" w:rsidRDefault="00C5457C" w:rsidP="007471A8">
      <w:pPr>
        <w:contextualSpacing/>
        <w:jc w:val="center"/>
        <w:rPr>
          <w:color w:val="000000"/>
        </w:rPr>
      </w:pPr>
      <w:r>
        <w:rPr>
          <w:noProof/>
        </w:rPr>
        <w:drawing>
          <wp:inline distT="0" distB="0" distL="0" distR="0">
            <wp:extent cx="5136515" cy="3029585"/>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5136515" cy="3029585"/>
                    </a:xfrm>
                    <a:prstGeom prst="rect">
                      <a:avLst/>
                    </a:prstGeom>
                    <a:noFill/>
                    <a:ln w="9525">
                      <a:noFill/>
                      <a:miter lim="800000"/>
                      <a:headEnd/>
                      <a:tailEnd/>
                    </a:ln>
                  </pic:spPr>
                </pic:pic>
              </a:graphicData>
            </a:graphic>
          </wp:inline>
        </w:drawing>
      </w:r>
    </w:p>
    <w:p w:rsidR="00564378" w:rsidRPr="00533B7C" w:rsidRDefault="00564378" w:rsidP="007471A8">
      <w:pPr>
        <w:contextualSpacing/>
        <w:rPr>
          <w:color w:val="000000"/>
          <w:sz w:val="20"/>
          <w:szCs w:val="20"/>
        </w:rPr>
      </w:pPr>
      <w:r>
        <w:rPr>
          <w:color w:val="000000"/>
          <w:sz w:val="20"/>
          <w:szCs w:val="20"/>
        </w:rPr>
        <w:t>Note:  FY 2012 accomplishment data is as of 2/1/2012.</w:t>
      </w:r>
    </w:p>
    <w:p w:rsidR="004E63AB" w:rsidRDefault="004E63AB" w:rsidP="007471A8">
      <w:pPr>
        <w:contextualSpacing/>
        <w:rPr>
          <w:i/>
          <w:iCs/>
        </w:rPr>
      </w:pPr>
    </w:p>
    <w:p w:rsidR="00CC23CD" w:rsidRDefault="00CC23CD" w:rsidP="007471A8">
      <w:pPr>
        <w:contextualSpacing/>
        <w:rPr>
          <w:i/>
          <w:iCs/>
        </w:rPr>
      </w:pPr>
      <w:r>
        <w:rPr>
          <w:i/>
          <w:iCs/>
        </w:rPr>
        <w:t xml:space="preserve">Mortgage Fraud </w:t>
      </w:r>
    </w:p>
    <w:p w:rsidR="00CC23CD" w:rsidRPr="00E26349" w:rsidRDefault="00CC23CD" w:rsidP="007471A8">
      <w:pPr>
        <w:contextualSpacing/>
      </w:pPr>
      <w:r>
        <w:t xml:space="preserve">Mortgage fraud and the associated sub-prime corporate fraud in particular have been on the rise since 2005.  With the stagnant economic climate in the </w:t>
      </w:r>
      <w:r w:rsidR="00C90C45">
        <w:t>U.S.</w:t>
      </w:r>
      <w:r>
        <w:t xml:space="preserve">, it is anticipated that white collar criminal activity will continue to require FBI investigation.  </w:t>
      </w:r>
    </w:p>
    <w:p w:rsidR="00CC23CD" w:rsidRDefault="00CC23CD" w:rsidP="007471A8">
      <w:pPr>
        <w:contextualSpacing/>
        <w:rPr>
          <w:highlight w:val="yellow"/>
        </w:rPr>
      </w:pPr>
    </w:p>
    <w:p w:rsidR="00CC23CD" w:rsidRDefault="00CC23CD" w:rsidP="007471A8">
      <w:pPr>
        <w:contextualSpacing/>
      </w:pPr>
      <w:r>
        <w:t>At the start of 2</w:t>
      </w:r>
      <w:r w:rsidRPr="00BD42EA">
        <w:rPr>
          <w:vertAlign w:val="superscript"/>
        </w:rPr>
        <w:t>nd</w:t>
      </w:r>
      <w:r>
        <w:t xml:space="preserve"> Quarter FY 2012, approximately 72 percent of the FBI’s 2,590 mortgage fraud cases involved losses exceeding $1 million per case.   The FBI received over 93,000 Suspicious Activity </w:t>
      </w:r>
      <w:r>
        <w:lastRenderedPageBreak/>
        <w:t xml:space="preserve">Reports (SAR) in FY 2011, the highest number ever.  FBI intelligence predicts mortgage fraud will remain at elevated levels during FY 2012, due in significant part to an increase in fraud targeting distressed homeowners; foreclosure actions, which are the best predictor of distressed homeowner fraud, are predicted by industry analyst </w:t>
      </w:r>
      <w:proofErr w:type="spellStart"/>
      <w:r>
        <w:t>RealtyTrac</w:t>
      </w:r>
      <w:proofErr w:type="spellEnd"/>
      <w:r>
        <w:t xml:space="preserve"> to remain at elevated levels for the foreseeable future.   </w:t>
      </w:r>
    </w:p>
    <w:p w:rsidR="00CC23CD" w:rsidRDefault="00CC23CD" w:rsidP="007471A8">
      <w:pPr>
        <w:contextualSpacing/>
      </w:pPr>
    </w:p>
    <w:p w:rsidR="00564378" w:rsidRDefault="00564378" w:rsidP="007471A8">
      <w:pPr>
        <w:contextualSpacing/>
      </w:pPr>
      <w:r>
        <w:t xml:space="preserve">Mortgage Fraud schemes remain </w:t>
      </w:r>
      <w:r w:rsidRPr="002F74D8">
        <w:t xml:space="preserve">an escalating problem in the </w:t>
      </w:r>
      <w:r w:rsidR="00C90C45">
        <w:t>U.S.</w:t>
      </w:r>
      <w:r>
        <w:t xml:space="preserve"> and have led to</w:t>
      </w:r>
      <w:r w:rsidRPr="002F74D8">
        <w:t xml:space="preserve"> billions of dollars in losses in the mortgage industry.  </w:t>
      </w:r>
      <w:r>
        <w:t>Loan modification schemes and f</w:t>
      </w:r>
      <w:r w:rsidRPr="00E26349">
        <w:t xml:space="preserve">oreclosure rescue scams are particularly egregious in that fraudsters take advantage and illegally profit from the misfortune of others.  As foreclosures continue to rise across the country, so too have the number of foreclosure rescue scams that target unsuspecting victims.  In many of these cases, victims ultimately lose their home to foreclosure.  The FBI </w:t>
      </w:r>
      <w:r>
        <w:t>will use the additional resources to w</w:t>
      </w:r>
      <w:r w:rsidRPr="00E26349">
        <w:t>ork</w:t>
      </w:r>
      <w:r>
        <w:t xml:space="preserve"> </w:t>
      </w:r>
      <w:r w:rsidRPr="00E26349">
        <w:t>with law enforcement, regulatory</w:t>
      </w:r>
      <w:r>
        <w:t>,</w:t>
      </w:r>
      <w:r w:rsidRPr="00E26349">
        <w:t xml:space="preserve"> and industry partners to target, disrupt, and dismantle the individuals and/or companies engaging in these fraud schemes.</w:t>
      </w:r>
    </w:p>
    <w:p w:rsidR="00564378" w:rsidRDefault="00C5457C" w:rsidP="007471A8">
      <w:pPr>
        <w:contextualSpacing/>
        <w:jc w:val="center"/>
      </w:pPr>
      <w:r>
        <w:rPr>
          <w:noProof/>
        </w:rPr>
        <w:drawing>
          <wp:inline distT="0" distB="0" distL="0" distR="0">
            <wp:extent cx="4580255" cy="275145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4580255" cy="2751455"/>
                    </a:xfrm>
                    <a:prstGeom prst="rect">
                      <a:avLst/>
                    </a:prstGeom>
                    <a:noFill/>
                    <a:ln w="9525">
                      <a:noFill/>
                      <a:miter lim="800000"/>
                      <a:headEnd/>
                      <a:tailEnd/>
                    </a:ln>
                  </pic:spPr>
                </pic:pic>
              </a:graphicData>
            </a:graphic>
          </wp:inline>
        </w:drawing>
      </w:r>
    </w:p>
    <w:p w:rsidR="00564378" w:rsidRDefault="00564378" w:rsidP="007471A8">
      <w:pPr>
        <w:contextualSpacing/>
        <w:rPr>
          <w:color w:val="000000"/>
          <w:sz w:val="20"/>
          <w:szCs w:val="20"/>
        </w:rPr>
      </w:pPr>
      <w:r w:rsidRPr="00533B7C">
        <w:rPr>
          <w:color w:val="000000"/>
          <w:sz w:val="20"/>
          <w:szCs w:val="20"/>
        </w:rPr>
        <w:t>Note:  The above chart shows the caseload as a snapshot in time for each fiscal year.  FY 2012 Caseload data is as of 12/31/2011.</w:t>
      </w:r>
    </w:p>
    <w:p w:rsidR="00564378" w:rsidRDefault="00564378" w:rsidP="007471A8">
      <w:pPr>
        <w:contextualSpacing/>
      </w:pPr>
    </w:p>
    <w:p w:rsidR="00564378" w:rsidRDefault="00C5457C" w:rsidP="007471A8">
      <w:pPr>
        <w:contextualSpacing/>
        <w:jc w:val="center"/>
      </w:pPr>
      <w:r>
        <w:rPr>
          <w:noProof/>
        </w:rPr>
        <w:drawing>
          <wp:inline distT="0" distB="0" distL="0" distR="0">
            <wp:extent cx="5136515" cy="302958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5136515" cy="3029585"/>
                    </a:xfrm>
                    <a:prstGeom prst="rect">
                      <a:avLst/>
                    </a:prstGeom>
                    <a:noFill/>
                    <a:ln w="9525">
                      <a:noFill/>
                      <a:miter lim="800000"/>
                      <a:headEnd/>
                      <a:tailEnd/>
                    </a:ln>
                  </pic:spPr>
                </pic:pic>
              </a:graphicData>
            </a:graphic>
          </wp:inline>
        </w:drawing>
      </w:r>
    </w:p>
    <w:p w:rsidR="00564378" w:rsidRPr="00533B7C" w:rsidRDefault="00564378" w:rsidP="007471A8">
      <w:pPr>
        <w:contextualSpacing/>
        <w:rPr>
          <w:color w:val="000000"/>
          <w:sz w:val="20"/>
          <w:szCs w:val="20"/>
        </w:rPr>
      </w:pPr>
      <w:r>
        <w:rPr>
          <w:color w:val="000000"/>
          <w:sz w:val="20"/>
          <w:szCs w:val="20"/>
        </w:rPr>
        <w:t>Note:  FY 2012 accomplishment data is as of 2/1/2012.</w:t>
      </w:r>
    </w:p>
    <w:p w:rsidR="00CC23CD" w:rsidRPr="00A763D4" w:rsidRDefault="00CC23CD" w:rsidP="007471A8">
      <w:pPr>
        <w:contextualSpacing/>
        <w:rPr>
          <w:i/>
        </w:rPr>
      </w:pPr>
      <w:r>
        <w:rPr>
          <w:i/>
        </w:rPr>
        <w:lastRenderedPageBreak/>
        <w:t>Justification for Program Increases</w:t>
      </w:r>
    </w:p>
    <w:p w:rsidR="00CC23CD" w:rsidRDefault="00CC23CD" w:rsidP="007471A8">
      <w:pPr>
        <w:contextualSpacing/>
        <w:rPr>
          <w:color w:val="000000"/>
        </w:rPr>
      </w:pPr>
      <w:r>
        <w:rPr>
          <w:rFonts w:eastAsia="Calibri"/>
        </w:rPr>
        <w:t>T</w:t>
      </w:r>
      <w:r w:rsidRPr="00353139">
        <w:rPr>
          <w:rFonts w:eastAsia="Calibri"/>
        </w:rPr>
        <w:t xml:space="preserve">he FBI requests </w:t>
      </w:r>
      <w:r>
        <w:rPr>
          <w:rFonts w:eastAsia="Calibri"/>
        </w:rPr>
        <w:t>40 additional Agents and four</w:t>
      </w:r>
      <w:r w:rsidRPr="00353139">
        <w:rPr>
          <w:rFonts w:eastAsia="Calibri"/>
        </w:rPr>
        <w:t xml:space="preserve"> Forensic Accountants to combat significant complex financial crimes.  </w:t>
      </w:r>
      <w:r>
        <w:rPr>
          <w:color w:val="000000"/>
        </w:rPr>
        <w:t xml:space="preserve">An increase in personnel and non-personnel resources is necessary to address the increase in not only the quantity of corporate and securities fraud, but also the increasing complexity of fraud schemes.  As markets continue to adapt and grow, individuals with the intent to commit fraud continue to adopt new means to perpetrate their schemes and circumvent legal and regulatory requirements.  The FBI has likewise continued to evolve, but requires additional funding to fully address these financial crimes.  </w:t>
      </w:r>
    </w:p>
    <w:p w:rsidR="00233A47" w:rsidRDefault="00233A47" w:rsidP="007471A8">
      <w:pPr>
        <w:contextualSpacing/>
        <w:rPr>
          <w:color w:val="000000"/>
        </w:rPr>
      </w:pPr>
    </w:p>
    <w:p w:rsidR="00CC23CD" w:rsidRDefault="00CC23CD" w:rsidP="007471A8">
      <w:pPr>
        <w:contextualSpacing/>
        <w:rPr>
          <w:rFonts w:eastAsia="Calibri"/>
        </w:rPr>
      </w:pPr>
      <w:r>
        <w:rPr>
          <w:color w:val="000000"/>
        </w:rPr>
        <w:t xml:space="preserve">In a continuing effort to address this threat, the FBI will establish hybrid squads to target the most significant complex financial crimes.  These hybrid squads will be composed of Corporate/Securities and Mortgage Fraud resources.  These squads will include six to eight agents and maintain a cross-programmatic approach to address this threat.   These squads will utilize the highly-successful hybrid squad model developed by the FBI to address crime in the Southwest Border region and to combat the multiple threats emanating from Mexico.  Additionally, Forensic Accountants will be allocated in support of this mission to provide expertise in analyzing and cross-referencing complex financial documents.  This team approach will expedite the investigative process, ultimately increasing case production and the FBI’s footprint in addressing complex financial crimes.  The remaining resources will be allocated to FBI field offices identified using enhanced threat matrices. </w:t>
      </w:r>
      <w:r w:rsidRPr="009F1875">
        <w:rPr>
          <w:rFonts w:eastAsia="Calibri"/>
        </w:rPr>
        <w:t xml:space="preserve"> </w:t>
      </w:r>
      <w:r>
        <w:rPr>
          <w:rFonts w:eastAsia="Calibri"/>
        </w:rPr>
        <w:t>Using the average cases per Agent ratio, the FBI estimates increased capability by approximately 240 cases with t</w:t>
      </w:r>
      <w:r w:rsidRPr="00353139">
        <w:rPr>
          <w:rFonts w:eastAsia="Calibri"/>
        </w:rPr>
        <w:t>he additional resources</w:t>
      </w:r>
      <w:r>
        <w:rPr>
          <w:rFonts w:eastAsia="Calibri"/>
        </w:rPr>
        <w:t xml:space="preserve"> to </w:t>
      </w:r>
      <w:r w:rsidRPr="00353139">
        <w:rPr>
          <w:rFonts w:eastAsia="Calibri"/>
        </w:rPr>
        <w:t xml:space="preserve">address </w:t>
      </w:r>
      <w:r>
        <w:rPr>
          <w:rFonts w:eastAsia="Calibri"/>
        </w:rPr>
        <w:t xml:space="preserve">high </w:t>
      </w:r>
      <w:r w:rsidRPr="00353139">
        <w:rPr>
          <w:rFonts w:eastAsia="Calibri"/>
        </w:rPr>
        <w:t>priority,</w:t>
      </w:r>
      <w:r>
        <w:rPr>
          <w:rFonts w:eastAsia="Calibri"/>
        </w:rPr>
        <w:t xml:space="preserve"> complex financial crime investigations.</w:t>
      </w:r>
    </w:p>
    <w:p w:rsidR="00564378" w:rsidRDefault="00564378" w:rsidP="007471A8">
      <w:pPr>
        <w:contextualSpacing/>
        <w:rPr>
          <w:rFonts w:eastAsia="Calibri"/>
        </w:rPr>
      </w:pPr>
    </w:p>
    <w:p w:rsidR="00CC23CD" w:rsidRDefault="00CC23CD" w:rsidP="007471A8">
      <w:pPr>
        <w:contextualSpacing/>
      </w:pPr>
      <w:r>
        <w:t>In order to maximize the investigative impact of these investigations, the enhancement includes $2,252,000 to increase the use of sophisticated investigative techniques,</w:t>
      </w:r>
      <w:r w:rsidRPr="00121AE1">
        <w:t xml:space="preserve"> including the use </w:t>
      </w:r>
      <w:r>
        <w:t xml:space="preserve">and development </w:t>
      </w:r>
      <w:r w:rsidRPr="00121AE1">
        <w:t>of confidential sources, technical and physical surveillance, and unde</w:t>
      </w:r>
      <w:r>
        <w:t xml:space="preserve">rcover and sensitive operations.      </w:t>
      </w:r>
    </w:p>
    <w:p w:rsidR="00CC23CD" w:rsidRDefault="00CC23CD" w:rsidP="007471A8">
      <w:pPr>
        <w:contextualSpacing/>
      </w:pPr>
    </w:p>
    <w:p w:rsidR="00CC23CD" w:rsidRDefault="00CC23CD" w:rsidP="007471A8">
      <w:pPr>
        <w:contextualSpacing/>
      </w:pPr>
      <w:r w:rsidRPr="003745B1">
        <w:t xml:space="preserve">The request also includes $1,700,000 </w:t>
      </w:r>
      <w:r w:rsidRPr="00B86121">
        <w:t xml:space="preserve">in </w:t>
      </w:r>
      <w:r w:rsidRPr="003745B1">
        <w:t>non-personnel</w:t>
      </w:r>
      <w:r w:rsidRPr="00B86121">
        <w:t xml:space="preserve"> funding</w:t>
      </w:r>
      <w:r w:rsidRPr="003745B1">
        <w:t xml:space="preserve"> for </w:t>
      </w:r>
      <w:r w:rsidRPr="00B86121">
        <w:t>the Bureau Investigative Document Management and Analysis System (BIDMAS).  The FBI, along with the Department of Justice and other law enforcement partners</w:t>
      </w:r>
      <w:r>
        <w:t>,</w:t>
      </w:r>
      <w:r w:rsidRPr="00B86121">
        <w:t xml:space="preserve"> will be able to utilize this system to conduct targeted searches and increase the efficiency of document intensive investigations.  This system will allow the FBI to accelerate those cases affecting our financial markets and ensure that white collar criminals are held accountable for their actions.  This system provides a modern technology solution and fills a current void in the FBI’s investigative toolkit</w:t>
      </w:r>
      <w:r w:rsidR="00233A47">
        <w:t>, which currently lacks an investigative and litigation information management system</w:t>
      </w:r>
      <w:r w:rsidRPr="00B86121">
        <w:t xml:space="preserve">.   The capabilities will allow investigators to quickly review and categorize large amounts of data.  This data is then immediately available for use in lead exploitation, prosecutorial decision making, court filings and discovery requests.  The electronic storage also ensures that the evidence is available to all FBI investigators worldwide which has led to case spin-offs and new investigations.  </w:t>
      </w:r>
    </w:p>
    <w:p w:rsidR="00CC23CD" w:rsidRDefault="00CC23CD" w:rsidP="007471A8">
      <w:pPr>
        <w:contextualSpacing/>
        <w:rPr>
          <w:color w:val="000000"/>
        </w:rPr>
      </w:pPr>
    </w:p>
    <w:p w:rsidR="00CC23CD" w:rsidRPr="008359C3" w:rsidRDefault="00CC23CD" w:rsidP="007471A8">
      <w:pPr>
        <w:snapToGrid w:val="0"/>
        <w:contextualSpacing/>
        <w:rPr>
          <w:rFonts w:eastAsia="Calibri"/>
          <w:u w:val="single"/>
        </w:rPr>
      </w:pPr>
      <w:r w:rsidRPr="008359C3">
        <w:rPr>
          <w:rFonts w:eastAsia="Calibri"/>
          <w:u w:val="single"/>
        </w:rPr>
        <w:t>Impact on Performance</w:t>
      </w:r>
    </w:p>
    <w:p w:rsidR="00CC23CD" w:rsidRDefault="00CC23CD" w:rsidP="007471A8">
      <w:pPr>
        <w:contextualSpacing/>
      </w:pPr>
      <w:r w:rsidRPr="008359C3">
        <w:t xml:space="preserve">Since 2003, FBI </w:t>
      </w:r>
      <w:r>
        <w:t>A</w:t>
      </w:r>
      <w:r w:rsidRPr="008359C3">
        <w:t xml:space="preserve">gent resources dedicated to </w:t>
      </w:r>
      <w:r>
        <w:t>c</w:t>
      </w:r>
      <w:r w:rsidRPr="008359C3">
        <w:t xml:space="preserve">orporate and </w:t>
      </w:r>
      <w:r>
        <w:t>s</w:t>
      </w:r>
      <w:r w:rsidRPr="008359C3">
        <w:t xml:space="preserve">ecurities </w:t>
      </w:r>
      <w:r>
        <w:t>f</w:t>
      </w:r>
      <w:r w:rsidRPr="008359C3">
        <w:t xml:space="preserve">raud have increased 42 percent (250 to 354 agents) while the caseload has increased 118 percent (1,216 to 2,651 cases) during that time period.  </w:t>
      </w:r>
      <w:r>
        <w:t>F</w:t>
      </w:r>
      <w:r w:rsidRPr="008359C3">
        <w:t>rom FY 2008 through FY 2011, the FBI realized restitutions, recoveries, fines and forfeitures of $18.8 billion from corporate fraud matters, and $17.6 billion for securities/commodities fraud matters.  The requested increase will allow continued success against these criminal threats with significant return on investment.</w:t>
      </w:r>
      <w:r>
        <w:br w:type="page"/>
      </w:r>
    </w:p>
    <w:p w:rsidR="00CC23CD" w:rsidRPr="00C53723" w:rsidRDefault="00CC23CD" w:rsidP="007471A8">
      <w:pPr>
        <w:pStyle w:val="xl24"/>
        <w:spacing w:before="0" w:after="0"/>
        <w:contextualSpacing/>
        <w:jc w:val="center"/>
        <w:rPr>
          <w:rFonts w:eastAsia="Times New Roman"/>
          <w:b/>
          <w:bCs/>
          <w:szCs w:val="24"/>
          <w:u w:val="none"/>
        </w:rPr>
      </w:pPr>
      <w:r w:rsidRPr="00C53723">
        <w:rPr>
          <w:rFonts w:eastAsia="Times New Roman"/>
          <w:b/>
          <w:bCs/>
          <w:szCs w:val="24"/>
          <w:u w:val="none"/>
        </w:rPr>
        <w:lastRenderedPageBreak/>
        <w:t>Funding</w:t>
      </w:r>
    </w:p>
    <w:p w:rsidR="00CC23CD" w:rsidRPr="003C0F58" w:rsidRDefault="00CC23CD" w:rsidP="007471A8">
      <w:pPr>
        <w:pStyle w:val="xl24"/>
        <w:spacing w:before="0" w:after="0"/>
        <w:contextualSpacing/>
        <w:rPr>
          <w:rFonts w:eastAsia="Times New Roman"/>
          <w:szCs w:val="24"/>
        </w:rPr>
      </w:pPr>
      <w:r w:rsidRPr="003C0F58">
        <w:rPr>
          <w:rFonts w:eastAsia="Times New Roman"/>
          <w:szCs w:val="24"/>
        </w:rPr>
        <w:t>Base Funding</w:t>
      </w:r>
    </w:p>
    <w:p w:rsidR="00CC23CD" w:rsidRPr="003C0F58" w:rsidRDefault="00CC23CD" w:rsidP="007471A8">
      <w:pPr>
        <w:pStyle w:val="xl24"/>
        <w:spacing w:before="0" w:after="0"/>
        <w:contextualSpacing/>
        <w:rPr>
          <w:rFonts w:eastAsia="Times New Roman"/>
          <w:szCs w:val="24"/>
        </w:rPr>
      </w:pPr>
    </w:p>
    <w:tbl>
      <w:tblPr>
        <w:tblW w:w="10354"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572"/>
        <w:gridCol w:w="571"/>
        <w:gridCol w:w="637"/>
        <w:gridCol w:w="985"/>
        <w:gridCol w:w="719"/>
        <w:gridCol w:w="571"/>
        <w:gridCol w:w="637"/>
        <w:gridCol w:w="985"/>
        <w:gridCol w:w="571"/>
        <w:gridCol w:w="571"/>
        <w:gridCol w:w="637"/>
        <w:gridCol w:w="985"/>
      </w:tblGrid>
      <w:tr w:rsidR="00CC23CD" w:rsidRPr="00C53723" w:rsidTr="00A101A4">
        <w:trPr>
          <w:jc w:val="center"/>
        </w:trPr>
        <w:tc>
          <w:tcPr>
            <w:tcW w:w="1913" w:type="dxa"/>
            <w:tcBorders>
              <w:top w:val="nil"/>
              <w:left w:val="nil"/>
            </w:tcBorders>
          </w:tcPr>
          <w:p w:rsidR="00CC23CD" w:rsidRPr="00C53723" w:rsidRDefault="00CC23CD" w:rsidP="007471A8">
            <w:pPr>
              <w:pStyle w:val="xl24"/>
              <w:spacing w:before="0" w:after="0"/>
              <w:contextualSpacing/>
              <w:rPr>
                <w:rFonts w:eastAsia="Times New Roman"/>
                <w:sz w:val="20"/>
                <w:u w:val="none"/>
              </w:rPr>
            </w:pPr>
          </w:p>
        </w:tc>
        <w:tc>
          <w:tcPr>
            <w:tcW w:w="2765" w:type="dxa"/>
            <w:gridSpan w:val="4"/>
            <w:shd w:val="clear" w:color="auto" w:fill="E6E6E6"/>
          </w:tcPr>
          <w:p w:rsidR="00CC23CD" w:rsidRPr="00C53723" w:rsidRDefault="00CC23CD" w:rsidP="007471A8">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1</w:t>
            </w:r>
            <w:r w:rsidRPr="00C53723">
              <w:rPr>
                <w:rFonts w:eastAsia="Times New Roman"/>
                <w:sz w:val="20"/>
                <w:u w:val="none"/>
              </w:rPr>
              <w:t xml:space="preserve"> Enacted</w:t>
            </w:r>
          </w:p>
        </w:tc>
        <w:tc>
          <w:tcPr>
            <w:tcW w:w="2912" w:type="dxa"/>
            <w:gridSpan w:val="4"/>
            <w:shd w:val="clear" w:color="auto" w:fill="E6E6E6"/>
          </w:tcPr>
          <w:p w:rsidR="00CC23CD" w:rsidRPr="00C53723" w:rsidRDefault="00CC23CD" w:rsidP="007471A8">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2</w:t>
            </w:r>
            <w:r w:rsidRPr="00C53723">
              <w:rPr>
                <w:rFonts w:eastAsia="Times New Roman"/>
                <w:sz w:val="20"/>
                <w:u w:val="none"/>
              </w:rPr>
              <w:t xml:space="preserve"> </w:t>
            </w:r>
            <w:r w:rsidR="00842C48">
              <w:rPr>
                <w:rFonts w:eastAsia="Times New Roman"/>
                <w:sz w:val="20"/>
                <w:u w:val="none"/>
              </w:rPr>
              <w:t>Enacted</w:t>
            </w:r>
          </w:p>
        </w:tc>
        <w:tc>
          <w:tcPr>
            <w:tcW w:w="2764" w:type="dxa"/>
            <w:gridSpan w:val="4"/>
            <w:shd w:val="clear" w:color="auto" w:fill="E6E6E6"/>
          </w:tcPr>
          <w:p w:rsidR="00CC23CD" w:rsidRPr="00C53723" w:rsidRDefault="00CC23CD" w:rsidP="007471A8">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3</w:t>
            </w:r>
            <w:r w:rsidRPr="00C53723">
              <w:rPr>
                <w:rFonts w:eastAsia="Times New Roman"/>
                <w:sz w:val="20"/>
                <w:u w:val="none"/>
              </w:rPr>
              <w:t xml:space="preserve"> Current Services</w:t>
            </w:r>
          </w:p>
        </w:tc>
      </w:tr>
      <w:tr w:rsidR="00CC23CD" w:rsidRPr="00C53723" w:rsidTr="00A101A4">
        <w:trPr>
          <w:jc w:val="center"/>
        </w:trPr>
        <w:tc>
          <w:tcPr>
            <w:tcW w:w="1913" w:type="dxa"/>
          </w:tcPr>
          <w:p w:rsidR="00CC23CD" w:rsidRPr="00C53723" w:rsidRDefault="00CC23CD" w:rsidP="007471A8">
            <w:pPr>
              <w:pStyle w:val="xl24"/>
              <w:spacing w:before="0" w:after="0"/>
              <w:contextualSpacing/>
              <w:rPr>
                <w:rFonts w:eastAsia="Times New Roman"/>
                <w:sz w:val="20"/>
                <w:u w:val="none"/>
              </w:rPr>
            </w:pPr>
            <w:r w:rsidRPr="00C53723">
              <w:rPr>
                <w:rFonts w:eastAsia="Times New Roman"/>
                <w:sz w:val="20"/>
                <w:u w:val="none"/>
              </w:rPr>
              <w:t>Program</w:t>
            </w:r>
          </w:p>
        </w:tc>
        <w:tc>
          <w:tcPr>
            <w:tcW w:w="572"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CC23CD" w:rsidRPr="00A71629" w:rsidRDefault="00CC23CD" w:rsidP="007471A8">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$(000)</w:t>
            </w:r>
          </w:p>
        </w:tc>
        <w:tc>
          <w:tcPr>
            <w:tcW w:w="719"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CC23CD" w:rsidRPr="00A71629" w:rsidRDefault="00CC23CD" w:rsidP="007471A8">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$(000)</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CC23CD" w:rsidRPr="00A71629" w:rsidRDefault="00CC23CD" w:rsidP="007471A8">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sidRPr="00A71629">
              <w:rPr>
                <w:rFonts w:eastAsia="Times New Roman"/>
                <w:sz w:val="20"/>
                <w:u w:val="none"/>
              </w:rPr>
              <w:t>$(000)</w:t>
            </w:r>
          </w:p>
        </w:tc>
      </w:tr>
      <w:tr w:rsidR="00CC23CD" w:rsidRPr="00C53723" w:rsidTr="00A101A4">
        <w:trPr>
          <w:jc w:val="center"/>
        </w:trPr>
        <w:tc>
          <w:tcPr>
            <w:tcW w:w="1913" w:type="dxa"/>
          </w:tcPr>
          <w:p w:rsidR="00CC23CD" w:rsidRDefault="00CC23CD" w:rsidP="007471A8">
            <w:pPr>
              <w:pStyle w:val="xl24"/>
              <w:spacing w:before="0" w:after="0"/>
              <w:contextualSpacing/>
              <w:rPr>
                <w:rFonts w:eastAsia="Times New Roman"/>
                <w:sz w:val="20"/>
                <w:u w:val="none"/>
              </w:rPr>
            </w:pPr>
            <w:r>
              <w:rPr>
                <w:rFonts w:eastAsia="Times New Roman"/>
                <w:sz w:val="20"/>
                <w:u w:val="none"/>
              </w:rPr>
              <w:t>Corporate Fraud</w:t>
            </w:r>
          </w:p>
        </w:tc>
        <w:tc>
          <w:tcPr>
            <w:tcW w:w="572"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151</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121</w:t>
            </w:r>
          </w:p>
        </w:tc>
        <w:tc>
          <w:tcPr>
            <w:tcW w:w="637"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151</w:t>
            </w:r>
          </w:p>
        </w:tc>
        <w:tc>
          <w:tcPr>
            <w:tcW w:w="985"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$23,690</w:t>
            </w:r>
          </w:p>
        </w:tc>
        <w:tc>
          <w:tcPr>
            <w:tcW w:w="719"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151</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112</w:t>
            </w:r>
          </w:p>
        </w:tc>
        <w:tc>
          <w:tcPr>
            <w:tcW w:w="637"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151</w:t>
            </w:r>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$24,257</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151</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112</w:t>
            </w:r>
          </w:p>
        </w:tc>
        <w:tc>
          <w:tcPr>
            <w:tcW w:w="637"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151</w:t>
            </w:r>
          </w:p>
        </w:tc>
        <w:tc>
          <w:tcPr>
            <w:tcW w:w="985"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$24,257</w:t>
            </w:r>
          </w:p>
        </w:tc>
      </w:tr>
      <w:tr w:rsidR="00CC23CD" w:rsidRPr="00C53723" w:rsidTr="00A101A4">
        <w:trPr>
          <w:jc w:val="center"/>
        </w:trPr>
        <w:tc>
          <w:tcPr>
            <w:tcW w:w="1913" w:type="dxa"/>
          </w:tcPr>
          <w:p w:rsidR="00CC23CD" w:rsidRPr="00C53723" w:rsidRDefault="00CC23CD" w:rsidP="007471A8">
            <w:pPr>
              <w:pStyle w:val="xl24"/>
              <w:spacing w:before="0" w:after="0"/>
              <w:contextualSpacing/>
              <w:rPr>
                <w:rFonts w:eastAsia="Times New Roman"/>
                <w:sz w:val="20"/>
                <w:u w:val="none"/>
              </w:rPr>
            </w:pPr>
            <w:r>
              <w:rPr>
                <w:rFonts w:eastAsia="Times New Roman"/>
                <w:sz w:val="20"/>
                <w:u w:val="none"/>
              </w:rPr>
              <w:t>Securities and Commodities Fraud</w:t>
            </w:r>
          </w:p>
        </w:tc>
        <w:tc>
          <w:tcPr>
            <w:tcW w:w="572"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335</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249</w:t>
            </w:r>
          </w:p>
        </w:tc>
        <w:tc>
          <w:tcPr>
            <w:tcW w:w="637"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335</w:t>
            </w:r>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52,585</w:t>
            </w:r>
          </w:p>
        </w:tc>
        <w:tc>
          <w:tcPr>
            <w:tcW w:w="719"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335</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249</w:t>
            </w:r>
          </w:p>
        </w:tc>
        <w:tc>
          <w:tcPr>
            <w:tcW w:w="637"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335</w:t>
            </w:r>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53,798</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335</w:t>
            </w:r>
          </w:p>
        </w:tc>
        <w:tc>
          <w:tcPr>
            <w:tcW w:w="571"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249</w:t>
            </w:r>
          </w:p>
        </w:tc>
        <w:tc>
          <w:tcPr>
            <w:tcW w:w="637"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335</w:t>
            </w:r>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53,798</w:t>
            </w:r>
          </w:p>
        </w:tc>
      </w:tr>
      <w:tr w:rsidR="00CC23CD" w:rsidRPr="00C53723" w:rsidTr="00A101A4">
        <w:trPr>
          <w:jc w:val="center"/>
        </w:trPr>
        <w:tc>
          <w:tcPr>
            <w:tcW w:w="1913" w:type="dxa"/>
          </w:tcPr>
          <w:p w:rsidR="00CC23CD" w:rsidRDefault="00CC23CD" w:rsidP="007471A8">
            <w:pPr>
              <w:pStyle w:val="xl24"/>
              <w:spacing w:before="0" w:after="0"/>
              <w:contextualSpacing/>
              <w:rPr>
                <w:rFonts w:eastAsia="Times New Roman"/>
                <w:sz w:val="20"/>
                <w:u w:val="none"/>
              </w:rPr>
            </w:pPr>
            <w:r>
              <w:rPr>
                <w:rFonts w:eastAsia="Times New Roman"/>
                <w:sz w:val="20"/>
                <w:u w:val="none"/>
              </w:rPr>
              <w:t>Mortgage Fraud</w:t>
            </w:r>
          </w:p>
        </w:tc>
        <w:tc>
          <w:tcPr>
            <w:tcW w:w="572"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436</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332</w:t>
            </w:r>
          </w:p>
        </w:tc>
        <w:tc>
          <w:tcPr>
            <w:tcW w:w="637"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436</w:t>
            </w:r>
          </w:p>
        </w:tc>
        <w:tc>
          <w:tcPr>
            <w:tcW w:w="985"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$70,131</w:t>
            </w:r>
          </w:p>
        </w:tc>
        <w:tc>
          <w:tcPr>
            <w:tcW w:w="719"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436</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332</w:t>
            </w:r>
          </w:p>
        </w:tc>
        <w:tc>
          <w:tcPr>
            <w:tcW w:w="637"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436</w:t>
            </w:r>
          </w:p>
        </w:tc>
        <w:tc>
          <w:tcPr>
            <w:tcW w:w="985"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$69,048</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436</w:t>
            </w:r>
          </w:p>
        </w:tc>
        <w:tc>
          <w:tcPr>
            <w:tcW w:w="571"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332</w:t>
            </w:r>
          </w:p>
        </w:tc>
        <w:tc>
          <w:tcPr>
            <w:tcW w:w="637" w:type="dxa"/>
            <w:vAlign w:val="center"/>
          </w:tcPr>
          <w:p w:rsidR="00CC23CD" w:rsidRPr="00A71629" w:rsidRDefault="00CC23CD" w:rsidP="007471A8">
            <w:pPr>
              <w:pStyle w:val="xl24"/>
              <w:spacing w:before="0" w:after="0"/>
              <w:contextualSpacing/>
              <w:jc w:val="center"/>
              <w:rPr>
                <w:rFonts w:eastAsia="Times New Roman"/>
                <w:sz w:val="20"/>
                <w:u w:val="none"/>
              </w:rPr>
            </w:pPr>
            <w:r>
              <w:rPr>
                <w:rFonts w:eastAsia="Times New Roman"/>
                <w:sz w:val="20"/>
                <w:u w:val="none"/>
              </w:rPr>
              <w:t>436</w:t>
            </w:r>
          </w:p>
        </w:tc>
        <w:tc>
          <w:tcPr>
            <w:tcW w:w="985" w:type="dxa"/>
            <w:vAlign w:val="center"/>
          </w:tcPr>
          <w:p w:rsidR="00CC23CD" w:rsidRDefault="00CC23CD" w:rsidP="007471A8">
            <w:pPr>
              <w:pStyle w:val="xl24"/>
              <w:spacing w:before="0" w:after="0"/>
              <w:contextualSpacing/>
              <w:jc w:val="center"/>
              <w:rPr>
                <w:rFonts w:eastAsia="Times New Roman"/>
                <w:sz w:val="20"/>
                <w:u w:val="none"/>
              </w:rPr>
            </w:pPr>
            <w:r>
              <w:rPr>
                <w:rFonts w:eastAsia="Times New Roman"/>
                <w:sz w:val="20"/>
                <w:u w:val="none"/>
              </w:rPr>
              <w:t>$69,048</w:t>
            </w:r>
          </w:p>
        </w:tc>
      </w:tr>
    </w:tbl>
    <w:p w:rsidR="00CC23CD" w:rsidRPr="00C53723" w:rsidRDefault="00CC23CD" w:rsidP="007471A8">
      <w:pPr>
        <w:pStyle w:val="xl24"/>
        <w:spacing w:before="0" w:after="0"/>
        <w:contextualSpacing/>
        <w:rPr>
          <w:rFonts w:eastAsia="Times New Roman"/>
          <w:sz w:val="20"/>
        </w:rPr>
      </w:pPr>
    </w:p>
    <w:p w:rsidR="00CC23CD" w:rsidRDefault="00CC23CD" w:rsidP="007471A8">
      <w:pPr>
        <w:pStyle w:val="BodyText"/>
        <w:contextualSpacing/>
        <w:rPr>
          <w:u w:val="single"/>
        </w:rPr>
      </w:pPr>
      <w:r w:rsidRPr="003C0F58">
        <w:rPr>
          <w:u w:val="single"/>
        </w:rPr>
        <w:t>Personnel Increase Cost Summary</w:t>
      </w:r>
    </w:p>
    <w:p w:rsidR="00CC23CD" w:rsidRPr="003C0F58" w:rsidRDefault="00CC23CD" w:rsidP="007471A8">
      <w:pPr>
        <w:pStyle w:val="BodyText"/>
        <w:contextualSpacing/>
      </w:pPr>
    </w:p>
    <w:tbl>
      <w:tblPr>
        <w:tblW w:w="8734"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8"/>
        <w:gridCol w:w="1619"/>
        <w:gridCol w:w="1794"/>
        <w:gridCol w:w="1248"/>
        <w:gridCol w:w="1885"/>
      </w:tblGrid>
      <w:tr w:rsidR="00CC23CD" w:rsidRPr="00C53723" w:rsidTr="00A101A4">
        <w:trPr>
          <w:jc w:val="center"/>
        </w:trPr>
        <w:tc>
          <w:tcPr>
            <w:tcW w:w="2188" w:type="dxa"/>
            <w:shd w:val="clear" w:color="auto" w:fill="E6E6E6"/>
            <w:vAlign w:val="center"/>
          </w:tcPr>
          <w:p w:rsidR="00CC23CD" w:rsidRPr="00C53723" w:rsidRDefault="00CC23CD" w:rsidP="007471A8">
            <w:pPr>
              <w:contextualSpacing/>
              <w:jc w:val="center"/>
              <w:rPr>
                <w:sz w:val="20"/>
                <w:szCs w:val="20"/>
              </w:rPr>
            </w:pPr>
            <w:r w:rsidRPr="00C53723">
              <w:rPr>
                <w:sz w:val="20"/>
                <w:szCs w:val="20"/>
              </w:rPr>
              <w:t>Type of Position</w:t>
            </w:r>
          </w:p>
        </w:tc>
        <w:tc>
          <w:tcPr>
            <w:tcW w:w="1619" w:type="dxa"/>
            <w:vAlign w:val="center"/>
          </w:tcPr>
          <w:p w:rsidR="00CC23CD" w:rsidRPr="00C53723" w:rsidRDefault="00CC23CD" w:rsidP="007471A8">
            <w:pPr>
              <w:contextualSpacing/>
              <w:jc w:val="center"/>
              <w:rPr>
                <w:sz w:val="20"/>
                <w:szCs w:val="20"/>
              </w:rPr>
            </w:pPr>
            <w:r w:rsidRPr="00C53723">
              <w:rPr>
                <w:sz w:val="20"/>
                <w:szCs w:val="20"/>
              </w:rPr>
              <w:t>Modular Cost</w:t>
            </w:r>
          </w:p>
          <w:p w:rsidR="00CC23CD" w:rsidRPr="00C53723" w:rsidRDefault="00CC23CD" w:rsidP="007471A8">
            <w:pPr>
              <w:contextualSpacing/>
              <w:jc w:val="center"/>
              <w:rPr>
                <w:sz w:val="20"/>
                <w:szCs w:val="20"/>
              </w:rPr>
            </w:pPr>
            <w:r w:rsidRPr="00C53723">
              <w:rPr>
                <w:sz w:val="20"/>
                <w:szCs w:val="20"/>
              </w:rPr>
              <w:t>per Position ($000)</w:t>
            </w:r>
          </w:p>
        </w:tc>
        <w:tc>
          <w:tcPr>
            <w:tcW w:w="1794" w:type="dxa"/>
            <w:vAlign w:val="center"/>
          </w:tcPr>
          <w:p w:rsidR="00CC23CD" w:rsidRPr="00C53723" w:rsidRDefault="00CC23CD" w:rsidP="007471A8">
            <w:pPr>
              <w:contextualSpacing/>
              <w:jc w:val="center"/>
              <w:rPr>
                <w:sz w:val="20"/>
                <w:szCs w:val="20"/>
              </w:rPr>
            </w:pPr>
            <w:r w:rsidRPr="00C53723">
              <w:rPr>
                <w:sz w:val="20"/>
                <w:szCs w:val="20"/>
              </w:rPr>
              <w:t>Number of</w:t>
            </w:r>
          </w:p>
          <w:p w:rsidR="00CC23CD" w:rsidRPr="00C53723" w:rsidRDefault="00CC23CD" w:rsidP="007471A8">
            <w:pPr>
              <w:contextualSpacing/>
              <w:jc w:val="center"/>
              <w:rPr>
                <w:sz w:val="20"/>
                <w:szCs w:val="20"/>
              </w:rPr>
            </w:pPr>
            <w:r w:rsidRPr="00C53723">
              <w:rPr>
                <w:sz w:val="20"/>
                <w:szCs w:val="20"/>
              </w:rPr>
              <w:t>Positions</w:t>
            </w:r>
          </w:p>
          <w:p w:rsidR="00CC23CD" w:rsidRPr="00C53723" w:rsidRDefault="00CC23CD" w:rsidP="007471A8">
            <w:pPr>
              <w:contextualSpacing/>
              <w:jc w:val="center"/>
              <w:rPr>
                <w:sz w:val="20"/>
                <w:szCs w:val="20"/>
              </w:rPr>
            </w:pPr>
            <w:r w:rsidRPr="00C53723">
              <w:rPr>
                <w:sz w:val="20"/>
                <w:szCs w:val="20"/>
              </w:rPr>
              <w:t>Requested</w:t>
            </w:r>
          </w:p>
        </w:tc>
        <w:tc>
          <w:tcPr>
            <w:tcW w:w="1248" w:type="dxa"/>
            <w:vAlign w:val="center"/>
          </w:tcPr>
          <w:p w:rsidR="00CC23CD" w:rsidRPr="00C53723" w:rsidRDefault="00CC23CD" w:rsidP="007471A8">
            <w:pPr>
              <w:contextualSpacing/>
              <w:jc w:val="center"/>
              <w:rPr>
                <w:sz w:val="20"/>
                <w:szCs w:val="20"/>
              </w:rPr>
            </w:pPr>
            <w:r w:rsidRPr="00C53723">
              <w:rPr>
                <w:sz w:val="20"/>
                <w:szCs w:val="20"/>
              </w:rPr>
              <w:t>FY 201</w:t>
            </w:r>
            <w:r>
              <w:rPr>
                <w:sz w:val="20"/>
                <w:szCs w:val="20"/>
              </w:rPr>
              <w:t>3</w:t>
            </w:r>
          </w:p>
          <w:p w:rsidR="00CC23CD" w:rsidRPr="00C53723" w:rsidRDefault="00CC23CD" w:rsidP="007471A8">
            <w:pPr>
              <w:contextualSpacing/>
              <w:jc w:val="center"/>
              <w:rPr>
                <w:sz w:val="20"/>
                <w:szCs w:val="20"/>
              </w:rPr>
            </w:pPr>
            <w:r w:rsidRPr="00C53723">
              <w:rPr>
                <w:sz w:val="20"/>
                <w:szCs w:val="20"/>
              </w:rPr>
              <w:t>Request ($000)</w:t>
            </w:r>
          </w:p>
        </w:tc>
        <w:tc>
          <w:tcPr>
            <w:tcW w:w="1885" w:type="dxa"/>
            <w:vAlign w:val="center"/>
          </w:tcPr>
          <w:p w:rsidR="00CC23CD" w:rsidRPr="00C53723" w:rsidRDefault="00CC23CD" w:rsidP="007471A8">
            <w:pPr>
              <w:contextualSpacing/>
              <w:jc w:val="center"/>
              <w:rPr>
                <w:sz w:val="20"/>
                <w:szCs w:val="20"/>
              </w:rPr>
            </w:pPr>
            <w:r w:rsidRPr="00C53723">
              <w:rPr>
                <w:sz w:val="20"/>
                <w:szCs w:val="20"/>
              </w:rPr>
              <w:t>FY 201</w:t>
            </w:r>
            <w:r>
              <w:rPr>
                <w:sz w:val="20"/>
                <w:szCs w:val="20"/>
              </w:rPr>
              <w:t>4</w:t>
            </w:r>
            <w:r w:rsidRPr="00C53723">
              <w:rPr>
                <w:sz w:val="20"/>
                <w:szCs w:val="20"/>
              </w:rPr>
              <w:t xml:space="preserve"> </w:t>
            </w:r>
          </w:p>
          <w:p w:rsidR="00CC23CD" w:rsidRPr="00C53723" w:rsidRDefault="00CC23CD" w:rsidP="007471A8">
            <w:pPr>
              <w:contextualSpacing/>
              <w:jc w:val="center"/>
              <w:rPr>
                <w:sz w:val="20"/>
                <w:szCs w:val="20"/>
              </w:rPr>
            </w:pPr>
            <w:r w:rsidRPr="00C53723">
              <w:rPr>
                <w:sz w:val="20"/>
                <w:szCs w:val="20"/>
              </w:rPr>
              <w:t>Net Annualization</w:t>
            </w:r>
          </w:p>
          <w:p w:rsidR="00CC23CD" w:rsidRPr="00C53723" w:rsidRDefault="00CC23CD" w:rsidP="007471A8">
            <w:pPr>
              <w:contextualSpacing/>
              <w:jc w:val="center"/>
              <w:rPr>
                <w:sz w:val="20"/>
                <w:szCs w:val="20"/>
              </w:rPr>
            </w:pPr>
            <w:r w:rsidRPr="00C53723">
              <w:rPr>
                <w:sz w:val="20"/>
                <w:szCs w:val="20"/>
              </w:rPr>
              <w:t>(change from 201</w:t>
            </w:r>
            <w:r>
              <w:rPr>
                <w:sz w:val="20"/>
                <w:szCs w:val="20"/>
              </w:rPr>
              <w:t>3</w:t>
            </w:r>
            <w:r w:rsidRPr="00C53723">
              <w:rPr>
                <w:sz w:val="20"/>
                <w:szCs w:val="20"/>
              </w:rPr>
              <w:t>)</w:t>
            </w:r>
          </w:p>
          <w:p w:rsidR="00CC23CD" w:rsidRPr="00C53723" w:rsidRDefault="00CC23CD" w:rsidP="007471A8">
            <w:pPr>
              <w:contextualSpacing/>
              <w:jc w:val="center"/>
              <w:rPr>
                <w:sz w:val="20"/>
                <w:szCs w:val="20"/>
              </w:rPr>
            </w:pPr>
            <w:r w:rsidRPr="00C53723">
              <w:rPr>
                <w:sz w:val="20"/>
                <w:szCs w:val="20"/>
              </w:rPr>
              <w:t>($000)</w:t>
            </w:r>
          </w:p>
        </w:tc>
      </w:tr>
      <w:tr w:rsidR="00CC23CD" w:rsidRPr="00A53387" w:rsidTr="00A101A4">
        <w:trPr>
          <w:jc w:val="center"/>
        </w:trPr>
        <w:tc>
          <w:tcPr>
            <w:tcW w:w="2188" w:type="dxa"/>
            <w:vAlign w:val="bottom"/>
          </w:tcPr>
          <w:p w:rsidR="00CC23CD" w:rsidRPr="00C22790" w:rsidRDefault="00CC23CD" w:rsidP="007471A8">
            <w:pPr>
              <w:contextualSpacing/>
              <w:rPr>
                <w:color w:val="000000"/>
                <w:sz w:val="20"/>
                <w:szCs w:val="20"/>
              </w:rPr>
            </w:pPr>
            <w:r w:rsidRPr="00C22790">
              <w:rPr>
                <w:color w:val="000000"/>
                <w:sz w:val="20"/>
                <w:szCs w:val="20"/>
              </w:rPr>
              <w:t>Special Agent</w:t>
            </w:r>
          </w:p>
        </w:tc>
        <w:tc>
          <w:tcPr>
            <w:tcW w:w="1619" w:type="dxa"/>
            <w:vAlign w:val="bottom"/>
          </w:tcPr>
          <w:p w:rsidR="00CC23CD" w:rsidRPr="00C22790" w:rsidRDefault="00CC23CD" w:rsidP="007471A8">
            <w:pPr>
              <w:contextualSpacing/>
              <w:jc w:val="right"/>
              <w:rPr>
                <w:color w:val="000000"/>
                <w:sz w:val="20"/>
                <w:szCs w:val="20"/>
              </w:rPr>
            </w:pPr>
            <w:r w:rsidRPr="00C22790">
              <w:rPr>
                <w:color w:val="000000"/>
                <w:sz w:val="20"/>
                <w:szCs w:val="20"/>
              </w:rPr>
              <w:t xml:space="preserve"> $264</w:t>
            </w:r>
          </w:p>
        </w:tc>
        <w:tc>
          <w:tcPr>
            <w:tcW w:w="1794" w:type="dxa"/>
            <w:vAlign w:val="bottom"/>
          </w:tcPr>
          <w:p w:rsidR="00CC23CD" w:rsidRPr="00C22790" w:rsidRDefault="00CC23CD" w:rsidP="007471A8">
            <w:pPr>
              <w:contextualSpacing/>
              <w:jc w:val="right"/>
              <w:rPr>
                <w:color w:val="000000"/>
                <w:sz w:val="20"/>
                <w:szCs w:val="20"/>
              </w:rPr>
            </w:pPr>
            <w:r>
              <w:rPr>
                <w:color w:val="000000"/>
                <w:sz w:val="20"/>
                <w:szCs w:val="20"/>
              </w:rPr>
              <w:t>40</w:t>
            </w:r>
          </w:p>
        </w:tc>
        <w:tc>
          <w:tcPr>
            <w:tcW w:w="1248" w:type="dxa"/>
            <w:vAlign w:val="bottom"/>
          </w:tcPr>
          <w:p w:rsidR="00CC23CD" w:rsidRPr="00C22790" w:rsidRDefault="00CC23CD" w:rsidP="007471A8">
            <w:pPr>
              <w:contextualSpacing/>
              <w:jc w:val="right"/>
              <w:rPr>
                <w:color w:val="000000"/>
                <w:sz w:val="20"/>
                <w:szCs w:val="20"/>
              </w:rPr>
            </w:pPr>
            <w:r>
              <w:rPr>
                <w:color w:val="000000"/>
                <w:sz w:val="20"/>
                <w:szCs w:val="20"/>
              </w:rPr>
              <w:t xml:space="preserve"> $10,560</w:t>
            </w:r>
            <w:r w:rsidRPr="00C22790">
              <w:rPr>
                <w:color w:val="000000"/>
                <w:sz w:val="20"/>
                <w:szCs w:val="20"/>
              </w:rPr>
              <w:t xml:space="preserve"> </w:t>
            </w:r>
          </w:p>
        </w:tc>
        <w:tc>
          <w:tcPr>
            <w:tcW w:w="1885" w:type="dxa"/>
            <w:vAlign w:val="bottom"/>
          </w:tcPr>
          <w:p w:rsidR="00CC23CD" w:rsidRPr="00C22790" w:rsidRDefault="00CC23CD" w:rsidP="007471A8">
            <w:pPr>
              <w:contextualSpacing/>
              <w:jc w:val="right"/>
              <w:rPr>
                <w:color w:val="000000"/>
                <w:sz w:val="20"/>
                <w:szCs w:val="20"/>
              </w:rPr>
            </w:pPr>
            <w:r>
              <w:rPr>
                <w:color w:val="000000"/>
                <w:sz w:val="20"/>
                <w:szCs w:val="20"/>
              </w:rPr>
              <w:t xml:space="preserve"> $(3,880</w:t>
            </w:r>
            <w:r w:rsidRPr="00C22790">
              <w:rPr>
                <w:color w:val="000000"/>
                <w:sz w:val="20"/>
                <w:szCs w:val="20"/>
              </w:rPr>
              <w:t>)</w:t>
            </w:r>
          </w:p>
        </w:tc>
      </w:tr>
      <w:tr w:rsidR="00CC23CD" w:rsidRPr="00A53387" w:rsidTr="00A101A4">
        <w:trPr>
          <w:jc w:val="center"/>
        </w:trPr>
        <w:tc>
          <w:tcPr>
            <w:tcW w:w="2188" w:type="dxa"/>
            <w:vAlign w:val="bottom"/>
          </w:tcPr>
          <w:p w:rsidR="00CC23CD" w:rsidRPr="00C22790" w:rsidRDefault="00CC23CD" w:rsidP="007471A8">
            <w:pPr>
              <w:contextualSpacing/>
              <w:rPr>
                <w:color w:val="000000"/>
                <w:sz w:val="20"/>
                <w:szCs w:val="20"/>
              </w:rPr>
            </w:pPr>
            <w:r w:rsidRPr="00C22790">
              <w:rPr>
                <w:color w:val="000000"/>
                <w:sz w:val="20"/>
                <w:szCs w:val="20"/>
              </w:rPr>
              <w:t>Forensic Accountant</w:t>
            </w:r>
          </w:p>
        </w:tc>
        <w:tc>
          <w:tcPr>
            <w:tcW w:w="1619" w:type="dxa"/>
            <w:vAlign w:val="bottom"/>
          </w:tcPr>
          <w:p w:rsidR="00CC23CD" w:rsidRPr="00C22790" w:rsidRDefault="00CC23CD" w:rsidP="007471A8">
            <w:pPr>
              <w:contextualSpacing/>
              <w:jc w:val="right"/>
              <w:rPr>
                <w:color w:val="000000"/>
                <w:sz w:val="20"/>
                <w:szCs w:val="20"/>
              </w:rPr>
            </w:pPr>
            <w:r w:rsidRPr="00C22790">
              <w:rPr>
                <w:color w:val="000000"/>
                <w:sz w:val="20"/>
                <w:szCs w:val="20"/>
              </w:rPr>
              <w:t xml:space="preserve">122 </w:t>
            </w:r>
          </w:p>
        </w:tc>
        <w:tc>
          <w:tcPr>
            <w:tcW w:w="1794" w:type="dxa"/>
            <w:vAlign w:val="bottom"/>
          </w:tcPr>
          <w:p w:rsidR="00CC23CD" w:rsidRPr="00C22790" w:rsidRDefault="00CC23CD" w:rsidP="007471A8">
            <w:pPr>
              <w:contextualSpacing/>
              <w:jc w:val="right"/>
              <w:rPr>
                <w:color w:val="000000"/>
                <w:sz w:val="20"/>
                <w:szCs w:val="20"/>
              </w:rPr>
            </w:pPr>
            <w:r>
              <w:rPr>
                <w:color w:val="000000"/>
                <w:sz w:val="20"/>
                <w:szCs w:val="20"/>
              </w:rPr>
              <w:t>4</w:t>
            </w:r>
            <w:r w:rsidRPr="00C22790">
              <w:rPr>
                <w:color w:val="000000"/>
                <w:sz w:val="20"/>
                <w:szCs w:val="20"/>
              </w:rPr>
              <w:t xml:space="preserve"> </w:t>
            </w:r>
          </w:p>
        </w:tc>
        <w:tc>
          <w:tcPr>
            <w:tcW w:w="1248" w:type="dxa"/>
            <w:vAlign w:val="bottom"/>
          </w:tcPr>
          <w:p w:rsidR="00CC23CD" w:rsidRPr="00C22790" w:rsidRDefault="00CC23CD" w:rsidP="007471A8">
            <w:pPr>
              <w:contextualSpacing/>
              <w:jc w:val="right"/>
              <w:rPr>
                <w:color w:val="000000"/>
                <w:sz w:val="20"/>
                <w:szCs w:val="20"/>
              </w:rPr>
            </w:pPr>
            <w:r>
              <w:rPr>
                <w:color w:val="000000"/>
                <w:sz w:val="20"/>
                <w:szCs w:val="20"/>
              </w:rPr>
              <w:t>488</w:t>
            </w:r>
            <w:r w:rsidRPr="00C22790">
              <w:rPr>
                <w:color w:val="000000"/>
                <w:sz w:val="20"/>
                <w:szCs w:val="20"/>
              </w:rPr>
              <w:t xml:space="preserve"> </w:t>
            </w:r>
          </w:p>
        </w:tc>
        <w:tc>
          <w:tcPr>
            <w:tcW w:w="1885" w:type="dxa"/>
            <w:vAlign w:val="bottom"/>
          </w:tcPr>
          <w:p w:rsidR="00CC23CD" w:rsidRPr="00C22790" w:rsidRDefault="00CC23CD" w:rsidP="007471A8">
            <w:pPr>
              <w:contextualSpacing/>
              <w:jc w:val="right"/>
              <w:rPr>
                <w:color w:val="000000"/>
                <w:sz w:val="20"/>
                <w:szCs w:val="20"/>
              </w:rPr>
            </w:pPr>
            <w:r>
              <w:rPr>
                <w:color w:val="000000"/>
                <w:sz w:val="20"/>
                <w:szCs w:val="20"/>
              </w:rPr>
              <w:t>68</w:t>
            </w:r>
          </w:p>
        </w:tc>
      </w:tr>
      <w:tr w:rsidR="00CC23CD" w:rsidRPr="00A53387" w:rsidTr="00A101A4">
        <w:trPr>
          <w:jc w:val="center"/>
        </w:trPr>
        <w:tc>
          <w:tcPr>
            <w:tcW w:w="2188" w:type="dxa"/>
            <w:vAlign w:val="bottom"/>
          </w:tcPr>
          <w:p w:rsidR="00CC23CD" w:rsidRPr="00C22790" w:rsidRDefault="00CC23CD" w:rsidP="007471A8">
            <w:pPr>
              <w:contextualSpacing/>
              <w:rPr>
                <w:color w:val="000000"/>
                <w:sz w:val="20"/>
                <w:szCs w:val="20"/>
              </w:rPr>
            </w:pPr>
            <w:r w:rsidRPr="00C22790">
              <w:rPr>
                <w:color w:val="000000"/>
                <w:sz w:val="20"/>
                <w:szCs w:val="20"/>
              </w:rPr>
              <w:t>Total Personnel</w:t>
            </w:r>
          </w:p>
        </w:tc>
        <w:tc>
          <w:tcPr>
            <w:tcW w:w="1619" w:type="dxa"/>
            <w:vAlign w:val="bottom"/>
          </w:tcPr>
          <w:p w:rsidR="00CC23CD" w:rsidRPr="00C22790" w:rsidRDefault="00CC23CD" w:rsidP="007471A8">
            <w:pPr>
              <w:contextualSpacing/>
              <w:jc w:val="right"/>
              <w:rPr>
                <w:color w:val="000000"/>
                <w:sz w:val="20"/>
                <w:szCs w:val="20"/>
              </w:rPr>
            </w:pPr>
            <w:r w:rsidRPr="00C22790">
              <w:rPr>
                <w:color w:val="000000"/>
                <w:sz w:val="20"/>
                <w:szCs w:val="20"/>
              </w:rPr>
              <w:t> </w:t>
            </w:r>
          </w:p>
        </w:tc>
        <w:tc>
          <w:tcPr>
            <w:tcW w:w="1794" w:type="dxa"/>
            <w:vAlign w:val="bottom"/>
          </w:tcPr>
          <w:p w:rsidR="00CC23CD" w:rsidRPr="00C22790" w:rsidRDefault="00CC23CD" w:rsidP="007471A8">
            <w:pPr>
              <w:contextualSpacing/>
              <w:jc w:val="right"/>
              <w:rPr>
                <w:color w:val="000000"/>
                <w:sz w:val="20"/>
                <w:szCs w:val="20"/>
              </w:rPr>
            </w:pPr>
            <w:r>
              <w:rPr>
                <w:color w:val="000000"/>
                <w:sz w:val="20"/>
                <w:szCs w:val="20"/>
              </w:rPr>
              <w:t>44</w:t>
            </w:r>
          </w:p>
        </w:tc>
        <w:tc>
          <w:tcPr>
            <w:tcW w:w="1248" w:type="dxa"/>
            <w:vAlign w:val="bottom"/>
          </w:tcPr>
          <w:p w:rsidR="00CC23CD" w:rsidRPr="00C22790" w:rsidRDefault="00CC23CD" w:rsidP="007471A8">
            <w:pPr>
              <w:contextualSpacing/>
              <w:jc w:val="right"/>
              <w:rPr>
                <w:color w:val="000000"/>
                <w:sz w:val="20"/>
                <w:szCs w:val="20"/>
              </w:rPr>
            </w:pPr>
            <w:r>
              <w:rPr>
                <w:color w:val="000000"/>
                <w:sz w:val="20"/>
                <w:szCs w:val="20"/>
              </w:rPr>
              <w:t xml:space="preserve"> $11,048</w:t>
            </w:r>
            <w:r w:rsidRPr="00C22790">
              <w:rPr>
                <w:color w:val="000000"/>
                <w:sz w:val="20"/>
                <w:szCs w:val="20"/>
              </w:rPr>
              <w:t xml:space="preserve"> </w:t>
            </w:r>
          </w:p>
        </w:tc>
        <w:tc>
          <w:tcPr>
            <w:tcW w:w="1885" w:type="dxa"/>
            <w:vAlign w:val="bottom"/>
          </w:tcPr>
          <w:p w:rsidR="00CC23CD" w:rsidRPr="00C22790" w:rsidRDefault="00CC23CD" w:rsidP="007471A8">
            <w:pPr>
              <w:contextualSpacing/>
              <w:jc w:val="right"/>
              <w:rPr>
                <w:color w:val="000000"/>
                <w:sz w:val="20"/>
                <w:szCs w:val="20"/>
              </w:rPr>
            </w:pPr>
            <w:r>
              <w:rPr>
                <w:color w:val="000000"/>
                <w:sz w:val="20"/>
                <w:szCs w:val="20"/>
              </w:rPr>
              <w:t xml:space="preserve"> $(3,812</w:t>
            </w:r>
            <w:r w:rsidRPr="00C22790">
              <w:rPr>
                <w:color w:val="000000"/>
                <w:sz w:val="20"/>
                <w:szCs w:val="20"/>
              </w:rPr>
              <w:t>)</w:t>
            </w:r>
          </w:p>
        </w:tc>
      </w:tr>
    </w:tbl>
    <w:p w:rsidR="00CC23CD" w:rsidRPr="00C53723" w:rsidRDefault="00CC23CD" w:rsidP="007471A8">
      <w:pPr>
        <w:contextualSpacing/>
        <w:rPr>
          <w:sz w:val="20"/>
          <w:szCs w:val="20"/>
        </w:rPr>
      </w:pPr>
    </w:p>
    <w:p w:rsidR="00CC23CD" w:rsidRPr="003C0F58" w:rsidRDefault="00CC23CD" w:rsidP="007471A8">
      <w:pPr>
        <w:pStyle w:val="xl24"/>
        <w:spacing w:before="0" w:after="0"/>
        <w:contextualSpacing/>
        <w:rPr>
          <w:rFonts w:eastAsia="Times New Roman"/>
          <w:szCs w:val="24"/>
        </w:rPr>
      </w:pPr>
      <w:r w:rsidRPr="003C0F58">
        <w:rPr>
          <w:rFonts w:eastAsia="Times New Roman"/>
          <w:szCs w:val="24"/>
        </w:rPr>
        <w:t>Non-Personnel Increase Cost Summary</w:t>
      </w:r>
    </w:p>
    <w:p w:rsidR="00CC23CD" w:rsidRPr="003C0F58" w:rsidRDefault="00CC23CD" w:rsidP="007471A8">
      <w:pPr>
        <w:contextualSpacing/>
      </w:pP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7"/>
        <w:gridCol w:w="1307"/>
        <w:gridCol w:w="1390"/>
        <w:gridCol w:w="1680"/>
        <w:gridCol w:w="1955"/>
      </w:tblGrid>
      <w:tr w:rsidR="00CC23CD" w:rsidRPr="003C0F58" w:rsidTr="00A101A4">
        <w:trPr>
          <w:jc w:val="center"/>
        </w:trPr>
        <w:tc>
          <w:tcPr>
            <w:tcW w:w="1987" w:type="dxa"/>
            <w:shd w:val="clear" w:color="auto" w:fill="E6E6E6"/>
            <w:vAlign w:val="center"/>
          </w:tcPr>
          <w:p w:rsidR="00CC23CD" w:rsidRPr="00C53723" w:rsidRDefault="00CC23CD" w:rsidP="007471A8">
            <w:pPr>
              <w:contextualSpacing/>
              <w:jc w:val="center"/>
              <w:rPr>
                <w:sz w:val="20"/>
                <w:szCs w:val="20"/>
              </w:rPr>
            </w:pPr>
            <w:r w:rsidRPr="00C53723">
              <w:rPr>
                <w:sz w:val="20"/>
                <w:szCs w:val="20"/>
              </w:rPr>
              <w:t>Non-Personnel Item</w:t>
            </w:r>
          </w:p>
        </w:tc>
        <w:tc>
          <w:tcPr>
            <w:tcW w:w="1307" w:type="dxa"/>
            <w:vAlign w:val="center"/>
          </w:tcPr>
          <w:p w:rsidR="00CC23CD" w:rsidRPr="00C53723" w:rsidRDefault="00CC23CD" w:rsidP="007471A8">
            <w:pPr>
              <w:contextualSpacing/>
              <w:jc w:val="center"/>
              <w:rPr>
                <w:sz w:val="20"/>
                <w:szCs w:val="20"/>
              </w:rPr>
            </w:pPr>
            <w:r w:rsidRPr="00C53723">
              <w:rPr>
                <w:sz w:val="20"/>
                <w:szCs w:val="20"/>
              </w:rPr>
              <w:t>Unit Cost</w:t>
            </w:r>
          </w:p>
        </w:tc>
        <w:tc>
          <w:tcPr>
            <w:tcW w:w="1390" w:type="dxa"/>
            <w:vAlign w:val="center"/>
          </w:tcPr>
          <w:p w:rsidR="00CC23CD" w:rsidRPr="00C53723" w:rsidRDefault="00CC23CD" w:rsidP="007471A8">
            <w:pPr>
              <w:contextualSpacing/>
              <w:jc w:val="center"/>
              <w:rPr>
                <w:sz w:val="20"/>
                <w:szCs w:val="20"/>
              </w:rPr>
            </w:pPr>
            <w:r w:rsidRPr="00C53723">
              <w:rPr>
                <w:sz w:val="20"/>
                <w:szCs w:val="20"/>
              </w:rPr>
              <w:t>Quantity</w:t>
            </w:r>
          </w:p>
        </w:tc>
        <w:tc>
          <w:tcPr>
            <w:tcW w:w="1680" w:type="dxa"/>
            <w:vAlign w:val="center"/>
          </w:tcPr>
          <w:p w:rsidR="00CC23CD" w:rsidRPr="00C53723" w:rsidRDefault="00CC23CD" w:rsidP="007471A8">
            <w:pPr>
              <w:contextualSpacing/>
              <w:jc w:val="center"/>
              <w:rPr>
                <w:sz w:val="20"/>
                <w:szCs w:val="20"/>
              </w:rPr>
            </w:pPr>
            <w:r w:rsidRPr="00C53723">
              <w:rPr>
                <w:sz w:val="20"/>
                <w:szCs w:val="20"/>
              </w:rPr>
              <w:t>FY 201</w:t>
            </w:r>
            <w:r>
              <w:rPr>
                <w:sz w:val="20"/>
                <w:szCs w:val="20"/>
              </w:rPr>
              <w:t>3</w:t>
            </w:r>
            <w:r w:rsidRPr="00C53723">
              <w:rPr>
                <w:sz w:val="20"/>
                <w:szCs w:val="20"/>
              </w:rPr>
              <w:t xml:space="preserve"> Request</w:t>
            </w:r>
          </w:p>
          <w:p w:rsidR="00CC23CD" w:rsidRPr="00C53723" w:rsidRDefault="00CC23CD" w:rsidP="007471A8">
            <w:pPr>
              <w:contextualSpacing/>
              <w:jc w:val="center"/>
              <w:rPr>
                <w:sz w:val="20"/>
                <w:szCs w:val="20"/>
              </w:rPr>
            </w:pPr>
            <w:r w:rsidRPr="00C53723">
              <w:rPr>
                <w:sz w:val="20"/>
                <w:szCs w:val="20"/>
              </w:rPr>
              <w:t>($000)</w:t>
            </w:r>
          </w:p>
        </w:tc>
        <w:tc>
          <w:tcPr>
            <w:tcW w:w="1955" w:type="dxa"/>
            <w:vAlign w:val="center"/>
          </w:tcPr>
          <w:p w:rsidR="00CC23CD" w:rsidRPr="00C53723" w:rsidRDefault="00CC23CD" w:rsidP="007471A8">
            <w:pPr>
              <w:contextualSpacing/>
              <w:jc w:val="center"/>
              <w:rPr>
                <w:sz w:val="20"/>
                <w:szCs w:val="20"/>
              </w:rPr>
            </w:pPr>
            <w:r w:rsidRPr="00C53723">
              <w:rPr>
                <w:sz w:val="20"/>
                <w:szCs w:val="20"/>
              </w:rPr>
              <w:t>FY 201</w:t>
            </w:r>
            <w:r>
              <w:rPr>
                <w:sz w:val="20"/>
                <w:szCs w:val="20"/>
              </w:rPr>
              <w:t>4</w:t>
            </w:r>
            <w:r w:rsidRPr="00C53723">
              <w:rPr>
                <w:sz w:val="20"/>
                <w:szCs w:val="20"/>
              </w:rPr>
              <w:t xml:space="preserve"> Net Annualization</w:t>
            </w:r>
          </w:p>
          <w:p w:rsidR="00CC23CD" w:rsidRPr="00C53723" w:rsidRDefault="00CC23CD" w:rsidP="007471A8">
            <w:pPr>
              <w:contextualSpacing/>
              <w:jc w:val="center"/>
              <w:rPr>
                <w:sz w:val="20"/>
                <w:szCs w:val="20"/>
              </w:rPr>
            </w:pPr>
            <w:r w:rsidRPr="00C53723">
              <w:rPr>
                <w:sz w:val="20"/>
                <w:szCs w:val="20"/>
              </w:rPr>
              <w:t xml:space="preserve"> (Change from 201</w:t>
            </w:r>
            <w:r>
              <w:rPr>
                <w:sz w:val="20"/>
                <w:szCs w:val="20"/>
              </w:rPr>
              <w:t>3</w:t>
            </w:r>
            <w:r w:rsidRPr="00C53723">
              <w:rPr>
                <w:sz w:val="20"/>
                <w:szCs w:val="20"/>
              </w:rPr>
              <w:t>)</w:t>
            </w:r>
          </w:p>
          <w:p w:rsidR="00CC23CD" w:rsidRPr="00C53723" w:rsidRDefault="00CC23CD" w:rsidP="007471A8">
            <w:pPr>
              <w:contextualSpacing/>
              <w:jc w:val="center"/>
              <w:rPr>
                <w:sz w:val="20"/>
                <w:szCs w:val="20"/>
              </w:rPr>
            </w:pPr>
            <w:r w:rsidRPr="00C53723">
              <w:rPr>
                <w:sz w:val="20"/>
                <w:szCs w:val="20"/>
              </w:rPr>
              <w:t>($000)</w:t>
            </w:r>
          </w:p>
        </w:tc>
      </w:tr>
      <w:tr w:rsidR="00CC23CD" w:rsidRPr="003C0F58" w:rsidTr="00A101A4">
        <w:trPr>
          <w:jc w:val="center"/>
        </w:trPr>
        <w:tc>
          <w:tcPr>
            <w:tcW w:w="1987" w:type="dxa"/>
          </w:tcPr>
          <w:p w:rsidR="00CC23CD" w:rsidRPr="00C53723" w:rsidRDefault="00CC23CD" w:rsidP="007471A8">
            <w:pPr>
              <w:contextualSpacing/>
              <w:rPr>
                <w:sz w:val="20"/>
                <w:szCs w:val="20"/>
              </w:rPr>
            </w:pPr>
            <w:r>
              <w:rPr>
                <w:sz w:val="20"/>
                <w:szCs w:val="20"/>
              </w:rPr>
              <w:t>Case Funds</w:t>
            </w:r>
          </w:p>
        </w:tc>
        <w:tc>
          <w:tcPr>
            <w:tcW w:w="1307" w:type="dxa"/>
            <w:vAlign w:val="center"/>
          </w:tcPr>
          <w:p w:rsidR="00CC23CD" w:rsidRPr="00A71629" w:rsidRDefault="00CC23CD" w:rsidP="007471A8">
            <w:pPr>
              <w:pStyle w:val="xl19"/>
              <w:spacing w:before="0" w:after="0"/>
              <w:contextualSpacing/>
              <w:jc w:val="right"/>
              <w:rPr>
                <w:rFonts w:eastAsia="Times New Roman"/>
                <w:sz w:val="20"/>
              </w:rPr>
            </w:pPr>
            <w:r w:rsidRPr="00A71629">
              <w:rPr>
                <w:rFonts w:eastAsia="Times New Roman"/>
                <w:sz w:val="20"/>
              </w:rPr>
              <w:t>n/a</w:t>
            </w:r>
          </w:p>
        </w:tc>
        <w:tc>
          <w:tcPr>
            <w:tcW w:w="1390" w:type="dxa"/>
            <w:vAlign w:val="center"/>
          </w:tcPr>
          <w:p w:rsidR="00CC23CD" w:rsidRPr="00A71629" w:rsidRDefault="00CC23CD" w:rsidP="007471A8">
            <w:pPr>
              <w:contextualSpacing/>
              <w:jc w:val="right"/>
              <w:rPr>
                <w:sz w:val="20"/>
                <w:szCs w:val="20"/>
              </w:rPr>
            </w:pPr>
            <w:r w:rsidRPr="00A71629">
              <w:rPr>
                <w:sz w:val="20"/>
                <w:szCs w:val="20"/>
              </w:rPr>
              <w:t>n/a</w:t>
            </w:r>
          </w:p>
        </w:tc>
        <w:tc>
          <w:tcPr>
            <w:tcW w:w="1680" w:type="dxa"/>
            <w:vAlign w:val="center"/>
          </w:tcPr>
          <w:p w:rsidR="00CC23CD" w:rsidRPr="00A71629" w:rsidRDefault="00CC23CD" w:rsidP="007471A8">
            <w:pPr>
              <w:contextualSpacing/>
              <w:jc w:val="right"/>
              <w:rPr>
                <w:sz w:val="20"/>
                <w:szCs w:val="20"/>
              </w:rPr>
            </w:pPr>
            <w:r>
              <w:rPr>
                <w:sz w:val="20"/>
                <w:szCs w:val="20"/>
              </w:rPr>
              <w:t>$3,952</w:t>
            </w:r>
          </w:p>
        </w:tc>
        <w:tc>
          <w:tcPr>
            <w:tcW w:w="1955" w:type="dxa"/>
            <w:vAlign w:val="center"/>
          </w:tcPr>
          <w:p w:rsidR="00CC23CD" w:rsidRPr="00A71629" w:rsidRDefault="00CC23CD" w:rsidP="007471A8">
            <w:pPr>
              <w:contextualSpacing/>
              <w:jc w:val="right"/>
              <w:rPr>
                <w:sz w:val="20"/>
                <w:szCs w:val="20"/>
              </w:rPr>
            </w:pPr>
            <w:r w:rsidRPr="00A71629">
              <w:rPr>
                <w:sz w:val="20"/>
                <w:szCs w:val="20"/>
              </w:rPr>
              <w:t>$...</w:t>
            </w:r>
          </w:p>
        </w:tc>
      </w:tr>
    </w:tbl>
    <w:p w:rsidR="00CC23CD" w:rsidRPr="003C0F58" w:rsidRDefault="00CC23CD" w:rsidP="007471A8">
      <w:pPr>
        <w:contextualSpacing/>
      </w:pPr>
    </w:p>
    <w:p w:rsidR="00CC23CD" w:rsidRPr="003C0F58" w:rsidRDefault="00CC23CD" w:rsidP="007471A8">
      <w:pPr>
        <w:pStyle w:val="xl24"/>
        <w:spacing w:before="0" w:after="0"/>
        <w:contextualSpacing/>
        <w:rPr>
          <w:rFonts w:eastAsia="Times New Roman"/>
          <w:szCs w:val="24"/>
        </w:rPr>
      </w:pPr>
      <w:r w:rsidRPr="003C0F58">
        <w:rPr>
          <w:rFonts w:eastAsia="Times New Roman"/>
          <w:szCs w:val="24"/>
        </w:rPr>
        <w:t>Total Request for this Item</w:t>
      </w:r>
    </w:p>
    <w:p w:rsidR="00CC23CD" w:rsidRPr="003C0F58" w:rsidRDefault="00CC23CD" w:rsidP="007471A8">
      <w:pPr>
        <w:contextualSpacing/>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720"/>
        <w:gridCol w:w="928"/>
        <w:gridCol w:w="872"/>
        <w:gridCol w:w="1440"/>
        <w:gridCol w:w="1440"/>
        <w:gridCol w:w="1440"/>
        <w:gridCol w:w="1860"/>
      </w:tblGrid>
      <w:tr w:rsidR="00CC23CD" w:rsidRPr="003C0F58" w:rsidTr="00A101A4">
        <w:trPr>
          <w:trHeight w:val="658"/>
          <w:jc w:val="center"/>
        </w:trPr>
        <w:tc>
          <w:tcPr>
            <w:tcW w:w="1620" w:type="dxa"/>
            <w:shd w:val="clear" w:color="auto" w:fill="E6E6E6"/>
          </w:tcPr>
          <w:p w:rsidR="00CC23CD" w:rsidRPr="00C53723" w:rsidRDefault="00CC23CD" w:rsidP="007471A8">
            <w:pPr>
              <w:contextualSpacing/>
              <w:rPr>
                <w:sz w:val="20"/>
                <w:szCs w:val="20"/>
              </w:rPr>
            </w:pPr>
          </w:p>
          <w:p w:rsidR="00CC23CD" w:rsidRPr="00C53723" w:rsidRDefault="00CC23CD" w:rsidP="007471A8">
            <w:pPr>
              <w:contextualSpacing/>
              <w:rPr>
                <w:sz w:val="20"/>
                <w:szCs w:val="20"/>
              </w:rPr>
            </w:pPr>
          </w:p>
        </w:tc>
        <w:tc>
          <w:tcPr>
            <w:tcW w:w="720" w:type="dxa"/>
            <w:vAlign w:val="center"/>
          </w:tcPr>
          <w:p w:rsidR="00CC23CD" w:rsidRPr="00C53723" w:rsidRDefault="00CC23CD" w:rsidP="007471A8">
            <w:pPr>
              <w:contextualSpacing/>
              <w:jc w:val="center"/>
              <w:rPr>
                <w:sz w:val="20"/>
                <w:szCs w:val="20"/>
              </w:rPr>
            </w:pPr>
            <w:r w:rsidRPr="00C53723">
              <w:rPr>
                <w:sz w:val="20"/>
                <w:szCs w:val="20"/>
              </w:rPr>
              <w:t>Pos</w:t>
            </w:r>
          </w:p>
        </w:tc>
        <w:tc>
          <w:tcPr>
            <w:tcW w:w="928" w:type="dxa"/>
            <w:vAlign w:val="center"/>
          </w:tcPr>
          <w:p w:rsidR="00CC23CD" w:rsidRPr="00C53723" w:rsidRDefault="00CC23CD" w:rsidP="007471A8">
            <w:pPr>
              <w:contextualSpacing/>
              <w:jc w:val="center"/>
              <w:rPr>
                <w:sz w:val="20"/>
                <w:szCs w:val="20"/>
              </w:rPr>
            </w:pPr>
          </w:p>
          <w:p w:rsidR="00CC23CD" w:rsidRPr="00C53723" w:rsidRDefault="00CC23CD" w:rsidP="007471A8">
            <w:pPr>
              <w:contextualSpacing/>
              <w:jc w:val="center"/>
              <w:rPr>
                <w:sz w:val="20"/>
                <w:szCs w:val="20"/>
              </w:rPr>
            </w:pPr>
            <w:r w:rsidRPr="00C53723">
              <w:rPr>
                <w:sz w:val="20"/>
                <w:szCs w:val="20"/>
              </w:rPr>
              <w:t>Agt</w:t>
            </w:r>
          </w:p>
          <w:p w:rsidR="00CC23CD" w:rsidRPr="00C53723" w:rsidRDefault="00CC23CD" w:rsidP="007471A8">
            <w:pPr>
              <w:contextualSpacing/>
              <w:jc w:val="center"/>
              <w:rPr>
                <w:sz w:val="20"/>
                <w:szCs w:val="20"/>
              </w:rPr>
            </w:pPr>
          </w:p>
        </w:tc>
        <w:tc>
          <w:tcPr>
            <w:tcW w:w="872" w:type="dxa"/>
            <w:vAlign w:val="center"/>
          </w:tcPr>
          <w:p w:rsidR="00CC23CD" w:rsidRPr="00C53723" w:rsidRDefault="00CC23CD" w:rsidP="007471A8">
            <w:pPr>
              <w:contextualSpacing/>
              <w:jc w:val="center"/>
              <w:rPr>
                <w:sz w:val="20"/>
                <w:szCs w:val="20"/>
              </w:rPr>
            </w:pPr>
            <w:smartTag w:uri="urn:schemas-microsoft-com:office:smarttags" w:element="stockticker">
              <w:r w:rsidRPr="00C53723">
                <w:rPr>
                  <w:sz w:val="20"/>
                  <w:szCs w:val="20"/>
                </w:rPr>
                <w:t>FTE</w:t>
              </w:r>
            </w:smartTag>
          </w:p>
        </w:tc>
        <w:tc>
          <w:tcPr>
            <w:tcW w:w="1440" w:type="dxa"/>
            <w:vAlign w:val="center"/>
          </w:tcPr>
          <w:p w:rsidR="00CC23CD" w:rsidRPr="00C53723" w:rsidRDefault="00CC23CD" w:rsidP="007471A8">
            <w:pPr>
              <w:contextualSpacing/>
              <w:jc w:val="center"/>
              <w:rPr>
                <w:sz w:val="20"/>
                <w:szCs w:val="20"/>
              </w:rPr>
            </w:pPr>
            <w:r w:rsidRPr="00C53723">
              <w:rPr>
                <w:sz w:val="20"/>
                <w:szCs w:val="20"/>
              </w:rPr>
              <w:t>Personnel</w:t>
            </w:r>
          </w:p>
          <w:p w:rsidR="00CC23CD" w:rsidRPr="00C53723" w:rsidRDefault="00CC23CD" w:rsidP="007471A8">
            <w:pPr>
              <w:contextualSpacing/>
              <w:jc w:val="center"/>
              <w:rPr>
                <w:sz w:val="20"/>
                <w:szCs w:val="20"/>
              </w:rPr>
            </w:pPr>
            <w:r w:rsidRPr="00C53723">
              <w:rPr>
                <w:sz w:val="20"/>
                <w:szCs w:val="20"/>
              </w:rPr>
              <w:t>($000)</w:t>
            </w:r>
          </w:p>
        </w:tc>
        <w:tc>
          <w:tcPr>
            <w:tcW w:w="1440" w:type="dxa"/>
            <w:vAlign w:val="center"/>
          </w:tcPr>
          <w:p w:rsidR="00CC23CD" w:rsidRPr="00C53723" w:rsidRDefault="00CC23CD" w:rsidP="007471A8">
            <w:pPr>
              <w:contextualSpacing/>
              <w:jc w:val="center"/>
              <w:rPr>
                <w:sz w:val="20"/>
                <w:szCs w:val="20"/>
              </w:rPr>
            </w:pPr>
            <w:r w:rsidRPr="00C53723">
              <w:rPr>
                <w:sz w:val="20"/>
                <w:szCs w:val="20"/>
              </w:rPr>
              <w:t>Non-Personnel</w:t>
            </w:r>
          </w:p>
          <w:p w:rsidR="00CC23CD" w:rsidRPr="00C53723" w:rsidRDefault="00CC23CD" w:rsidP="007471A8">
            <w:pPr>
              <w:contextualSpacing/>
              <w:jc w:val="center"/>
              <w:rPr>
                <w:sz w:val="20"/>
                <w:szCs w:val="20"/>
              </w:rPr>
            </w:pPr>
            <w:r w:rsidRPr="00C53723">
              <w:rPr>
                <w:sz w:val="20"/>
                <w:szCs w:val="20"/>
              </w:rPr>
              <w:t>($000)</w:t>
            </w:r>
          </w:p>
        </w:tc>
        <w:tc>
          <w:tcPr>
            <w:tcW w:w="1440" w:type="dxa"/>
            <w:vAlign w:val="center"/>
          </w:tcPr>
          <w:p w:rsidR="00CC23CD" w:rsidRPr="00C53723" w:rsidRDefault="00CC23CD" w:rsidP="007471A8">
            <w:pPr>
              <w:contextualSpacing/>
              <w:jc w:val="center"/>
              <w:rPr>
                <w:sz w:val="20"/>
                <w:szCs w:val="20"/>
              </w:rPr>
            </w:pPr>
            <w:r w:rsidRPr="00C53723">
              <w:rPr>
                <w:sz w:val="20"/>
                <w:szCs w:val="20"/>
              </w:rPr>
              <w:t>Total</w:t>
            </w:r>
          </w:p>
          <w:p w:rsidR="00CC23CD" w:rsidRPr="00C53723" w:rsidRDefault="00CC23CD" w:rsidP="007471A8">
            <w:pPr>
              <w:contextualSpacing/>
              <w:jc w:val="center"/>
              <w:rPr>
                <w:sz w:val="20"/>
                <w:szCs w:val="20"/>
              </w:rPr>
            </w:pPr>
            <w:r w:rsidRPr="00C53723">
              <w:rPr>
                <w:sz w:val="20"/>
                <w:szCs w:val="20"/>
              </w:rPr>
              <w:t>($000)</w:t>
            </w:r>
          </w:p>
        </w:tc>
        <w:tc>
          <w:tcPr>
            <w:tcW w:w="1860" w:type="dxa"/>
          </w:tcPr>
          <w:p w:rsidR="00CC23CD" w:rsidRPr="00C53723" w:rsidRDefault="00CC23CD" w:rsidP="007471A8">
            <w:pPr>
              <w:contextualSpacing/>
              <w:jc w:val="center"/>
              <w:rPr>
                <w:sz w:val="20"/>
                <w:szCs w:val="20"/>
              </w:rPr>
            </w:pPr>
            <w:r w:rsidRPr="00C53723">
              <w:rPr>
                <w:sz w:val="20"/>
                <w:szCs w:val="20"/>
              </w:rPr>
              <w:t>FY 201</w:t>
            </w:r>
            <w:r>
              <w:rPr>
                <w:sz w:val="20"/>
                <w:szCs w:val="20"/>
              </w:rPr>
              <w:t>4</w:t>
            </w:r>
            <w:r w:rsidRPr="00C53723">
              <w:rPr>
                <w:sz w:val="20"/>
                <w:szCs w:val="20"/>
              </w:rPr>
              <w:t xml:space="preserve"> Net</w:t>
            </w:r>
          </w:p>
          <w:p w:rsidR="00CC23CD" w:rsidRPr="00C53723" w:rsidRDefault="00CC23CD" w:rsidP="007471A8">
            <w:pPr>
              <w:contextualSpacing/>
              <w:jc w:val="center"/>
              <w:rPr>
                <w:sz w:val="20"/>
                <w:szCs w:val="20"/>
              </w:rPr>
            </w:pPr>
            <w:r w:rsidRPr="00C53723">
              <w:rPr>
                <w:sz w:val="20"/>
                <w:szCs w:val="20"/>
              </w:rPr>
              <w:t>Annualization</w:t>
            </w:r>
          </w:p>
          <w:p w:rsidR="00CC23CD" w:rsidRPr="00C53723" w:rsidRDefault="00CC23CD" w:rsidP="007471A8">
            <w:pPr>
              <w:contextualSpacing/>
              <w:jc w:val="center"/>
              <w:rPr>
                <w:sz w:val="20"/>
                <w:szCs w:val="20"/>
              </w:rPr>
            </w:pPr>
            <w:r w:rsidRPr="00C53723">
              <w:rPr>
                <w:sz w:val="20"/>
                <w:szCs w:val="20"/>
              </w:rPr>
              <w:t>(Change from 201</w:t>
            </w:r>
            <w:r>
              <w:rPr>
                <w:sz w:val="20"/>
                <w:szCs w:val="20"/>
              </w:rPr>
              <w:t>3</w:t>
            </w:r>
            <w:r w:rsidRPr="00C53723">
              <w:rPr>
                <w:sz w:val="20"/>
                <w:szCs w:val="20"/>
              </w:rPr>
              <w:t>)</w:t>
            </w:r>
          </w:p>
          <w:p w:rsidR="00CC23CD" w:rsidRPr="00C53723" w:rsidRDefault="00CC23CD" w:rsidP="007471A8">
            <w:pPr>
              <w:contextualSpacing/>
              <w:jc w:val="center"/>
              <w:rPr>
                <w:sz w:val="20"/>
                <w:szCs w:val="20"/>
              </w:rPr>
            </w:pPr>
            <w:r w:rsidRPr="00C53723">
              <w:rPr>
                <w:sz w:val="20"/>
                <w:szCs w:val="20"/>
              </w:rPr>
              <w:t>($000)</w:t>
            </w:r>
          </w:p>
        </w:tc>
      </w:tr>
      <w:tr w:rsidR="00CC23CD" w:rsidRPr="003C0F58" w:rsidTr="00842C48">
        <w:trPr>
          <w:trHeight w:val="215"/>
          <w:jc w:val="center"/>
        </w:trPr>
        <w:tc>
          <w:tcPr>
            <w:tcW w:w="1620" w:type="dxa"/>
            <w:vAlign w:val="center"/>
          </w:tcPr>
          <w:p w:rsidR="00CC23CD" w:rsidRPr="00C53723" w:rsidRDefault="00CC23CD" w:rsidP="007471A8">
            <w:pPr>
              <w:contextualSpacing/>
              <w:rPr>
                <w:sz w:val="20"/>
                <w:szCs w:val="20"/>
              </w:rPr>
            </w:pPr>
            <w:r w:rsidRPr="00C53723">
              <w:rPr>
                <w:sz w:val="20"/>
                <w:szCs w:val="20"/>
              </w:rPr>
              <w:t>Current Services</w:t>
            </w:r>
          </w:p>
        </w:tc>
        <w:tc>
          <w:tcPr>
            <w:tcW w:w="720" w:type="dxa"/>
            <w:vAlign w:val="center"/>
          </w:tcPr>
          <w:p w:rsidR="00CC23CD" w:rsidRPr="00A71629" w:rsidRDefault="00CC23CD" w:rsidP="007471A8">
            <w:pPr>
              <w:contextualSpacing/>
              <w:jc w:val="right"/>
              <w:rPr>
                <w:sz w:val="20"/>
                <w:szCs w:val="20"/>
              </w:rPr>
            </w:pPr>
            <w:r>
              <w:rPr>
                <w:sz w:val="20"/>
                <w:szCs w:val="20"/>
              </w:rPr>
              <w:t>922</w:t>
            </w:r>
          </w:p>
        </w:tc>
        <w:tc>
          <w:tcPr>
            <w:tcW w:w="928" w:type="dxa"/>
            <w:vAlign w:val="center"/>
          </w:tcPr>
          <w:p w:rsidR="00CC23CD" w:rsidRPr="00A71629" w:rsidRDefault="00CC23CD" w:rsidP="007471A8">
            <w:pPr>
              <w:contextualSpacing/>
              <w:jc w:val="right"/>
              <w:rPr>
                <w:sz w:val="20"/>
                <w:szCs w:val="20"/>
              </w:rPr>
            </w:pPr>
            <w:r>
              <w:rPr>
                <w:sz w:val="20"/>
                <w:szCs w:val="20"/>
              </w:rPr>
              <w:t>693</w:t>
            </w:r>
          </w:p>
        </w:tc>
        <w:tc>
          <w:tcPr>
            <w:tcW w:w="872" w:type="dxa"/>
            <w:vAlign w:val="center"/>
          </w:tcPr>
          <w:p w:rsidR="00CC23CD" w:rsidRPr="00A71629" w:rsidRDefault="00CC23CD" w:rsidP="007471A8">
            <w:pPr>
              <w:contextualSpacing/>
              <w:jc w:val="right"/>
              <w:rPr>
                <w:sz w:val="20"/>
                <w:szCs w:val="20"/>
              </w:rPr>
            </w:pPr>
            <w:r>
              <w:rPr>
                <w:sz w:val="20"/>
                <w:szCs w:val="20"/>
              </w:rPr>
              <w:t>922</w:t>
            </w:r>
          </w:p>
        </w:tc>
        <w:tc>
          <w:tcPr>
            <w:tcW w:w="1440" w:type="dxa"/>
            <w:vAlign w:val="center"/>
          </w:tcPr>
          <w:p w:rsidR="00CC23CD" w:rsidRPr="00A71629" w:rsidRDefault="00CC23CD" w:rsidP="007471A8">
            <w:pPr>
              <w:contextualSpacing/>
              <w:jc w:val="right"/>
              <w:rPr>
                <w:sz w:val="20"/>
                <w:szCs w:val="20"/>
              </w:rPr>
            </w:pPr>
            <w:r>
              <w:rPr>
                <w:sz w:val="20"/>
                <w:szCs w:val="20"/>
              </w:rPr>
              <w:t>$140,889</w:t>
            </w:r>
          </w:p>
        </w:tc>
        <w:tc>
          <w:tcPr>
            <w:tcW w:w="1440" w:type="dxa"/>
            <w:vAlign w:val="center"/>
          </w:tcPr>
          <w:p w:rsidR="00CC23CD" w:rsidRPr="00A71629" w:rsidRDefault="00CC23CD" w:rsidP="007471A8">
            <w:pPr>
              <w:contextualSpacing/>
              <w:jc w:val="right"/>
              <w:rPr>
                <w:sz w:val="20"/>
                <w:szCs w:val="20"/>
              </w:rPr>
            </w:pPr>
            <w:r>
              <w:rPr>
                <w:sz w:val="20"/>
                <w:szCs w:val="20"/>
              </w:rPr>
              <w:t>$6,214</w:t>
            </w:r>
          </w:p>
        </w:tc>
        <w:tc>
          <w:tcPr>
            <w:tcW w:w="1440" w:type="dxa"/>
            <w:vAlign w:val="center"/>
          </w:tcPr>
          <w:p w:rsidR="00CC23CD" w:rsidRPr="00A71629" w:rsidRDefault="00CC23CD" w:rsidP="007471A8">
            <w:pPr>
              <w:contextualSpacing/>
              <w:jc w:val="right"/>
              <w:rPr>
                <w:sz w:val="20"/>
                <w:szCs w:val="20"/>
              </w:rPr>
            </w:pPr>
            <w:r>
              <w:rPr>
                <w:sz w:val="20"/>
                <w:szCs w:val="20"/>
              </w:rPr>
              <w:t>$147,103</w:t>
            </w:r>
          </w:p>
        </w:tc>
        <w:tc>
          <w:tcPr>
            <w:tcW w:w="1860" w:type="dxa"/>
            <w:vAlign w:val="center"/>
          </w:tcPr>
          <w:p w:rsidR="00CC23CD" w:rsidRPr="00A71629" w:rsidRDefault="00CC23CD" w:rsidP="007471A8">
            <w:pPr>
              <w:contextualSpacing/>
              <w:jc w:val="right"/>
              <w:rPr>
                <w:sz w:val="20"/>
                <w:szCs w:val="20"/>
              </w:rPr>
            </w:pPr>
            <w:r w:rsidRPr="00A71629">
              <w:rPr>
                <w:sz w:val="20"/>
                <w:szCs w:val="20"/>
              </w:rPr>
              <w:t>$...</w:t>
            </w:r>
          </w:p>
        </w:tc>
      </w:tr>
      <w:tr w:rsidR="00CC23CD" w:rsidRPr="003C0F58" w:rsidTr="00842C48">
        <w:trPr>
          <w:trHeight w:val="215"/>
          <w:jc w:val="center"/>
        </w:trPr>
        <w:tc>
          <w:tcPr>
            <w:tcW w:w="1620" w:type="dxa"/>
            <w:vAlign w:val="center"/>
          </w:tcPr>
          <w:p w:rsidR="00CC23CD" w:rsidRPr="00C53723" w:rsidRDefault="00CC23CD" w:rsidP="007471A8">
            <w:pPr>
              <w:contextualSpacing/>
              <w:rPr>
                <w:sz w:val="20"/>
                <w:szCs w:val="20"/>
              </w:rPr>
            </w:pPr>
            <w:r w:rsidRPr="00C53723">
              <w:rPr>
                <w:sz w:val="20"/>
                <w:szCs w:val="20"/>
              </w:rPr>
              <w:t>Increases</w:t>
            </w:r>
          </w:p>
        </w:tc>
        <w:tc>
          <w:tcPr>
            <w:tcW w:w="720" w:type="dxa"/>
            <w:vAlign w:val="center"/>
          </w:tcPr>
          <w:p w:rsidR="00CC23CD" w:rsidRPr="00A71629" w:rsidRDefault="00CC23CD" w:rsidP="007471A8">
            <w:pPr>
              <w:contextualSpacing/>
              <w:jc w:val="right"/>
              <w:rPr>
                <w:sz w:val="20"/>
                <w:szCs w:val="20"/>
              </w:rPr>
            </w:pPr>
            <w:r>
              <w:rPr>
                <w:sz w:val="20"/>
                <w:szCs w:val="20"/>
              </w:rPr>
              <w:t>44</w:t>
            </w:r>
          </w:p>
        </w:tc>
        <w:tc>
          <w:tcPr>
            <w:tcW w:w="928" w:type="dxa"/>
            <w:vAlign w:val="center"/>
          </w:tcPr>
          <w:p w:rsidR="00CC23CD" w:rsidRPr="00A71629" w:rsidRDefault="00CC23CD" w:rsidP="007471A8">
            <w:pPr>
              <w:contextualSpacing/>
              <w:jc w:val="right"/>
              <w:rPr>
                <w:sz w:val="20"/>
                <w:szCs w:val="20"/>
              </w:rPr>
            </w:pPr>
            <w:r>
              <w:rPr>
                <w:sz w:val="20"/>
                <w:szCs w:val="20"/>
              </w:rPr>
              <w:t>40</w:t>
            </w:r>
          </w:p>
        </w:tc>
        <w:tc>
          <w:tcPr>
            <w:tcW w:w="872" w:type="dxa"/>
            <w:vAlign w:val="center"/>
          </w:tcPr>
          <w:p w:rsidR="00CC23CD" w:rsidRPr="00A71629" w:rsidRDefault="00CC23CD" w:rsidP="007471A8">
            <w:pPr>
              <w:contextualSpacing/>
              <w:jc w:val="right"/>
              <w:rPr>
                <w:sz w:val="20"/>
                <w:szCs w:val="20"/>
              </w:rPr>
            </w:pPr>
            <w:r>
              <w:rPr>
                <w:sz w:val="20"/>
                <w:szCs w:val="20"/>
              </w:rPr>
              <w:t>22</w:t>
            </w:r>
          </w:p>
        </w:tc>
        <w:tc>
          <w:tcPr>
            <w:tcW w:w="1440" w:type="dxa"/>
            <w:vAlign w:val="center"/>
          </w:tcPr>
          <w:p w:rsidR="00CC23CD" w:rsidRPr="00A71629" w:rsidRDefault="00CC23CD" w:rsidP="007471A8">
            <w:pPr>
              <w:contextualSpacing/>
              <w:jc w:val="right"/>
              <w:rPr>
                <w:sz w:val="20"/>
                <w:szCs w:val="20"/>
              </w:rPr>
            </w:pPr>
            <w:r>
              <w:rPr>
                <w:sz w:val="20"/>
                <w:szCs w:val="20"/>
              </w:rPr>
              <w:t>11,048</w:t>
            </w:r>
          </w:p>
        </w:tc>
        <w:tc>
          <w:tcPr>
            <w:tcW w:w="1440" w:type="dxa"/>
            <w:vAlign w:val="center"/>
          </w:tcPr>
          <w:p w:rsidR="00CC23CD" w:rsidRPr="00A71629" w:rsidRDefault="00CC23CD" w:rsidP="007471A8">
            <w:pPr>
              <w:contextualSpacing/>
              <w:jc w:val="right"/>
              <w:rPr>
                <w:sz w:val="20"/>
                <w:szCs w:val="20"/>
              </w:rPr>
            </w:pPr>
            <w:r>
              <w:rPr>
                <w:sz w:val="20"/>
                <w:szCs w:val="20"/>
              </w:rPr>
              <w:t>3,952</w:t>
            </w:r>
          </w:p>
        </w:tc>
        <w:tc>
          <w:tcPr>
            <w:tcW w:w="1440" w:type="dxa"/>
            <w:vAlign w:val="center"/>
          </w:tcPr>
          <w:p w:rsidR="00CC23CD" w:rsidRPr="00A71629" w:rsidRDefault="00CC23CD" w:rsidP="007471A8">
            <w:pPr>
              <w:contextualSpacing/>
              <w:jc w:val="right"/>
              <w:rPr>
                <w:sz w:val="20"/>
                <w:szCs w:val="20"/>
              </w:rPr>
            </w:pPr>
            <w:r>
              <w:rPr>
                <w:sz w:val="20"/>
                <w:szCs w:val="20"/>
              </w:rPr>
              <w:t>15,000</w:t>
            </w:r>
          </w:p>
        </w:tc>
        <w:tc>
          <w:tcPr>
            <w:tcW w:w="1860" w:type="dxa"/>
            <w:vAlign w:val="center"/>
          </w:tcPr>
          <w:p w:rsidR="00CC23CD" w:rsidRPr="00A71629" w:rsidRDefault="00CC23CD" w:rsidP="007471A8">
            <w:pPr>
              <w:contextualSpacing/>
              <w:jc w:val="right"/>
              <w:rPr>
                <w:sz w:val="20"/>
                <w:szCs w:val="20"/>
              </w:rPr>
            </w:pPr>
            <w:r>
              <w:rPr>
                <w:sz w:val="20"/>
                <w:szCs w:val="20"/>
              </w:rPr>
              <w:t>(3,812)</w:t>
            </w:r>
          </w:p>
        </w:tc>
      </w:tr>
      <w:tr w:rsidR="00CC23CD" w:rsidRPr="003C0F58" w:rsidTr="00842C48">
        <w:trPr>
          <w:trHeight w:val="242"/>
          <w:jc w:val="center"/>
        </w:trPr>
        <w:tc>
          <w:tcPr>
            <w:tcW w:w="1620" w:type="dxa"/>
            <w:vAlign w:val="center"/>
          </w:tcPr>
          <w:p w:rsidR="00CC23CD" w:rsidRPr="00C53723" w:rsidRDefault="00CC23CD" w:rsidP="007471A8">
            <w:pPr>
              <w:contextualSpacing/>
              <w:rPr>
                <w:sz w:val="20"/>
                <w:szCs w:val="20"/>
              </w:rPr>
            </w:pPr>
            <w:r w:rsidRPr="00C53723">
              <w:rPr>
                <w:sz w:val="20"/>
                <w:szCs w:val="20"/>
              </w:rPr>
              <w:t>Grand Total</w:t>
            </w:r>
          </w:p>
        </w:tc>
        <w:tc>
          <w:tcPr>
            <w:tcW w:w="720" w:type="dxa"/>
            <w:vAlign w:val="center"/>
          </w:tcPr>
          <w:p w:rsidR="00CC23CD" w:rsidRPr="00A71629" w:rsidRDefault="00CC23CD" w:rsidP="007471A8">
            <w:pPr>
              <w:contextualSpacing/>
              <w:jc w:val="right"/>
              <w:rPr>
                <w:sz w:val="20"/>
                <w:szCs w:val="20"/>
              </w:rPr>
            </w:pPr>
            <w:r>
              <w:rPr>
                <w:sz w:val="20"/>
                <w:szCs w:val="20"/>
              </w:rPr>
              <w:t>966</w:t>
            </w:r>
          </w:p>
        </w:tc>
        <w:tc>
          <w:tcPr>
            <w:tcW w:w="928" w:type="dxa"/>
            <w:vAlign w:val="center"/>
          </w:tcPr>
          <w:p w:rsidR="00CC23CD" w:rsidRPr="00A71629" w:rsidRDefault="00CC23CD" w:rsidP="007471A8">
            <w:pPr>
              <w:contextualSpacing/>
              <w:jc w:val="right"/>
              <w:rPr>
                <w:sz w:val="20"/>
                <w:szCs w:val="20"/>
              </w:rPr>
            </w:pPr>
            <w:r>
              <w:rPr>
                <w:sz w:val="20"/>
                <w:szCs w:val="20"/>
              </w:rPr>
              <w:t>733</w:t>
            </w:r>
          </w:p>
        </w:tc>
        <w:tc>
          <w:tcPr>
            <w:tcW w:w="872" w:type="dxa"/>
            <w:vAlign w:val="center"/>
          </w:tcPr>
          <w:p w:rsidR="00CC23CD" w:rsidRPr="00A71629" w:rsidRDefault="00CC23CD" w:rsidP="007471A8">
            <w:pPr>
              <w:contextualSpacing/>
              <w:jc w:val="right"/>
              <w:rPr>
                <w:sz w:val="20"/>
                <w:szCs w:val="20"/>
              </w:rPr>
            </w:pPr>
            <w:r>
              <w:rPr>
                <w:sz w:val="20"/>
                <w:szCs w:val="20"/>
              </w:rPr>
              <w:t>944</w:t>
            </w:r>
          </w:p>
        </w:tc>
        <w:tc>
          <w:tcPr>
            <w:tcW w:w="1440" w:type="dxa"/>
            <w:vAlign w:val="center"/>
          </w:tcPr>
          <w:p w:rsidR="00CC23CD" w:rsidRPr="00A71629" w:rsidRDefault="00CC23CD" w:rsidP="007471A8">
            <w:pPr>
              <w:contextualSpacing/>
              <w:jc w:val="right"/>
              <w:rPr>
                <w:sz w:val="20"/>
                <w:szCs w:val="20"/>
              </w:rPr>
            </w:pPr>
            <w:r>
              <w:rPr>
                <w:sz w:val="20"/>
                <w:szCs w:val="20"/>
              </w:rPr>
              <w:t>$151,937</w:t>
            </w:r>
          </w:p>
        </w:tc>
        <w:tc>
          <w:tcPr>
            <w:tcW w:w="1440" w:type="dxa"/>
            <w:vAlign w:val="center"/>
          </w:tcPr>
          <w:p w:rsidR="00CC23CD" w:rsidRPr="00A71629" w:rsidRDefault="00CC23CD" w:rsidP="007471A8">
            <w:pPr>
              <w:contextualSpacing/>
              <w:jc w:val="right"/>
              <w:rPr>
                <w:sz w:val="20"/>
                <w:szCs w:val="20"/>
              </w:rPr>
            </w:pPr>
            <w:r>
              <w:rPr>
                <w:sz w:val="20"/>
                <w:szCs w:val="20"/>
              </w:rPr>
              <w:t>$10,166</w:t>
            </w:r>
          </w:p>
        </w:tc>
        <w:tc>
          <w:tcPr>
            <w:tcW w:w="1440" w:type="dxa"/>
            <w:vAlign w:val="center"/>
          </w:tcPr>
          <w:p w:rsidR="00CC23CD" w:rsidRPr="00A71629" w:rsidRDefault="00CC23CD" w:rsidP="007471A8">
            <w:pPr>
              <w:contextualSpacing/>
              <w:jc w:val="right"/>
              <w:rPr>
                <w:sz w:val="20"/>
                <w:szCs w:val="20"/>
              </w:rPr>
            </w:pPr>
            <w:r>
              <w:rPr>
                <w:sz w:val="20"/>
                <w:szCs w:val="20"/>
              </w:rPr>
              <w:t>$162,103</w:t>
            </w:r>
          </w:p>
        </w:tc>
        <w:tc>
          <w:tcPr>
            <w:tcW w:w="1860" w:type="dxa"/>
            <w:vAlign w:val="center"/>
          </w:tcPr>
          <w:p w:rsidR="00CC23CD" w:rsidRPr="00A71629" w:rsidRDefault="00CC23CD" w:rsidP="007471A8">
            <w:pPr>
              <w:contextualSpacing/>
              <w:jc w:val="right"/>
              <w:rPr>
                <w:sz w:val="20"/>
                <w:szCs w:val="20"/>
              </w:rPr>
            </w:pPr>
            <w:r w:rsidRPr="00A71629">
              <w:rPr>
                <w:sz w:val="20"/>
                <w:szCs w:val="20"/>
              </w:rPr>
              <w:t>$</w:t>
            </w:r>
            <w:r>
              <w:rPr>
                <w:sz w:val="20"/>
                <w:szCs w:val="20"/>
              </w:rPr>
              <w:t>(3,812)</w:t>
            </w:r>
          </w:p>
        </w:tc>
      </w:tr>
    </w:tbl>
    <w:p w:rsidR="00CC23CD" w:rsidRDefault="00CC23CD" w:rsidP="007471A8">
      <w:pPr>
        <w:contextualSpacing/>
      </w:pPr>
    </w:p>
    <w:p w:rsidR="00D020D3" w:rsidRDefault="00D020D3" w:rsidP="007471A8">
      <w:pPr>
        <w:pStyle w:val="BodyText"/>
        <w:contextualSpacing/>
        <w:rPr>
          <w:rFonts w:cs="Arial"/>
          <w:b/>
          <w:bCs/>
          <w:sz w:val="28"/>
          <w:szCs w:val="28"/>
        </w:rPr>
        <w:sectPr w:rsidR="00D020D3" w:rsidSect="007471A8">
          <w:footerReference w:type="even" r:id="rId64"/>
          <w:footerReference w:type="default" r:id="rId65"/>
          <w:pgSz w:w="12240" w:h="15840" w:code="1"/>
          <w:pgMar w:top="1080" w:right="1080" w:bottom="1080" w:left="1080" w:header="432" w:footer="432" w:gutter="0"/>
          <w:pgNumType w:start="1"/>
          <w:cols w:space="720"/>
          <w:docGrid w:linePitch="326"/>
        </w:sectPr>
      </w:pPr>
    </w:p>
    <w:p w:rsidR="00B27D64" w:rsidRPr="005950BB" w:rsidRDefault="00B27D64" w:rsidP="007471A8">
      <w:pPr>
        <w:pStyle w:val="BodyText"/>
        <w:contextualSpacing/>
        <w:rPr>
          <w:rFonts w:cs="Arial"/>
          <w:b/>
          <w:bCs/>
          <w:sz w:val="28"/>
          <w:szCs w:val="28"/>
        </w:rPr>
      </w:pPr>
      <w:bookmarkStart w:id="13" w:name="Offsets"/>
      <w:bookmarkEnd w:id="13"/>
      <w:r w:rsidRPr="005950BB">
        <w:rPr>
          <w:rFonts w:cs="Arial"/>
          <w:b/>
          <w:bCs/>
          <w:sz w:val="28"/>
          <w:szCs w:val="28"/>
        </w:rPr>
        <w:lastRenderedPageBreak/>
        <w:t>V</w:t>
      </w:r>
      <w:r w:rsidR="00842C48">
        <w:rPr>
          <w:rFonts w:cs="Arial"/>
          <w:b/>
          <w:bCs/>
          <w:sz w:val="28"/>
          <w:szCs w:val="28"/>
        </w:rPr>
        <w:t>I</w:t>
      </w:r>
      <w:r w:rsidRPr="005950BB">
        <w:rPr>
          <w:rFonts w:cs="Arial"/>
          <w:b/>
          <w:bCs/>
          <w:sz w:val="28"/>
          <w:szCs w:val="28"/>
        </w:rPr>
        <w:t>. Program Offsets by Item</w:t>
      </w:r>
    </w:p>
    <w:p w:rsidR="000A41E5" w:rsidRDefault="000A41E5" w:rsidP="004E63AB">
      <w:pPr>
        <w:tabs>
          <w:tab w:val="left" w:pos="3845"/>
        </w:tabs>
        <w:contextualSpacing/>
        <w:rPr>
          <w:b/>
        </w:rPr>
      </w:pPr>
    </w:p>
    <w:p w:rsidR="00484132" w:rsidRDefault="00484132" w:rsidP="004E63AB">
      <w:pPr>
        <w:tabs>
          <w:tab w:val="left" w:pos="3845"/>
        </w:tabs>
        <w:contextualSpacing/>
        <w:rPr>
          <w:b/>
        </w:rPr>
      </w:pPr>
      <w:bookmarkStart w:id="14" w:name="Admin_Efficiencies"/>
      <w:bookmarkEnd w:id="14"/>
      <w:r w:rsidRPr="00265935">
        <w:rPr>
          <w:b/>
        </w:rPr>
        <w:t xml:space="preserve">Item Name: </w:t>
      </w:r>
      <w:r w:rsidRPr="00265935">
        <w:rPr>
          <w:b/>
        </w:rPr>
        <w:tab/>
      </w:r>
      <w:r w:rsidRPr="005A33A2">
        <w:rPr>
          <w:b/>
          <w:u w:val="single"/>
        </w:rPr>
        <w:t>Administrative Efficiencies</w:t>
      </w:r>
    </w:p>
    <w:p w:rsidR="00484132" w:rsidRPr="00717A1F" w:rsidRDefault="00484132" w:rsidP="004E63AB">
      <w:pPr>
        <w:tabs>
          <w:tab w:val="left" w:pos="3845"/>
        </w:tabs>
        <w:contextualSpacing/>
        <w:rPr>
          <w:u w:val="single"/>
        </w:rPr>
      </w:pPr>
      <w:r>
        <w:t>Budget Decision Unit(s):</w:t>
      </w:r>
      <w:r>
        <w:tab/>
      </w:r>
      <w:r w:rsidRPr="00717A1F">
        <w:rPr>
          <w:u w:val="single"/>
        </w:rPr>
        <w:t>All</w:t>
      </w:r>
    </w:p>
    <w:p w:rsidR="00484132" w:rsidRDefault="00484132" w:rsidP="004E63AB">
      <w:pPr>
        <w:tabs>
          <w:tab w:val="left" w:pos="3845"/>
        </w:tabs>
        <w:contextualSpacing/>
      </w:pPr>
      <w:r>
        <w:t>Strategic Goal(s) &amp; Objective(s):</w:t>
      </w:r>
      <w:r>
        <w:tab/>
      </w:r>
      <w:r w:rsidRPr="004C3E98">
        <w:t>1.1, 1.</w:t>
      </w:r>
      <w:r>
        <w:t>3, 2.1, 2.2, 2.4, 2.5, 3.1</w:t>
      </w:r>
    </w:p>
    <w:p w:rsidR="00484132" w:rsidRPr="00717A1F" w:rsidRDefault="00484132" w:rsidP="004E63AB">
      <w:pPr>
        <w:tabs>
          <w:tab w:val="left" w:pos="3845"/>
        </w:tabs>
        <w:contextualSpacing/>
        <w:rPr>
          <w:u w:val="single"/>
        </w:rPr>
      </w:pPr>
      <w:r>
        <w:t xml:space="preserve">Organizational Program: </w:t>
      </w:r>
      <w:r>
        <w:tab/>
      </w:r>
      <w:r w:rsidRPr="00717A1F">
        <w:rPr>
          <w:u w:val="single"/>
        </w:rPr>
        <w:t>Administrative</w:t>
      </w:r>
    </w:p>
    <w:p w:rsidR="00484132" w:rsidRDefault="00484132" w:rsidP="007471A8">
      <w:pPr>
        <w:contextualSpacing/>
        <w:rPr>
          <w:u w:val="single"/>
        </w:rPr>
      </w:pPr>
    </w:p>
    <w:p w:rsidR="00484132" w:rsidRDefault="00484132" w:rsidP="007471A8">
      <w:pPr>
        <w:contextualSpacing/>
      </w:pPr>
      <w:r>
        <w:t xml:space="preserve">Program Reduction:  Positions </w:t>
      </w:r>
      <w:r>
        <w:rPr>
          <w:u w:val="single"/>
        </w:rPr>
        <w:t>0</w:t>
      </w:r>
      <w:r>
        <w:t xml:space="preserve"> Agt </w:t>
      </w:r>
      <w:r>
        <w:rPr>
          <w:u w:val="single"/>
        </w:rPr>
        <w:t>0</w:t>
      </w:r>
      <w:r>
        <w:t xml:space="preserve"> FTE </w:t>
      </w:r>
      <w:r>
        <w:rPr>
          <w:u w:val="single"/>
        </w:rPr>
        <w:t>0</w:t>
      </w:r>
      <w:r>
        <w:t xml:space="preserve"> </w:t>
      </w:r>
      <w:r w:rsidRPr="006D629A">
        <w:t>Dollars</w:t>
      </w:r>
      <w:r>
        <w:t xml:space="preserve"> </w:t>
      </w:r>
      <w:r w:rsidRPr="0008642F">
        <w:rPr>
          <w:u w:val="single"/>
        </w:rPr>
        <w:t>($</w:t>
      </w:r>
      <w:r>
        <w:rPr>
          <w:u w:val="single"/>
        </w:rPr>
        <w:t>11,158</w:t>
      </w:r>
      <w:r w:rsidRPr="0008642F">
        <w:rPr>
          <w:u w:val="single"/>
        </w:rPr>
        <w:t>,000)</w:t>
      </w:r>
      <w:r>
        <w:t xml:space="preserve"> (all non-personnel)</w:t>
      </w:r>
    </w:p>
    <w:p w:rsidR="00484132" w:rsidRDefault="00484132" w:rsidP="007471A8">
      <w:pPr>
        <w:contextualSpacing/>
      </w:pPr>
    </w:p>
    <w:p w:rsidR="0020517D" w:rsidRDefault="0020517D" w:rsidP="007471A8">
      <w:pPr>
        <w:contextualSpacing/>
        <w:rPr>
          <w:u w:val="single"/>
        </w:rPr>
      </w:pPr>
      <w:r w:rsidRPr="007C0343">
        <w:rPr>
          <w:u w:val="single"/>
        </w:rPr>
        <w:t>Description of Item</w:t>
      </w:r>
    </w:p>
    <w:p w:rsidR="0020517D" w:rsidRDefault="0020517D" w:rsidP="007471A8">
      <w:pPr>
        <w:contextualSpacing/>
      </w:pPr>
      <w:r>
        <w:t xml:space="preserve">The Budget proposes several administrative reductions.  This proposal would reduce funding for administrative areas such as travel, conferences, supplies, and foreign expenses by $11,158,000.  </w:t>
      </w:r>
      <w:r w:rsidRPr="00F8648A">
        <w:t xml:space="preserve">Additionally, </w:t>
      </w:r>
      <w:r>
        <w:t>the FBI</w:t>
      </w:r>
      <w:r w:rsidRPr="00F8648A">
        <w:t xml:space="preserve"> and DOJ are working with the State Department to reduce costs related to positions stationed in foreign posts.</w:t>
      </w:r>
    </w:p>
    <w:p w:rsidR="0020517D" w:rsidRDefault="0020517D" w:rsidP="007471A8">
      <w:pPr>
        <w:contextualSpacing/>
        <w:rPr>
          <w:u w:val="single"/>
        </w:rPr>
      </w:pPr>
    </w:p>
    <w:p w:rsidR="0020517D" w:rsidRPr="007C0343" w:rsidRDefault="0020517D" w:rsidP="007471A8">
      <w:pPr>
        <w:contextualSpacing/>
        <w:rPr>
          <w:u w:val="single"/>
        </w:rPr>
      </w:pPr>
      <w:r w:rsidRPr="007C0343">
        <w:rPr>
          <w:u w:val="single"/>
        </w:rPr>
        <w:t xml:space="preserve">Impact on </w:t>
      </w:r>
      <w:r w:rsidRPr="00B9283E">
        <w:rPr>
          <w:u w:val="single"/>
        </w:rPr>
        <w:t>Performance</w:t>
      </w:r>
    </w:p>
    <w:p w:rsidR="00D020D3" w:rsidRDefault="0020517D" w:rsidP="007471A8">
      <w:pPr>
        <w:contextualSpacing/>
      </w:pPr>
      <w:r>
        <w:t>This offset reflects anticipated savings that will be achieved by reducing spending in administrative areas.  The FBI will prioritize its travel and supply funding to mission critical areas in order to limit the impact on operational capabilities</w:t>
      </w:r>
      <w:r w:rsidR="00D020D3">
        <w:br w:type="page"/>
      </w:r>
    </w:p>
    <w:p w:rsidR="00484132" w:rsidRPr="00D020D3" w:rsidRDefault="00484132" w:rsidP="007471A8">
      <w:pPr>
        <w:contextualSpacing/>
        <w:jc w:val="center"/>
      </w:pPr>
      <w:r w:rsidRPr="002E00BD">
        <w:rPr>
          <w:b/>
          <w:bCs/>
          <w:color w:val="000000"/>
        </w:rPr>
        <w:lastRenderedPageBreak/>
        <w:t>Funding</w:t>
      </w:r>
    </w:p>
    <w:p w:rsidR="00484132" w:rsidRPr="002E00BD" w:rsidRDefault="00484132" w:rsidP="007471A8">
      <w:pPr>
        <w:pStyle w:val="xl24"/>
        <w:spacing w:before="0" w:after="0"/>
        <w:contextualSpacing/>
        <w:rPr>
          <w:color w:val="000000"/>
          <w:szCs w:val="24"/>
        </w:rPr>
      </w:pPr>
      <w:r w:rsidRPr="002E00BD">
        <w:rPr>
          <w:color w:val="000000"/>
          <w:szCs w:val="24"/>
        </w:rPr>
        <w:t>Base Funding</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966"/>
        <w:gridCol w:w="506"/>
        <w:gridCol w:w="516"/>
        <w:gridCol w:w="572"/>
        <w:gridCol w:w="966"/>
        <w:gridCol w:w="506"/>
        <w:gridCol w:w="516"/>
        <w:gridCol w:w="572"/>
        <w:gridCol w:w="966"/>
      </w:tblGrid>
      <w:tr w:rsidR="00484132" w:rsidRPr="002E00BD" w:rsidTr="006C7C76">
        <w:trPr>
          <w:trHeight w:val="255"/>
          <w:jc w:val="center"/>
        </w:trPr>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1</w:t>
            </w:r>
            <w:r w:rsidRPr="008C3073">
              <w:rPr>
                <w:sz w:val="20"/>
                <w:szCs w:val="20"/>
              </w:rPr>
              <w:t xml:space="preserve"> 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2</w:t>
            </w:r>
            <w:r w:rsidRPr="008C3073">
              <w:rPr>
                <w:sz w:val="20"/>
                <w:szCs w:val="20"/>
              </w:rPr>
              <w:t xml:space="preserve"> </w:t>
            </w:r>
            <w:r w:rsidR="0020517D">
              <w:rPr>
                <w:sz w:val="20"/>
                <w:szCs w:val="20"/>
              </w:rPr>
              <w:t>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3</w:t>
            </w:r>
            <w:r w:rsidRPr="008C3073">
              <w:rPr>
                <w:sz w:val="20"/>
                <w:szCs w:val="20"/>
              </w:rPr>
              <w:t xml:space="preserve"> Current Services</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$370,638</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$390,603</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$381,581</w:t>
            </w:r>
          </w:p>
        </w:tc>
      </w:tr>
    </w:tbl>
    <w:p w:rsidR="00484132" w:rsidRPr="002E00BD" w:rsidRDefault="00484132" w:rsidP="007471A8">
      <w:pPr>
        <w:pStyle w:val="BodyText"/>
        <w:contextualSpacing/>
        <w:rPr>
          <w:color w:val="000000"/>
          <w:u w:val="single"/>
        </w:rPr>
      </w:pPr>
    </w:p>
    <w:p w:rsidR="00484132" w:rsidRPr="002E00BD" w:rsidRDefault="00484132" w:rsidP="007471A8">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756"/>
        <w:gridCol w:w="1056"/>
        <w:gridCol w:w="1116"/>
        <w:gridCol w:w="1875"/>
        <w:gridCol w:w="1875"/>
      </w:tblGrid>
      <w:tr w:rsidR="00484132" w:rsidRPr="002E00BD" w:rsidTr="006C7C76">
        <w:trPr>
          <w:jc w:val="center"/>
        </w:trPr>
        <w:tc>
          <w:tcPr>
            <w:tcW w:w="2178" w:type="dxa"/>
            <w:shd w:val="clear" w:color="auto" w:fill="D9D9D9" w:themeFill="background1" w:themeFillShade="D9"/>
            <w:vAlign w:val="center"/>
          </w:tcPr>
          <w:p w:rsidR="00484132" w:rsidRPr="0002015A" w:rsidRDefault="00484132" w:rsidP="007471A8">
            <w:pPr>
              <w:contextualSpacing/>
              <w:jc w:val="center"/>
              <w:rPr>
                <w:color w:val="000000"/>
                <w:sz w:val="20"/>
                <w:szCs w:val="20"/>
              </w:rPr>
            </w:pPr>
            <w:r w:rsidRPr="0002015A">
              <w:rPr>
                <w:color w:val="000000"/>
                <w:sz w:val="20"/>
                <w:szCs w:val="20"/>
              </w:rPr>
              <w:t>Non-Personnel Item</w:t>
            </w:r>
          </w:p>
        </w:tc>
        <w:tc>
          <w:tcPr>
            <w:tcW w:w="756" w:type="dxa"/>
            <w:vAlign w:val="center"/>
          </w:tcPr>
          <w:p w:rsidR="00484132" w:rsidRPr="0002015A" w:rsidRDefault="00484132" w:rsidP="007471A8">
            <w:pPr>
              <w:contextualSpacing/>
              <w:jc w:val="center"/>
              <w:rPr>
                <w:color w:val="000000"/>
                <w:sz w:val="20"/>
                <w:szCs w:val="20"/>
              </w:rPr>
            </w:pPr>
            <w:r w:rsidRPr="0002015A">
              <w:rPr>
                <w:color w:val="000000"/>
                <w:sz w:val="20"/>
                <w:szCs w:val="20"/>
              </w:rPr>
              <w:t>Unit Cost</w:t>
            </w:r>
          </w:p>
        </w:tc>
        <w:tc>
          <w:tcPr>
            <w:tcW w:w="1056" w:type="dxa"/>
            <w:vAlign w:val="center"/>
          </w:tcPr>
          <w:p w:rsidR="00484132" w:rsidRPr="0002015A" w:rsidRDefault="00484132" w:rsidP="007471A8">
            <w:pPr>
              <w:contextualSpacing/>
              <w:jc w:val="center"/>
              <w:rPr>
                <w:color w:val="000000"/>
                <w:sz w:val="20"/>
                <w:szCs w:val="20"/>
              </w:rPr>
            </w:pPr>
            <w:r w:rsidRPr="0002015A">
              <w:rPr>
                <w:color w:val="000000"/>
                <w:sz w:val="20"/>
                <w:szCs w:val="20"/>
              </w:rPr>
              <w:t>Quantity</w:t>
            </w:r>
          </w:p>
        </w:tc>
        <w:tc>
          <w:tcPr>
            <w:tcW w:w="1116" w:type="dxa"/>
            <w:vAlign w:val="center"/>
          </w:tcPr>
          <w:p w:rsidR="00484132" w:rsidRPr="0002015A" w:rsidRDefault="00484132" w:rsidP="007471A8">
            <w:pPr>
              <w:contextualSpacing/>
              <w:jc w:val="center"/>
              <w:rPr>
                <w:color w:val="000000"/>
                <w:sz w:val="20"/>
                <w:szCs w:val="20"/>
              </w:rPr>
            </w:pPr>
            <w:r>
              <w:rPr>
                <w:color w:val="000000"/>
                <w:sz w:val="20"/>
                <w:szCs w:val="20"/>
              </w:rPr>
              <w:t>FY 2013</w:t>
            </w:r>
            <w:r w:rsidRPr="0002015A">
              <w:rPr>
                <w:color w:val="000000"/>
                <w:sz w:val="20"/>
                <w:szCs w:val="20"/>
              </w:rPr>
              <w:t xml:space="preserve"> Request</w:t>
            </w:r>
          </w:p>
          <w:p w:rsidR="00484132" w:rsidRPr="0002015A" w:rsidRDefault="00484132" w:rsidP="007471A8">
            <w:pPr>
              <w:contextualSpacing/>
              <w:jc w:val="center"/>
              <w:rPr>
                <w:color w:val="000000"/>
                <w:sz w:val="20"/>
                <w:szCs w:val="20"/>
              </w:rPr>
            </w:pPr>
            <w:r w:rsidRPr="0002015A">
              <w:rPr>
                <w:color w:val="000000"/>
                <w:sz w:val="20"/>
                <w:szCs w:val="20"/>
              </w:rPr>
              <w:t>($000)</w:t>
            </w:r>
          </w:p>
        </w:tc>
        <w:tc>
          <w:tcPr>
            <w:tcW w:w="1875" w:type="dxa"/>
            <w:vAlign w:val="center"/>
          </w:tcPr>
          <w:p w:rsidR="00484132" w:rsidRPr="00641D5F" w:rsidRDefault="00484132" w:rsidP="007471A8">
            <w:pPr>
              <w:contextualSpacing/>
              <w:jc w:val="center"/>
              <w:rPr>
                <w:sz w:val="20"/>
                <w:szCs w:val="20"/>
              </w:rPr>
            </w:pPr>
            <w:r w:rsidRPr="00641D5F">
              <w:rPr>
                <w:sz w:val="20"/>
                <w:szCs w:val="20"/>
              </w:rPr>
              <w:t>FY 201</w:t>
            </w:r>
            <w:r>
              <w:rPr>
                <w:sz w:val="20"/>
                <w:szCs w:val="20"/>
              </w:rPr>
              <w:t>4</w:t>
            </w:r>
            <w:r w:rsidRPr="00641D5F">
              <w:rPr>
                <w:sz w:val="20"/>
                <w:szCs w:val="20"/>
              </w:rPr>
              <w:t xml:space="preserve"> Net Annualization (change from 201</w:t>
            </w:r>
            <w:r>
              <w:rPr>
                <w:sz w:val="20"/>
                <w:szCs w:val="20"/>
              </w:rPr>
              <w:t>3</w:t>
            </w:r>
            <w:r w:rsidRPr="00641D5F">
              <w:rPr>
                <w:sz w:val="20"/>
                <w:szCs w:val="20"/>
              </w:rPr>
              <w:t>)</w:t>
            </w:r>
          </w:p>
          <w:p w:rsidR="00484132" w:rsidRPr="0002015A" w:rsidRDefault="00484132" w:rsidP="007471A8">
            <w:pPr>
              <w:contextualSpacing/>
              <w:jc w:val="center"/>
              <w:rPr>
                <w:color w:val="000000"/>
                <w:sz w:val="20"/>
                <w:szCs w:val="20"/>
              </w:rPr>
            </w:pPr>
            <w:r w:rsidRPr="00641D5F">
              <w:rPr>
                <w:sz w:val="20"/>
                <w:szCs w:val="20"/>
              </w:rPr>
              <w:t xml:space="preserve"> ($000)</w:t>
            </w:r>
          </w:p>
        </w:tc>
        <w:tc>
          <w:tcPr>
            <w:tcW w:w="1875" w:type="dxa"/>
          </w:tcPr>
          <w:p w:rsidR="00484132" w:rsidRPr="00641D5F" w:rsidRDefault="00484132" w:rsidP="007471A8">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484132" w:rsidRPr="00641D5F" w:rsidRDefault="00484132" w:rsidP="007471A8">
            <w:pPr>
              <w:contextualSpacing/>
              <w:jc w:val="center"/>
              <w:rPr>
                <w:sz w:val="20"/>
                <w:szCs w:val="20"/>
              </w:rPr>
            </w:pPr>
            <w:r w:rsidRPr="00641D5F">
              <w:rPr>
                <w:sz w:val="20"/>
                <w:szCs w:val="20"/>
              </w:rPr>
              <w:t xml:space="preserve"> ($000)</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Pr>
                <w:color w:val="000000"/>
                <w:sz w:val="20"/>
                <w:szCs w:val="20"/>
              </w:rPr>
              <w:t>Administrative Services</w:t>
            </w:r>
          </w:p>
        </w:tc>
        <w:tc>
          <w:tcPr>
            <w:tcW w:w="7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0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($11,158</w:t>
            </w: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sidRPr="0002015A">
              <w:rPr>
                <w:color w:val="000000"/>
                <w:sz w:val="20"/>
                <w:szCs w:val="20"/>
              </w:rPr>
              <w:t>Total Non-Personnel</w:t>
            </w:r>
          </w:p>
        </w:tc>
        <w:tc>
          <w:tcPr>
            <w:tcW w:w="756" w:type="dxa"/>
            <w:vAlign w:val="center"/>
          </w:tcPr>
          <w:p w:rsidR="00484132" w:rsidRPr="0002015A" w:rsidRDefault="00484132" w:rsidP="007471A8">
            <w:pPr>
              <w:contextualSpacing/>
              <w:jc w:val="right"/>
              <w:rPr>
                <w:color w:val="000000"/>
                <w:sz w:val="20"/>
                <w:szCs w:val="20"/>
              </w:rPr>
            </w:pPr>
          </w:p>
        </w:tc>
        <w:tc>
          <w:tcPr>
            <w:tcW w:w="1056" w:type="dxa"/>
            <w:vAlign w:val="center"/>
          </w:tcPr>
          <w:p w:rsidR="00484132" w:rsidRPr="0002015A" w:rsidRDefault="00484132" w:rsidP="007471A8">
            <w:pPr>
              <w:contextualSpacing/>
              <w:jc w:val="right"/>
              <w:rPr>
                <w:color w:val="000000"/>
                <w:sz w:val="20"/>
                <w:szCs w:val="20"/>
              </w:rPr>
            </w:pP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($11,158)</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bl>
    <w:p w:rsidR="00484132" w:rsidRPr="002E00BD" w:rsidRDefault="00484132" w:rsidP="007471A8">
      <w:pPr>
        <w:pStyle w:val="xl24"/>
        <w:spacing w:before="0" w:after="0"/>
        <w:contextualSpacing/>
        <w:rPr>
          <w:color w:val="000000"/>
          <w:szCs w:val="24"/>
        </w:rPr>
      </w:pPr>
    </w:p>
    <w:p w:rsidR="00484132" w:rsidRDefault="00484132" w:rsidP="007471A8">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484132" w:rsidRPr="006E4351" w:rsidRDefault="00484132" w:rsidP="007471A8">
      <w:pPr>
        <w:pStyle w:val="xl24"/>
        <w:spacing w:before="0" w:after="0"/>
        <w:contextualSpacing/>
        <w:rPr>
          <w:color w:val="000000"/>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540"/>
        <w:gridCol w:w="630"/>
        <w:gridCol w:w="574"/>
        <w:gridCol w:w="1132"/>
        <w:gridCol w:w="1177"/>
        <w:gridCol w:w="1167"/>
        <w:gridCol w:w="1890"/>
        <w:gridCol w:w="2070"/>
      </w:tblGrid>
      <w:tr w:rsidR="00484132" w:rsidTr="00C45BA3">
        <w:trPr>
          <w:trHeight w:val="658"/>
          <w:jc w:val="center"/>
        </w:trPr>
        <w:tc>
          <w:tcPr>
            <w:tcW w:w="1593" w:type="dxa"/>
            <w:shd w:val="clear" w:color="auto" w:fill="D9D9D9" w:themeFill="background1" w:themeFillShade="D9"/>
          </w:tcPr>
          <w:p w:rsidR="00484132" w:rsidRDefault="00484132" w:rsidP="007471A8">
            <w:pPr>
              <w:contextualSpacing/>
              <w:rPr>
                <w:sz w:val="20"/>
              </w:rPr>
            </w:pPr>
          </w:p>
        </w:tc>
        <w:tc>
          <w:tcPr>
            <w:tcW w:w="540" w:type="dxa"/>
            <w:vAlign w:val="center"/>
          </w:tcPr>
          <w:p w:rsidR="00484132" w:rsidRDefault="00484132" w:rsidP="007471A8">
            <w:pPr>
              <w:contextualSpacing/>
              <w:jc w:val="center"/>
              <w:rPr>
                <w:sz w:val="20"/>
              </w:rPr>
            </w:pPr>
            <w:r>
              <w:rPr>
                <w:sz w:val="20"/>
              </w:rPr>
              <w:t>Pos</w:t>
            </w:r>
          </w:p>
        </w:tc>
        <w:tc>
          <w:tcPr>
            <w:tcW w:w="630" w:type="dxa"/>
            <w:vAlign w:val="center"/>
          </w:tcPr>
          <w:p w:rsidR="00484132" w:rsidRDefault="00484132" w:rsidP="007471A8">
            <w:pPr>
              <w:contextualSpacing/>
              <w:jc w:val="center"/>
              <w:rPr>
                <w:sz w:val="20"/>
              </w:rPr>
            </w:pPr>
          </w:p>
          <w:p w:rsidR="00484132" w:rsidRDefault="00484132" w:rsidP="007471A8">
            <w:pPr>
              <w:contextualSpacing/>
              <w:jc w:val="center"/>
              <w:rPr>
                <w:sz w:val="20"/>
              </w:rPr>
            </w:pPr>
            <w:r>
              <w:rPr>
                <w:sz w:val="20"/>
              </w:rPr>
              <w:t>Agt</w:t>
            </w:r>
          </w:p>
          <w:p w:rsidR="00484132" w:rsidRDefault="00484132" w:rsidP="007471A8">
            <w:pPr>
              <w:contextualSpacing/>
              <w:jc w:val="center"/>
              <w:rPr>
                <w:sz w:val="20"/>
              </w:rPr>
            </w:pPr>
          </w:p>
        </w:tc>
        <w:tc>
          <w:tcPr>
            <w:tcW w:w="574" w:type="dxa"/>
            <w:vAlign w:val="center"/>
          </w:tcPr>
          <w:p w:rsidR="00484132" w:rsidRDefault="00484132" w:rsidP="007471A8">
            <w:pPr>
              <w:contextualSpacing/>
              <w:jc w:val="center"/>
              <w:rPr>
                <w:sz w:val="20"/>
              </w:rPr>
            </w:pPr>
            <w:r>
              <w:rPr>
                <w:sz w:val="20"/>
              </w:rPr>
              <w:t>FTE</w:t>
            </w:r>
          </w:p>
        </w:tc>
        <w:tc>
          <w:tcPr>
            <w:tcW w:w="1132" w:type="dxa"/>
            <w:vAlign w:val="center"/>
          </w:tcPr>
          <w:p w:rsidR="00484132" w:rsidRDefault="00484132" w:rsidP="007471A8">
            <w:pPr>
              <w:contextualSpacing/>
              <w:jc w:val="center"/>
              <w:rPr>
                <w:sz w:val="20"/>
              </w:rPr>
            </w:pPr>
            <w:r>
              <w:rPr>
                <w:sz w:val="20"/>
              </w:rPr>
              <w:t>Personnel</w:t>
            </w:r>
          </w:p>
          <w:p w:rsidR="00484132" w:rsidRDefault="00484132" w:rsidP="007471A8">
            <w:pPr>
              <w:contextualSpacing/>
              <w:jc w:val="center"/>
              <w:rPr>
                <w:sz w:val="20"/>
              </w:rPr>
            </w:pPr>
            <w:r>
              <w:rPr>
                <w:sz w:val="20"/>
              </w:rPr>
              <w:t>($000)</w:t>
            </w:r>
          </w:p>
        </w:tc>
        <w:tc>
          <w:tcPr>
            <w:tcW w:w="1177" w:type="dxa"/>
            <w:vAlign w:val="center"/>
          </w:tcPr>
          <w:p w:rsidR="00484132" w:rsidRDefault="00484132" w:rsidP="007471A8">
            <w:pPr>
              <w:contextualSpacing/>
              <w:jc w:val="center"/>
              <w:rPr>
                <w:sz w:val="20"/>
              </w:rPr>
            </w:pPr>
            <w:r>
              <w:rPr>
                <w:sz w:val="20"/>
              </w:rPr>
              <w:t>Non-Personnel</w:t>
            </w:r>
          </w:p>
          <w:p w:rsidR="00484132" w:rsidRDefault="00484132" w:rsidP="007471A8">
            <w:pPr>
              <w:contextualSpacing/>
              <w:jc w:val="center"/>
              <w:rPr>
                <w:sz w:val="20"/>
              </w:rPr>
            </w:pPr>
            <w:r>
              <w:rPr>
                <w:sz w:val="20"/>
              </w:rPr>
              <w:t>($000)</w:t>
            </w:r>
          </w:p>
        </w:tc>
        <w:tc>
          <w:tcPr>
            <w:tcW w:w="1167" w:type="dxa"/>
            <w:vAlign w:val="center"/>
          </w:tcPr>
          <w:p w:rsidR="00484132" w:rsidRDefault="00484132" w:rsidP="007471A8">
            <w:pPr>
              <w:contextualSpacing/>
              <w:jc w:val="center"/>
              <w:rPr>
                <w:sz w:val="20"/>
              </w:rPr>
            </w:pPr>
            <w:r>
              <w:rPr>
                <w:sz w:val="20"/>
              </w:rPr>
              <w:t>Total</w:t>
            </w:r>
          </w:p>
          <w:p w:rsidR="00484132" w:rsidRDefault="00484132" w:rsidP="007471A8">
            <w:pPr>
              <w:contextualSpacing/>
              <w:jc w:val="center"/>
              <w:rPr>
                <w:sz w:val="20"/>
              </w:rPr>
            </w:pPr>
            <w:r>
              <w:rPr>
                <w:sz w:val="20"/>
              </w:rPr>
              <w:t>($000)</w:t>
            </w:r>
          </w:p>
        </w:tc>
        <w:tc>
          <w:tcPr>
            <w:tcW w:w="1890"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207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C45BA3">
        <w:trPr>
          <w:trHeight w:val="215"/>
          <w:jc w:val="center"/>
        </w:trPr>
        <w:tc>
          <w:tcPr>
            <w:tcW w:w="1593" w:type="dxa"/>
          </w:tcPr>
          <w:p w:rsidR="00484132" w:rsidRDefault="00484132" w:rsidP="007471A8">
            <w:pPr>
              <w:contextualSpacing/>
              <w:rPr>
                <w:sz w:val="20"/>
              </w:rPr>
            </w:pPr>
            <w:r>
              <w:rPr>
                <w:sz w:val="20"/>
              </w:rPr>
              <w:t>Current Services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$381,581</w:t>
            </w:r>
          </w:p>
        </w:tc>
        <w:tc>
          <w:tcPr>
            <w:tcW w:w="1167" w:type="dxa"/>
            <w:vAlign w:val="center"/>
          </w:tcPr>
          <w:p w:rsidR="00484132" w:rsidRPr="0002015A" w:rsidRDefault="00484132" w:rsidP="007471A8">
            <w:pPr>
              <w:contextualSpacing/>
              <w:jc w:val="right"/>
              <w:rPr>
                <w:color w:val="000000"/>
                <w:sz w:val="20"/>
                <w:szCs w:val="20"/>
              </w:rPr>
            </w:pPr>
            <w:r>
              <w:rPr>
                <w:color w:val="000000"/>
                <w:sz w:val="20"/>
                <w:szCs w:val="20"/>
              </w:rPr>
              <w:t>$381,581</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Decreases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484132" w:rsidP="007471A8">
            <w:pPr>
              <w:contextualSpacing/>
              <w:jc w:val="right"/>
              <w:rPr>
                <w:sz w:val="20"/>
              </w:rPr>
            </w:pPr>
            <w:r>
              <w:rPr>
                <w:sz w:val="20"/>
              </w:rPr>
              <w:t>…</w:t>
            </w:r>
          </w:p>
        </w:tc>
        <w:tc>
          <w:tcPr>
            <w:tcW w:w="1177" w:type="dxa"/>
            <w:vAlign w:val="center"/>
          </w:tcPr>
          <w:p w:rsidR="00484132" w:rsidRDefault="00484132" w:rsidP="007471A8">
            <w:pPr>
              <w:contextualSpacing/>
              <w:jc w:val="right"/>
              <w:rPr>
                <w:sz w:val="20"/>
              </w:rPr>
            </w:pPr>
            <w:r>
              <w:rPr>
                <w:color w:val="000000"/>
                <w:sz w:val="20"/>
                <w:szCs w:val="20"/>
              </w:rPr>
              <w:t>(11,158</w:t>
            </w:r>
            <w:r w:rsidRPr="0002015A">
              <w:rPr>
                <w:color w:val="000000"/>
                <w:sz w:val="20"/>
                <w:szCs w:val="20"/>
              </w:rPr>
              <w:t>)</w:t>
            </w:r>
          </w:p>
        </w:tc>
        <w:tc>
          <w:tcPr>
            <w:tcW w:w="1167" w:type="dxa"/>
          </w:tcPr>
          <w:p w:rsidR="00484132" w:rsidRDefault="00484132" w:rsidP="007471A8">
            <w:pPr>
              <w:contextualSpacing/>
              <w:jc w:val="right"/>
              <w:rPr>
                <w:sz w:val="20"/>
              </w:rPr>
            </w:pPr>
            <w:r>
              <w:rPr>
                <w:color w:val="000000"/>
                <w:sz w:val="20"/>
                <w:szCs w:val="20"/>
              </w:rPr>
              <w:t>(11,158</w:t>
            </w:r>
            <w:r w:rsidRPr="0002015A">
              <w:rPr>
                <w:color w:val="000000"/>
                <w:sz w:val="20"/>
                <w:szCs w:val="20"/>
              </w:rPr>
              <w:t>)</w:t>
            </w:r>
          </w:p>
        </w:tc>
        <w:tc>
          <w:tcPr>
            <w:tcW w:w="1890" w:type="dxa"/>
            <w:vAlign w:val="center"/>
          </w:tcPr>
          <w:p w:rsidR="00484132" w:rsidRDefault="00484132" w:rsidP="007471A8">
            <w:pPr>
              <w:contextualSpacing/>
              <w:jc w:val="right"/>
              <w:rPr>
                <w:sz w:val="20"/>
              </w:rPr>
            </w:pPr>
            <w:r>
              <w:rPr>
                <w:sz w:val="20"/>
              </w:rPr>
              <w:t>…</w:t>
            </w:r>
          </w:p>
        </w:tc>
        <w:tc>
          <w:tcPr>
            <w:tcW w:w="2070" w:type="dxa"/>
          </w:tcPr>
          <w:p w:rsidR="00484132" w:rsidRDefault="00484132" w:rsidP="007471A8">
            <w:pPr>
              <w:contextualSpacing/>
              <w:jc w:val="right"/>
              <w:rPr>
                <w:sz w:val="20"/>
              </w:rPr>
            </w:pPr>
            <w:r>
              <w:rPr>
                <w:sz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Grand Total</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$370,423</w:t>
            </w:r>
          </w:p>
        </w:tc>
        <w:tc>
          <w:tcPr>
            <w:tcW w:w="1167" w:type="dxa"/>
            <w:vAlign w:val="center"/>
          </w:tcPr>
          <w:p w:rsidR="00484132" w:rsidRPr="006B4101" w:rsidRDefault="00484132" w:rsidP="007471A8">
            <w:pPr>
              <w:contextualSpacing/>
              <w:jc w:val="right"/>
              <w:rPr>
                <w:color w:val="000000"/>
                <w:sz w:val="20"/>
                <w:szCs w:val="20"/>
              </w:rPr>
            </w:pPr>
            <w:r>
              <w:rPr>
                <w:color w:val="000000"/>
                <w:sz w:val="20"/>
                <w:szCs w:val="20"/>
              </w:rPr>
              <w:t>$370,423</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bl>
    <w:p w:rsidR="00D020D3" w:rsidRDefault="00D020D3" w:rsidP="007471A8">
      <w:pPr>
        <w:contextualSpacing/>
      </w:pPr>
    </w:p>
    <w:p w:rsidR="00D020D3" w:rsidRDefault="00D020D3" w:rsidP="007471A8">
      <w:pPr>
        <w:contextualSpacing/>
      </w:pPr>
      <w:r>
        <w:br w:type="page"/>
      </w:r>
    </w:p>
    <w:p w:rsidR="00A8673E" w:rsidRDefault="00A8673E" w:rsidP="004E63AB">
      <w:pPr>
        <w:tabs>
          <w:tab w:val="left" w:pos="3845"/>
        </w:tabs>
        <w:contextualSpacing/>
        <w:rPr>
          <w:b/>
        </w:rPr>
      </w:pPr>
      <w:bookmarkStart w:id="15" w:name="Contractor_Reduction"/>
      <w:bookmarkEnd w:id="15"/>
      <w:r>
        <w:rPr>
          <w:b/>
        </w:rPr>
        <w:lastRenderedPageBreak/>
        <w:t xml:space="preserve">Item Name:             </w:t>
      </w:r>
      <w:r>
        <w:rPr>
          <w:b/>
        </w:rPr>
        <w:tab/>
      </w:r>
      <w:r>
        <w:rPr>
          <w:b/>
          <w:u w:val="single"/>
        </w:rPr>
        <w:t>Contractor Reduction</w:t>
      </w:r>
    </w:p>
    <w:p w:rsidR="00A8673E" w:rsidRPr="00063765" w:rsidRDefault="00A8673E" w:rsidP="004E63AB">
      <w:pPr>
        <w:tabs>
          <w:tab w:val="left" w:pos="3845"/>
        </w:tabs>
        <w:contextualSpacing/>
        <w:rPr>
          <w:u w:val="single"/>
        </w:rPr>
      </w:pPr>
      <w:r>
        <w:t xml:space="preserve">Budget Decision Unit(s):             </w:t>
      </w:r>
      <w:r>
        <w:tab/>
      </w:r>
      <w:r>
        <w:rPr>
          <w:u w:val="single"/>
        </w:rPr>
        <w:t>Intelligence, Counterintelligence/Counterterrorism</w:t>
      </w:r>
    </w:p>
    <w:p w:rsidR="00A8673E" w:rsidRDefault="00A8673E" w:rsidP="004E63AB">
      <w:pPr>
        <w:tabs>
          <w:tab w:val="left" w:pos="3845"/>
        </w:tabs>
        <w:contextualSpacing/>
      </w:pPr>
      <w:r>
        <w:t xml:space="preserve">Strategic Goals &amp; Objectives(s): </w:t>
      </w:r>
      <w:r>
        <w:tab/>
        <w:t>1.1, 1.3</w:t>
      </w:r>
    </w:p>
    <w:p w:rsidR="00A8673E" w:rsidRDefault="00A8673E" w:rsidP="004E63AB">
      <w:pPr>
        <w:tabs>
          <w:tab w:val="left" w:pos="3845"/>
        </w:tabs>
        <w:ind w:left="3600" w:hanging="3600"/>
        <w:contextualSpacing/>
        <w:rPr>
          <w:u w:val="single"/>
        </w:rPr>
      </w:pPr>
      <w:r>
        <w:t xml:space="preserve">Organizational Program:             </w:t>
      </w:r>
      <w:r>
        <w:tab/>
        <w:t xml:space="preserve"> </w:t>
      </w:r>
      <w:r w:rsidR="004E63AB">
        <w:tab/>
      </w:r>
      <w:r>
        <w:rPr>
          <w:u w:val="single"/>
        </w:rPr>
        <w:t xml:space="preserve">Counterintelligence, Counterterrorism, Directorate of    </w:t>
      </w:r>
    </w:p>
    <w:p w:rsidR="00A8673E" w:rsidRDefault="00A8673E" w:rsidP="004E63AB">
      <w:pPr>
        <w:tabs>
          <w:tab w:val="left" w:pos="3845"/>
        </w:tabs>
        <w:ind w:left="3600" w:hanging="3600"/>
        <w:contextualSpacing/>
      </w:pPr>
      <w:r w:rsidRPr="003958E6">
        <w:tab/>
      </w:r>
      <w:r>
        <w:t xml:space="preserve"> </w:t>
      </w:r>
      <w:r w:rsidR="004E63AB">
        <w:tab/>
      </w:r>
      <w:r>
        <w:rPr>
          <w:u w:val="single"/>
        </w:rPr>
        <w:t>Intelligence, Terrorist Screening Center</w:t>
      </w:r>
    </w:p>
    <w:p w:rsidR="00A8673E" w:rsidRDefault="00A8673E" w:rsidP="007471A8">
      <w:pPr>
        <w:contextualSpacing/>
      </w:pPr>
    </w:p>
    <w:p w:rsidR="00A8673E" w:rsidRPr="00F569CC" w:rsidRDefault="00A8673E" w:rsidP="007471A8">
      <w:pPr>
        <w:contextualSpacing/>
      </w:pPr>
      <w:r w:rsidRPr="00F569CC">
        <w:t xml:space="preserve">Program Reduction: </w:t>
      </w:r>
      <w:r>
        <w:t xml:space="preserve"> P</w:t>
      </w:r>
      <w:r w:rsidRPr="00F569CC">
        <w:t xml:space="preserve">ositions </w:t>
      </w:r>
      <w:r w:rsidRPr="00932AD2">
        <w:softHyphen/>
      </w:r>
      <w:r>
        <w:rPr>
          <w:u w:val="single"/>
        </w:rPr>
        <w:t>0</w:t>
      </w:r>
      <w:r>
        <w:t xml:space="preserve"> </w:t>
      </w:r>
      <w:r w:rsidRPr="00932AD2">
        <w:t>Agt</w:t>
      </w:r>
      <w:r w:rsidRPr="00F569CC">
        <w:t xml:space="preserve"> </w:t>
      </w:r>
      <w:r>
        <w:rPr>
          <w:u w:val="single"/>
        </w:rPr>
        <w:t>0</w:t>
      </w:r>
      <w:r w:rsidRPr="00B81B85">
        <w:t xml:space="preserve"> </w:t>
      </w:r>
      <w:r w:rsidRPr="00F569CC">
        <w:t xml:space="preserve">FTE </w:t>
      </w:r>
      <w:r>
        <w:rPr>
          <w:u w:val="single"/>
        </w:rPr>
        <w:t>0</w:t>
      </w:r>
      <w:r>
        <w:t xml:space="preserve"> Dollars</w:t>
      </w:r>
      <w:r w:rsidRPr="00F569CC">
        <w:t xml:space="preserve"> </w:t>
      </w:r>
      <w:r w:rsidRPr="00835754">
        <w:rPr>
          <w:u w:val="single"/>
        </w:rPr>
        <w:t>($</w:t>
      </w:r>
      <w:r>
        <w:rPr>
          <w:u w:val="single"/>
        </w:rPr>
        <w:t>7,113</w:t>
      </w:r>
      <w:r w:rsidRPr="00835754">
        <w:rPr>
          <w:u w:val="single"/>
        </w:rPr>
        <w:t>,000</w:t>
      </w:r>
      <w:r>
        <w:rPr>
          <w:u w:val="single"/>
        </w:rPr>
        <w:t>)</w:t>
      </w:r>
      <w:r w:rsidRPr="00842C48">
        <w:t xml:space="preserve"> (all non-personnel)</w:t>
      </w:r>
    </w:p>
    <w:p w:rsidR="00A8673E" w:rsidRDefault="00A8673E" w:rsidP="007471A8">
      <w:pPr>
        <w:contextualSpacing/>
      </w:pPr>
    </w:p>
    <w:p w:rsidR="003D1F58" w:rsidRPr="00F569CC" w:rsidRDefault="003D1F58" w:rsidP="007471A8">
      <w:pPr>
        <w:contextualSpacing/>
        <w:rPr>
          <w:u w:val="single"/>
        </w:rPr>
      </w:pPr>
      <w:r>
        <w:rPr>
          <w:u w:val="single"/>
        </w:rPr>
        <w:t>Description of Item</w:t>
      </w:r>
    </w:p>
    <w:p w:rsidR="003D1F58" w:rsidRDefault="003D1F58" w:rsidP="007471A8">
      <w:pPr>
        <w:contextualSpacing/>
      </w:pPr>
      <w:r>
        <w:t xml:space="preserve">This proposal reduces national security non-personnel funding for the Counterintelligence Strategic Partnership Coordination (CI SPC) Program, Human Intelligence (HUMINT) Validation Program, National Security Analysis Center (NSAC), and the Terrorist Screening Center (TSC).  </w:t>
      </w:r>
    </w:p>
    <w:p w:rsidR="003D1F58" w:rsidRDefault="003D1F58" w:rsidP="007471A8">
      <w:pPr>
        <w:pStyle w:val="BodyText2"/>
        <w:contextualSpacing/>
        <w:rPr>
          <w:sz w:val="24"/>
          <w:szCs w:val="24"/>
        </w:rPr>
      </w:pPr>
    </w:p>
    <w:p w:rsidR="003D1F58" w:rsidRPr="00BD3517" w:rsidRDefault="003D1F58" w:rsidP="007471A8">
      <w:pPr>
        <w:contextualSpacing/>
        <w:rPr>
          <w:u w:val="single"/>
        </w:rPr>
      </w:pPr>
      <w:r>
        <w:rPr>
          <w:u w:val="single"/>
        </w:rPr>
        <w:t>Summary Justification</w:t>
      </w:r>
    </w:p>
    <w:p w:rsidR="003D1F58" w:rsidRPr="003D1F58" w:rsidRDefault="003D1F58" w:rsidP="007471A8">
      <w:pPr>
        <w:pStyle w:val="BodyText2"/>
        <w:contextualSpacing/>
        <w:rPr>
          <w:sz w:val="24"/>
          <w:szCs w:val="24"/>
        </w:rPr>
      </w:pPr>
      <w:r w:rsidRPr="003D1F58">
        <w:rPr>
          <w:sz w:val="24"/>
          <w:szCs w:val="24"/>
        </w:rPr>
        <w:t>The proposal proportionally reduces non-personnel funding associated with the programs and activities described below.</w:t>
      </w:r>
    </w:p>
    <w:p w:rsidR="003D1F58" w:rsidRPr="003D1F58" w:rsidRDefault="003D1F58" w:rsidP="007471A8">
      <w:pPr>
        <w:pStyle w:val="BodyText2"/>
        <w:contextualSpacing/>
        <w:rPr>
          <w:sz w:val="24"/>
          <w:szCs w:val="24"/>
        </w:rPr>
      </w:pPr>
    </w:p>
    <w:p w:rsidR="003D1F58" w:rsidRPr="003D1F58" w:rsidRDefault="003D1F58" w:rsidP="007471A8">
      <w:pPr>
        <w:pStyle w:val="BodyText2"/>
        <w:contextualSpacing/>
        <w:rPr>
          <w:sz w:val="24"/>
          <w:szCs w:val="24"/>
        </w:rPr>
      </w:pPr>
      <w:r w:rsidRPr="003D1F58">
        <w:rPr>
          <w:sz w:val="24"/>
          <w:szCs w:val="24"/>
        </w:rPr>
        <w:t xml:space="preserve">The CI SPC Program, located in each Field Office, is responsible for engaging, coordinating, and collaborating with all U.S. Intelligence Community (USIC), academic and private industry partners in a Field Office’s area of responsibility at the investigative level. </w:t>
      </w:r>
      <w:r w:rsidRPr="003D1F58">
        <w:rPr>
          <w:color w:val="1F497D"/>
          <w:sz w:val="24"/>
          <w:szCs w:val="24"/>
        </w:rPr>
        <w:t xml:space="preserve"> </w:t>
      </w:r>
      <w:r w:rsidRPr="003D1F58">
        <w:rPr>
          <w:sz w:val="24"/>
          <w:szCs w:val="24"/>
        </w:rPr>
        <w:t xml:space="preserve">The HUMINT Validation Program supports the FBI’s corporate requirements, including contract subject matter experts who perform validations of the FBI’s Confidential Human Sources supporting national security and criminal investigations.  NSAC assesses threats that continuously evolve while its operating capabilities focus across the spectrum of national security threats.  TSC receives raw terrorist identities and intelligence data from the USIC and is responsible for the final phase and quality assurance of known or suspected terrorist identities being placed onto the Federal Terrorist </w:t>
      </w:r>
      <w:proofErr w:type="spellStart"/>
      <w:r w:rsidRPr="003D1F58">
        <w:rPr>
          <w:sz w:val="24"/>
          <w:szCs w:val="24"/>
        </w:rPr>
        <w:t>Watchlist</w:t>
      </w:r>
      <w:proofErr w:type="spellEnd"/>
      <w:r w:rsidRPr="003D1F58">
        <w:rPr>
          <w:sz w:val="24"/>
          <w:szCs w:val="24"/>
        </w:rPr>
        <w:t xml:space="preserve">.  </w:t>
      </w:r>
    </w:p>
    <w:p w:rsidR="003D1F58" w:rsidRDefault="003D1F58" w:rsidP="007471A8">
      <w:pPr>
        <w:contextualSpacing/>
        <w:rPr>
          <w:color w:val="1F497D"/>
        </w:rPr>
      </w:pPr>
    </w:p>
    <w:p w:rsidR="003D1F58" w:rsidRPr="003D1F58" w:rsidRDefault="003D1F58" w:rsidP="007471A8">
      <w:pPr>
        <w:pStyle w:val="BodyText2"/>
        <w:contextualSpacing/>
        <w:rPr>
          <w:sz w:val="24"/>
          <w:szCs w:val="24"/>
          <w:u w:val="single"/>
        </w:rPr>
      </w:pPr>
      <w:r w:rsidRPr="003D1F58">
        <w:rPr>
          <w:sz w:val="24"/>
          <w:szCs w:val="24"/>
          <w:u w:val="single"/>
        </w:rPr>
        <w:t>Impact on Performance</w:t>
      </w:r>
    </w:p>
    <w:p w:rsidR="00A8673E" w:rsidRPr="00F569CC" w:rsidRDefault="003D1F58" w:rsidP="007471A8">
      <w:pPr>
        <w:contextualSpacing/>
      </w:pPr>
      <w:r w:rsidRPr="007B3633">
        <w:t xml:space="preserve">The </w:t>
      </w:r>
      <w:r>
        <w:t xml:space="preserve">proposed offset, will result in the loss of contract subject matter experts for the CI SPC, NSAC, HUMINT, and TSC programs.  However, the FBI will work to sustain the coordination with CI SPC partners, continue to monitor Domestic Terrorist actors and engage with IC counterparts to identify national security threats, and ensure that the CHS validation process and nomination process to the Terrorist </w:t>
      </w:r>
      <w:proofErr w:type="spellStart"/>
      <w:r>
        <w:t>Watchlist</w:t>
      </w:r>
      <w:proofErr w:type="spellEnd"/>
      <w:r>
        <w:t xml:space="preserve"> is not significantly hindered.</w:t>
      </w:r>
      <w:r w:rsidDel="004E62DE">
        <w:rPr>
          <w:b/>
        </w:rPr>
        <w:t xml:space="preserve"> </w:t>
      </w:r>
    </w:p>
    <w:p w:rsidR="00A8673E" w:rsidRDefault="00A8673E" w:rsidP="007471A8">
      <w:pPr>
        <w:contextualSpacing/>
        <w:jc w:val="center"/>
        <w:rPr>
          <w:rFonts w:eastAsia="Calibri"/>
          <w:b/>
        </w:rPr>
      </w:pPr>
    </w:p>
    <w:p w:rsidR="00A8673E" w:rsidRDefault="00A8673E" w:rsidP="007471A8">
      <w:pPr>
        <w:contextualSpacing/>
        <w:rPr>
          <w:rFonts w:eastAsia="Calibri"/>
          <w:b/>
        </w:rPr>
      </w:pPr>
      <w:r>
        <w:rPr>
          <w:rFonts w:eastAsia="Calibri"/>
          <w:b/>
        </w:rPr>
        <w:br w:type="page"/>
      </w:r>
    </w:p>
    <w:p w:rsidR="00A8673E" w:rsidRDefault="00A8673E" w:rsidP="007471A8">
      <w:pPr>
        <w:contextualSpacing/>
        <w:jc w:val="center"/>
        <w:rPr>
          <w:rFonts w:eastAsia="Calibri"/>
          <w:b/>
        </w:rPr>
      </w:pPr>
      <w:r w:rsidRPr="00486648">
        <w:rPr>
          <w:rFonts w:eastAsia="Calibri"/>
          <w:b/>
        </w:rPr>
        <w:lastRenderedPageBreak/>
        <w:t>Funding</w:t>
      </w:r>
    </w:p>
    <w:p w:rsidR="00A8673E" w:rsidRPr="002E00BD" w:rsidRDefault="00A8673E" w:rsidP="007471A8">
      <w:pPr>
        <w:pStyle w:val="xl24"/>
        <w:spacing w:before="0" w:after="0"/>
        <w:contextualSpacing/>
        <w:rPr>
          <w:color w:val="000000"/>
          <w:szCs w:val="24"/>
        </w:rPr>
      </w:pPr>
      <w:r w:rsidRPr="002E00BD">
        <w:rPr>
          <w:color w:val="000000"/>
          <w:szCs w:val="24"/>
        </w:rPr>
        <w:t>Base Funding</w:t>
      </w:r>
    </w:p>
    <w:p w:rsidR="00A8673E" w:rsidRPr="002E00BD" w:rsidRDefault="00A8673E"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
        <w:gridCol w:w="666"/>
        <w:gridCol w:w="766"/>
        <w:gridCol w:w="966"/>
        <w:gridCol w:w="766"/>
        <w:gridCol w:w="666"/>
        <w:gridCol w:w="766"/>
        <w:gridCol w:w="966"/>
        <w:gridCol w:w="766"/>
        <w:gridCol w:w="666"/>
        <w:gridCol w:w="766"/>
        <w:gridCol w:w="966"/>
      </w:tblGrid>
      <w:tr w:rsidR="00A8673E" w:rsidRPr="002E00BD" w:rsidTr="00C504CD">
        <w:trPr>
          <w:trHeight w:val="255"/>
          <w:jc w:val="center"/>
        </w:trPr>
        <w:tc>
          <w:tcPr>
            <w:tcW w:w="0" w:type="auto"/>
            <w:gridSpan w:val="4"/>
            <w:shd w:val="clear" w:color="auto" w:fill="D9D9D9" w:themeFill="background1" w:themeFillShade="D9"/>
            <w:vAlign w:val="center"/>
          </w:tcPr>
          <w:p w:rsidR="00A8673E" w:rsidRPr="008C3073" w:rsidRDefault="00A8673E" w:rsidP="007471A8">
            <w:pPr>
              <w:contextualSpacing/>
              <w:jc w:val="center"/>
              <w:rPr>
                <w:sz w:val="20"/>
                <w:szCs w:val="20"/>
              </w:rPr>
            </w:pPr>
            <w:r w:rsidRPr="008C3073">
              <w:rPr>
                <w:sz w:val="20"/>
                <w:szCs w:val="20"/>
              </w:rPr>
              <w:t>FY 201</w:t>
            </w:r>
            <w:r>
              <w:rPr>
                <w:sz w:val="20"/>
                <w:szCs w:val="20"/>
              </w:rPr>
              <w:t>1</w:t>
            </w:r>
            <w:r w:rsidRPr="008C3073">
              <w:rPr>
                <w:sz w:val="20"/>
                <w:szCs w:val="20"/>
              </w:rPr>
              <w:t xml:space="preserve"> Enacted</w:t>
            </w:r>
          </w:p>
        </w:tc>
        <w:tc>
          <w:tcPr>
            <w:tcW w:w="0" w:type="auto"/>
            <w:gridSpan w:val="4"/>
            <w:shd w:val="clear" w:color="auto" w:fill="D9D9D9" w:themeFill="background1" w:themeFillShade="D9"/>
            <w:vAlign w:val="center"/>
          </w:tcPr>
          <w:p w:rsidR="00A8673E" w:rsidRPr="008C3073" w:rsidRDefault="00A8673E" w:rsidP="007471A8">
            <w:pPr>
              <w:contextualSpacing/>
              <w:jc w:val="center"/>
              <w:rPr>
                <w:sz w:val="20"/>
                <w:szCs w:val="20"/>
              </w:rPr>
            </w:pPr>
            <w:r w:rsidRPr="008C3073">
              <w:rPr>
                <w:sz w:val="20"/>
                <w:szCs w:val="20"/>
              </w:rPr>
              <w:t>FY 201</w:t>
            </w:r>
            <w:r>
              <w:rPr>
                <w:sz w:val="20"/>
                <w:szCs w:val="20"/>
              </w:rPr>
              <w:t>2</w:t>
            </w:r>
            <w:r w:rsidRPr="008C3073">
              <w:rPr>
                <w:sz w:val="20"/>
                <w:szCs w:val="20"/>
              </w:rPr>
              <w:t xml:space="preserve"> </w:t>
            </w:r>
            <w:r w:rsidR="002305AB">
              <w:rPr>
                <w:sz w:val="20"/>
                <w:szCs w:val="20"/>
              </w:rPr>
              <w:t>Enacted</w:t>
            </w:r>
          </w:p>
        </w:tc>
        <w:tc>
          <w:tcPr>
            <w:tcW w:w="0" w:type="auto"/>
            <w:gridSpan w:val="4"/>
            <w:shd w:val="clear" w:color="auto" w:fill="D9D9D9" w:themeFill="background1" w:themeFillShade="D9"/>
            <w:vAlign w:val="center"/>
          </w:tcPr>
          <w:p w:rsidR="00A8673E" w:rsidRPr="008C3073" w:rsidRDefault="00A8673E" w:rsidP="007471A8">
            <w:pPr>
              <w:contextualSpacing/>
              <w:jc w:val="center"/>
              <w:rPr>
                <w:sz w:val="20"/>
                <w:szCs w:val="20"/>
              </w:rPr>
            </w:pPr>
            <w:r w:rsidRPr="008C3073">
              <w:rPr>
                <w:sz w:val="20"/>
                <w:szCs w:val="20"/>
              </w:rPr>
              <w:t>FY 201</w:t>
            </w:r>
            <w:r>
              <w:rPr>
                <w:sz w:val="20"/>
                <w:szCs w:val="20"/>
              </w:rPr>
              <w:t>3</w:t>
            </w:r>
            <w:r w:rsidRPr="008C3073">
              <w:rPr>
                <w:sz w:val="20"/>
                <w:szCs w:val="20"/>
              </w:rPr>
              <w:t xml:space="preserve"> Current Services</w:t>
            </w:r>
          </w:p>
        </w:tc>
      </w:tr>
      <w:tr w:rsidR="00A8673E" w:rsidRPr="002E00BD" w:rsidTr="00C504CD">
        <w:trPr>
          <w:trHeight w:val="255"/>
          <w:jc w:val="center"/>
        </w:trPr>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Pos</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Agt</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FTE</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($000)</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Pos</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Agt</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FTE</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($000)</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Pos</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Agt</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FTE</w:t>
            </w:r>
          </w:p>
        </w:tc>
        <w:tc>
          <w:tcPr>
            <w:tcW w:w="0" w:type="auto"/>
            <w:vAlign w:val="center"/>
          </w:tcPr>
          <w:p w:rsidR="00A8673E" w:rsidRPr="0002015A" w:rsidRDefault="00A8673E" w:rsidP="007471A8">
            <w:pPr>
              <w:contextualSpacing/>
              <w:jc w:val="center"/>
              <w:rPr>
                <w:color w:val="000000"/>
                <w:sz w:val="20"/>
                <w:szCs w:val="20"/>
              </w:rPr>
            </w:pPr>
            <w:r w:rsidRPr="0002015A">
              <w:rPr>
                <w:color w:val="000000"/>
                <w:sz w:val="20"/>
                <w:szCs w:val="20"/>
              </w:rPr>
              <w:t>($000)</w:t>
            </w:r>
          </w:p>
        </w:tc>
      </w:tr>
      <w:tr w:rsidR="00A8673E" w:rsidRPr="002E00BD" w:rsidTr="00C504CD">
        <w:trPr>
          <w:trHeight w:val="255"/>
          <w:jc w:val="center"/>
        </w:trPr>
        <w:tc>
          <w:tcPr>
            <w:tcW w:w="0" w:type="auto"/>
            <w:vAlign w:val="center"/>
          </w:tcPr>
          <w:p w:rsidR="00A8673E" w:rsidRPr="0002015A" w:rsidRDefault="00A8673E" w:rsidP="007471A8">
            <w:pPr>
              <w:contextualSpacing/>
              <w:rPr>
                <w:color w:val="000000"/>
                <w:sz w:val="20"/>
                <w:szCs w:val="20"/>
              </w:rPr>
            </w:pPr>
            <w:r>
              <w:rPr>
                <w:color w:val="000000"/>
                <w:sz w:val="20"/>
                <w:szCs w:val="20"/>
              </w:rPr>
              <w:t>13,080</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5,546</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12,515</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$407,290</w:t>
            </w:r>
          </w:p>
        </w:tc>
        <w:tc>
          <w:tcPr>
            <w:tcW w:w="0" w:type="auto"/>
            <w:vAlign w:val="center"/>
          </w:tcPr>
          <w:p w:rsidR="00A8673E" w:rsidRPr="0002015A" w:rsidRDefault="00A8673E" w:rsidP="007471A8">
            <w:pPr>
              <w:contextualSpacing/>
              <w:jc w:val="center"/>
              <w:rPr>
                <w:color w:val="000000"/>
                <w:sz w:val="20"/>
                <w:szCs w:val="20"/>
              </w:rPr>
            </w:pPr>
            <w:r>
              <w:rPr>
                <w:color w:val="000000"/>
                <w:sz w:val="20"/>
                <w:szCs w:val="20"/>
              </w:rPr>
              <w:t>13,451</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5,540</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13,212</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$375,233</w:t>
            </w:r>
          </w:p>
        </w:tc>
        <w:tc>
          <w:tcPr>
            <w:tcW w:w="0" w:type="auto"/>
            <w:vAlign w:val="center"/>
          </w:tcPr>
          <w:p w:rsidR="00A8673E" w:rsidRPr="0002015A" w:rsidRDefault="00A8673E" w:rsidP="007471A8">
            <w:pPr>
              <w:contextualSpacing/>
              <w:jc w:val="center"/>
              <w:rPr>
                <w:color w:val="000000"/>
                <w:sz w:val="20"/>
                <w:szCs w:val="20"/>
              </w:rPr>
            </w:pPr>
            <w:r>
              <w:rPr>
                <w:color w:val="000000"/>
                <w:sz w:val="20"/>
                <w:szCs w:val="20"/>
              </w:rPr>
              <w:t>13,451</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5,540</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13,220</w:t>
            </w:r>
          </w:p>
        </w:tc>
        <w:tc>
          <w:tcPr>
            <w:tcW w:w="0" w:type="auto"/>
            <w:vAlign w:val="center"/>
          </w:tcPr>
          <w:p w:rsidR="00A8673E" w:rsidRPr="0002015A" w:rsidRDefault="00A8673E" w:rsidP="007471A8">
            <w:pPr>
              <w:contextualSpacing/>
              <w:jc w:val="right"/>
              <w:rPr>
                <w:color w:val="000000"/>
                <w:sz w:val="20"/>
                <w:szCs w:val="20"/>
              </w:rPr>
            </w:pPr>
            <w:r>
              <w:rPr>
                <w:color w:val="000000"/>
                <w:sz w:val="20"/>
                <w:szCs w:val="20"/>
              </w:rPr>
              <w:t>$372,172</w:t>
            </w:r>
          </w:p>
        </w:tc>
      </w:tr>
    </w:tbl>
    <w:p w:rsidR="00A8673E" w:rsidRPr="002E00BD" w:rsidRDefault="00A8673E" w:rsidP="007471A8">
      <w:pPr>
        <w:pStyle w:val="BodyText"/>
        <w:contextualSpacing/>
        <w:rPr>
          <w:color w:val="000000"/>
          <w:u w:val="single"/>
        </w:rPr>
      </w:pPr>
    </w:p>
    <w:p w:rsidR="00A8673E" w:rsidRPr="002E00BD" w:rsidRDefault="00A8673E" w:rsidP="007471A8">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A8673E" w:rsidRPr="002E00BD" w:rsidRDefault="00A8673E"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756"/>
        <w:gridCol w:w="1056"/>
        <w:gridCol w:w="1116"/>
        <w:gridCol w:w="1875"/>
        <w:gridCol w:w="1875"/>
      </w:tblGrid>
      <w:tr w:rsidR="00A8673E" w:rsidRPr="002E00BD" w:rsidTr="00C504CD">
        <w:trPr>
          <w:jc w:val="center"/>
        </w:trPr>
        <w:tc>
          <w:tcPr>
            <w:tcW w:w="2178" w:type="dxa"/>
            <w:shd w:val="clear" w:color="auto" w:fill="D9D9D9" w:themeFill="background1" w:themeFillShade="D9"/>
            <w:vAlign w:val="center"/>
          </w:tcPr>
          <w:p w:rsidR="00A8673E" w:rsidRPr="0002015A" w:rsidRDefault="00A8673E" w:rsidP="007471A8">
            <w:pPr>
              <w:contextualSpacing/>
              <w:jc w:val="center"/>
              <w:rPr>
                <w:color w:val="000000"/>
                <w:sz w:val="20"/>
                <w:szCs w:val="20"/>
              </w:rPr>
            </w:pPr>
            <w:r w:rsidRPr="0002015A">
              <w:rPr>
                <w:color w:val="000000"/>
                <w:sz w:val="20"/>
                <w:szCs w:val="20"/>
              </w:rPr>
              <w:t>Non-Personnel Item</w:t>
            </w:r>
          </w:p>
        </w:tc>
        <w:tc>
          <w:tcPr>
            <w:tcW w:w="756" w:type="dxa"/>
            <w:vAlign w:val="center"/>
          </w:tcPr>
          <w:p w:rsidR="00A8673E" w:rsidRPr="0002015A" w:rsidRDefault="00A8673E" w:rsidP="007471A8">
            <w:pPr>
              <w:contextualSpacing/>
              <w:jc w:val="center"/>
              <w:rPr>
                <w:color w:val="000000"/>
                <w:sz w:val="20"/>
                <w:szCs w:val="20"/>
              </w:rPr>
            </w:pPr>
            <w:r w:rsidRPr="0002015A">
              <w:rPr>
                <w:color w:val="000000"/>
                <w:sz w:val="20"/>
                <w:szCs w:val="20"/>
              </w:rPr>
              <w:t>Unit Cost</w:t>
            </w:r>
          </w:p>
        </w:tc>
        <w:tc>
          <w:tcPr>
            <w:tcW w:w="1056" w:type="dxa"/>
            <w:vAlign w:val="center"/>
          </w:tcPr>
          <w:p w:rsidR="00A8673E" w:rsidRPr="0002015A" w:rsidRDefault="00A8673E" w:rsidP="007471A8">
            <w:pPr>
              <w:contextualSpacing/>
              <w:jc w:val="center"/>
              <w:rPr>
                <w:color w:val="000000"/>
                <w:sz w:val="20"/>
                <w:szCs w:val="20"/>
              </w:rPr>
            </w:pPr>
            <w:r w:rsidRPr="0002015A">
              <w:rPr>
                <w:color w:val="000000"/>
                <w:sz w:val="20"/>
                <w:szCs w:val="20"/>
              </w:rPr>
              <w:t>Quantity</w:t>
            </w:r>
          </w:p>
        </w:tc>
        <w:tc>
          <w:tcPr>
            <w:tcW w:w="1116" w:type="dxa"/>
            <w:vAlign w:val="center"/>
          </w:tcPr>
          <w:p w:rsidR="00A8673E" w:rsidRPr="0002015A" w:rsidRDefault="00A8673E" w:rsidP="007471A8">
            <w:pPr>
              <w:contextualSpacing/>
              <w:jc w:val="center"/>
              <w:rPr>
                <w:color w:val="000000"/>
                <w:sz w:val="20"/>
                <w:szCs w:val="20"/>
              </w:rPr>
            </w:pPr>
            <w:r>
              <w:rPr>
                <w:color w:val="000000"/>
                <w:sz w:val="20"/>
                <w:szCs w:val="20"/>
              </w:rPr>
              <w:t>FY 2013</w:t>
            </w:r>
            <w:r w:rsidRPr="0002015A">
              <w:rPr>
                <w:color w:val="000000"/>
                <w:sz w:val="20"/>
                <w:szCs w:val="20"/>
              </w:rPr>
              <w:t xml:space="preserve"> Request</w:t>
            </w:r>
          </w:p>
          <w:p w:rsidR="00A8673E" w:rsidRPr="0002015A" w:rsidRDefault="00A8673E" w:rsidP="007471A8">
            <w:pPr>
              <w:contextualSpacing/>
              <w:jc w:val="center"/>
              <w:rPr>
                <w:color w:val="000000"/>
                <w:sz w:val="20"/>
                <w:szCs w:val="20"/>
              </w:rPr>
            </w:pPr>
            <w:r w:rsidRPr="0002015A">
              <w:rPr>
                <w:color w:val="000000"/>
                <w:sz w:val="20"/>
                <w:szCs w:val="20"/>
              </w:rPr>
              <w:t>($000)</w:t>
            </w:r>
          </w:p>
        </w:tc>
        <w:tc>
          <w:tcPr>
            <w:tcW w:w="1875" w:type="dxa"/>
            <w:vAlign w:val="center"/>
          </w:tcPr>
          <w:p w:rsidR="00A8673E" w:rsidRPr="00641D5F" w:rsidRDefault="00A8673E" w:rsidP="007471A8">
            <w:pPr>
              <w:contextualSpacing/>
              <w:jc w:val="center"/>
              <w:rPr>
                <w:sz w:val="20"/>
                <w:szCs w:val="20"/>
              </w:rPr>
            </w:pPr>
            <w:r w:rsidRPr="00641D5F">
              <w:rPr>
                <w:sz w:val="20"/>
                <w:szCs w:val="20"/>
              </w:rPr>
              <w:t>FY 201</w:t>
            </w:r>
            <w:r>
              <w:rPr>
                <w:sz w:val="20"/>
                <w:szCs w:val="20"/>
              </w:rPr>
              <w:t>4</w:t>
            </w:r>
            <w:r w:rsidRPr="00641D5F">
              <w:rPr>
                <w:sz w:val="20"/>
                <w:szCs w:val="20"/>
              </w:rPr>
              <w:t xml:space="preserve"> Net Annualization (change from 201</w:t>
            </w:r>
            <w:r>
              <w:rPr>
                <w:sz w:val="20"/>
                <w:szCs w:val="20"/>
              </w:rPr>
              <w:t>3</w:t>
            </w:r>
            <w:r w:rsidRPr="00641D5F">
              <w:rPr>
                <w:sz w:val="20"/>
                <w:szCs w:val="20"/>
              </w:rPr>
              <w:t>)</w:t>
            </w:r>
          </w:p>
          <w:p w:rsidR="00A8673E" w:rsidRPr="0002015A" w:rsidRDefault="00A8673E" w:rsidP="007471A8">
            <w:pPr>
              <w:contextualSpacing/>
              <w:jc w:val="center"/>
              <w:rPr>
                <w:color w:val="000000"/>
                <w:sz w:val="20"/>
                <w:szCs w:val="20"/>
              </w:rPr>
            </w:pPr>
            <w:r w:rsidRPr="00641D5F">
              <w:rPr>
                <w:sz w:val="20"/>
                <w:szCs w:val="20"/>
              </w:rPr>
              <w:t xml:space="preserve"> ($000)</w:t>
            </w:r>
          </w:p>
        </w:tc>
        <w:tc>
          <w:tcPr>
            <w:tcW w:w="1875" w:type="dxa"/>
          </w:tcPr>
          <w:p w:rsidR="00A8673E" w:rsidRPr="00641D5F" w:rsidRDefault="00A8673E" w:rsidP="007471A8">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A8673E" w:rsidRPr="00641D5F" w:rsidRDefault="00A8673E" w:rsidP="007471A8">
            <w:pPr>
              <w:contextualSpacing/>
              <w:jc w:val="center"/>
              <w:rPr>
                <w:sz w:val="20"/>
                <w:szCs w:val="20"/>
              </w:rPr>
            </w:pPr>
            <w:r w:rsidRPr="00641D5F">
              <w:rPr>
                <w:sz w:val="20"/>
                <w:szCs w:val="20"/>
              </w:rPr>
              <w:t xml:space="preserve"> ($000)</w:t>
            </w:r>
          </w:p>
        </w:tc>
      </w:tr>
      <w:tr w:rsidR="00A8673E" w:rsidRPr="002E00BD" w:rsidTr="00C504CD">
        <w:trPr>
          <w:jc w:val="center"/>
        </w:trPr>
        <w:tc>
          <w:tcPr>
            <w:tcW w:w="2178" w:type="dxa"/>
          </w:tcPr>
          <w:p w:rsidR="00A8673E" w:rsidRPr="0002015A" w:rsidRDefault="00A8673E" w:rsidP="007471A8">
            <w:pPr>
              <w:contextualSpacing/>
              <w:rPr>
                <w:color w:val="000000"/>
                <w:sz w:val="20"/>
                <w:szCs w:val="20"/>
              </w:rPr>
            </w:pPr>
            <w:r>
              <w:rPr>
                <w:color w:val="000000"/>
                <w:sz w:val="20"/>
                <w:szCs w:val="20"/>
              </w:rPr>
              <w:t>National Security Contracts</w:t>
            </w:r>
          </w:p>
        </w:tc>
        <w:tc>
          <w:tcPr>
            <w:tcW w:w="756" w:type="dxa"/>
            <w:vAlign w:val="center"/>
          </w:tcPr>
          <w:p w:rsidR="00A8673E" w:rsidRPr="0002015A" w:rsidRDefault="00A8673E" w:rsidP="007471A8">
            <w:pPr>
              <w:contextualSpacing/>
              <w:jc w:val="right"/>
              <w:rPr>
                <w:color w:val="000000"/>
                <w:sz w:val="20"/>
                <w:szCs w:val="20"/>
              </w:rPr>
            </w:pPr>
            <w:r w:rsidRPr="0002015A">
              <w:rPr>
                <w:color w:val="000000"/>
                <w:sz w:val="20"/>
                <w:szCs w:val="20"/>
              </w:rPr>
              <w:t>n/a</w:t>
            </w:r>
          </w:p>
        </w:tc>
        <w:tc>
          <w:tcPr>
            <w:tcW w:w="1056" w:type="dxa"/>
            <w:vAlign w:val="center"/>
          </w:tcPr>
          <w:p w:rsidR="00A8673E" w:rsidRPr="0002015A" w:rsidRDefault="00A8673E" w:rsidP="007471A8">
            <w:pPr>
              <w:contextualSpacing/>
              <w:jc w:val="right"/>
              <w:rPr>
                <w:color w:val="000000"/>
                <w:sz w:val="20"/>
                <w:szCs w:val="20"/>
              </w:rPr>
            </w:pPr>
            <w:r w:rsidRPr="0002015A">
              <w:rPr>
                <w:color w:val="000000"/>
                <w:sz w:val="20"/>
                <w:szCs w:val="20"/>
              </w:rPr>
              <w:t>n/a</w:t>
            </w:r>
          </w:p>
        </w:tc>
        <w:tc>
          <w:tcPr>
            <w:tcW w:w="1116" w:type="dxa"/>
            <w:vAlign w:val="center"/>
          </w:tcPr>
          <w:p w:rsidR="00A8673E" w:rsidRPr="0002015A" w:rsidRDefault="00A8673E" w:rsidP="007471A8">
            <w:pPr>
              <w:contextualSpacing/>
              <w:jc w:val="right"/>
              <w:rPr>
                <w:color w:val="000000"/>
                <w:sz w:val="20"/>
                <w:szCs w:val="20"/>
              </w:rPr>
            </w:pPr>
            <w:r w:rsidRPr="0002015A">
              <w:rPr>
                <w:color w:val="000000"/>
                <w:sz w:val="20"/>
                <w:szCs w:val="20"/>
              </w:rPr>
              <w:t>($</w:t>
            </w:r>
            <w:r>
              <w:rPr>
                <w:color w:val="000000"/>
                <w:sz w:val="20"/>
                <w:szCs w:val="20"/>
              </w:rPr>
              <w:t>7,113</w:t>
            </w:r>
            <w:r w:rsidRPr="0002015A">
              <w:rPr>
                <w:color w:val="000000"/>
                <w:sz w:val="20"/>
                <w:szCs w:val="20"/>
              </w:rPr>
              <w:t>)</w:t>
            </w:r>
          </w:p>
        </w:tc>
        <w:tc>
          <w:tcPr>
            <w:tcW w:w="1875" w:type="dxa"/>
            <w:vAlign w:val="center"/>
          </w:tcPr>
          <w:p w:rsidR="00A8673E" w:rsidRPr="0002015A" w:rsidRDefault="00A8673E" w:rsidP="007471A8">
            <w:pPr>
              <w:contextualSpacing/>
              <w:jc w:val="right"/>
              <w:rPr>
                <w:color w:val="000000"/>
                <w:sz w:val="20"/>
                <w:szCs w:val="20"/>
              </w:rPr>
            </w:pPr>
            <w:r w:rsidRPr="0002015A">
              <w:rPr>
                <w:color w:val="000000"/>
                <w:sz w:val="20"/>
                <w:szCs w:val="20"/>
              </w:rPr>
              <w:t>$…</w:t>
            </w:r>
          </w:p>
        </w:tc>
        <w:tc>
          <w:tcPr>
            <w:tcW w:w="1875" w:type="dxa"/>
            <w:vAlign w:val="center"/>
          </w:tcPr>
          <w:p w:rsidR="00A8673E" w:rsidRPr="0002015A" w:rsidRDefault="00A8673E" w:rsidP="007471A8">
            <w:pPr>
              <w:contextualSpacing/>
              <w:jc w:val="right"/>
              <w:rPr>
                <w:color w:val="000000"/>
                <w:sz w:val="20"/>
                <w:szCs w:val="20"/>
              </w:rPr>
            </w:pPr>
            <w:r w:rsidRPr="0002015A">
              <w:rPr>
                <w:color w:val="000000"/>
                <w:sz w:val="20"/>
                <w:szCs w:val="20"/>
              </w:rPr>
              <w:t>$…</w:t>
            </w:r>
          </w:p>
        </w:tc>
      </w:tr>
      <w:tr w:rsidR="00A8673E" w:rsidRPr="002E00BD" w:rsidTr="00C504CD">
        <w:trPr>
          <w:jc w:val="center"/>
        </w:trPr>
        <w:tc>
          <w:tcPr>
            <w:tcW w:w="2178" w:type="dxa"/>
          </w:tcPr>
          <w:p w:rsidR="00A8673E" w:rsidRPr="0002015A" w:rsidRDefault="00A8673E" w:rsidP="007471A8">
            <w:pPr>
              <w:contextualSpacing/>
              <w:rPr>
                <w:color w:val="000000"/>
                <w:sz w:val="20"/>
                <w:szCs w:val="20"/>
              </w:rPr>
            </w:pPr>
            <w:r w:rsidRPr="0002015A">
              <w:rPr>
                <w:color w:val="000000"/>
                <w:sz w:val="20"/>
                <w:szCs w:val="20"/>
              </w:rPr>
              <w:t>Total Non-Personnel</w:t>
            </w:r>
          </w:p>
        </w:tc>
        <w:tc>
          <w:tcPr>
            <w:tcW w:w="756" w:type="dxa"/>
            <w:vAlign w:val="center"/>
          </w:tcPr>
          <w:p w:rsidR="00A8673E" w:rsidRPr="0002015A" w:rsidRDefault="00A8673E" w:rsidP="007471A8">
            <w:pPr>
              <w:contextualSpacing/>
              <w:jc w:val="right"/>
              <w:rPr>
                <w:color w:val="000000"/>
                <w:sz w:val="20"/>
                <w:szCs w:val="20"/>
              </w:rPr>
            </w:pPr>
          </w:p>
        </w:tc>
        <w:tc>
          <w:tcPr>
            <w:tcW w:w="1056" w:type="dxa"/>
            <w:vAlign w:val="center"/>
          </w:tcPr>
          <w:p w:rsidR="00A8673E" w:rsidRPr="0002015A" w:rsidRDefault="00A8673E" w:rsidP="007471A8">
            <w:pPr>
              <w:contextualSpacing/>
              <w:jc w:val="right"/>
              <w:rPr>
                <w:color w:val="000000"/>
                <w:sz w:val="20"/>
                <w:szCs w:val="20"/>
              </w:rPr>
            </w:pPr>
          </w:p>
        </w:tc>
        <w:tc>
          <w:tcPr>
            <w:tcW w:w="1116" w:type="dxa"/>
            <w:vAlign w:val="center"/>
          </w:tcPr>
          <w:p w:rsidR="00A8673E" w:rsidRPr="0002015A" w:rsidRDefault="00A8673E" w:rsidP="007471A8">
            <w:pPr>
              <w:contextualSpacing/>
              <w:jc w:val="right"/>
              <w:rPr>
                <w:color w:val="000000"/>
                <w:sz w:val="20"/>
                <w:szCs w:val="20"/>
              </w:rPr>
            </w:pPr>
            <w:r>
              <w:rPr>
                <w:color w:val="000000"/>
                <w:sz w:val="20"/>
                <w:szCs w:val="20"/>
              </w:rPr>
              <w:t>($7,113)</w:t>
            </w:r>
          </w:p>
        </w:tc>
        <w:tc>
          <w:tcPr>
            <w:tcW w:w="1875" w:type="dxa"/>
            <w:vAlign w:val="center"/>
          </w:tcPr>
          <w:p w:rsidR="00A8673E" w:rsidRPr="0002015A" w:rsidRDefault="00A8673E" w:rsidP="007471A8">
            <w:pPr>
              <w:contextualSpacing/>
              <w:jc w:val="right"/>
              <w:rPr>
                <w:color w:val="000000"/>
                <w:sz w:val="20"/>
                <w:szCs w:val="20"/>
              </w:rPr>
            </w:pPr>
            <w:r w:rsidRPr="0002015A">
              <w:rPr>
                <w:color w:val="000000"/>
                <w:sz w:val="20"/>
                <w:szCs w:val="20"/>
              </w:rPr>
              <w:t>$…</w:t>
            </w:r>
          </w:p>
        </w:tc>
        <w:tc>
          <w:tcPr>
            <w:tcW w:w="1875" w:type="dxa"/>
            <w:vAlign w:val="center"/>
          </w:tcPr>
          <w:p w:rsidR="00A8673E" w:rsidRPr="0002015A" w:rsidRDefault="00A8673E" w:rsidP="007471A8">
            <w:pPr>
              <w:contextualSpacing/>
              <w:jc w:val="right"/>
              <w:rPr>
                <w:color w:val="000000"/>
                <w:sz w:val="20"/>
                <w:szCs w:val="20"/>
              </w:rPr>
            </w:pPr>
            <w:r w:rsidRPr="0002015A">
              <w:rPr>
                <w:color w:val="000000"/>
                <w:sz w:val="20"/>
                <w:szCs w:val="20"/>
              </w:rPr>
              <w:t>$…</w:t>
            </w:r>
          </w:p>
        </w:tc>
      </w:tr>
    </w:tbl>
    <w:p w:rsidR="00A8673E" w:rsidRPr="002E00BD" w:rsidRDefault="00A8673E" w:rsidP="007471A8">
      <w:pPr>
        <w:pStyle w:val="xl24"/>
        <w:spacing w:before="0" w:after="0"/>
        <w:contextualSpacing/>
        <w:rPr>
          <w:color w:val="000000"/>
          <w:szCs w:val="24"/>
        </w:rPr>
      </w:pPr>
    </w:p>
    <w:p w:rsidR="00A8673E" w:rsidRDefault="00A8673E" w:rsidP="007471A8">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A8673E" w:rsidRPr="00E61321" w:rsidRDefault="00A8673E" w:rsidP="007471A8">
      <w:pPr>
        <w:pStyle w:val="xl24"/>
        <w:spacing w:before="0" w:after="0"/>
        <w:contextualSpacing/>
        <w:rPr>
          <w:color w:val="000000"/>
          <w:szCs w:val="24"/>
        </w:rPr>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810"/>
        <w:gridCol w:w="720"/>
        <w:gridCol w:w="810"/>
        <w:gridCol w:w="1080"/>
        <w:gridCol w:w="1080"/>
        <w:gridCol w:w="1170"/>
        <w:gridCol w:w="1890"/>
        <w:gridCol w:w="1980"/>
      </w:tblGrid>
      <w:tr w:rsidR="00A8673E" w:rsidTr="004E63AB">
        <w:trPr>
          <w:trHeight w:val="658"/>
          <w:jc w:val="center"/>
        </w:trPr>
        <w:tc>
          <w:tcPr>
            <w:tcW w:w="1620" w:type="dxa"/>
            <w:shd w:val="clear" w:color="auto" w:fill="D9D9D9" w:themeFill="background1" w:themeFillShade="D9"/>
          </w:tcPr>
          <w:p w:rsidR="00A8673E" w:rsidRDefault="00A8673E" w:rsidP="007471A8">
            <w:pPr>
              <w:contextualSpacing/>
              <w:rPr>
                <w:sz w:val="20"/>
              </w:rPr>
            </w:pPr>
          </w:p>
        </w:tc>
        <w:tc>
          <w:tcPr>
            <w:tcW w:w="810" w:type="dxa"/>
            <w:vAlign w:val="center"/>
          </w:tcPr>
          <w:p w:rsidR="00A8673E" w:rsidRDefault="00A8673E" w:rsidP="007471A8">
            <w:pPr>
              <w:contextualSpacing/>
              <w:jc w:val="center"/>
              <w:rPr>
                <w:sz w:val="20"/>
              </w:rPr>
            </w:pPr>
            <w:r>
              <w:rPr>
                <w:sz w:val="20"/>
              </w:rPr>
              <w:t>Pos</w:t>
            </w:r>
          </w:p>
        </w:tc>
        <w:tc>
          <w:tcPr>
            <w:tcW w:w="720" w:type="dxa"/>
            <w:vAlign w:val="center"/>
          </w:tcPr>
          <w:p w:rsidR="00A8673E" w:rsidRDefault="00A8673E" w:rsidP="007471A8">
            <w:pPr>
              <w:contextualSpacing/>
              <w:jc w:val="center"/>
              <w:rPr>
                <w:sz w:val="20"/>
              </w:rPr>
            </w:pPr>
          </w:p>
          <w:p w:rsidR="00A8673E" w:rsidRDefault="00A8673E" w:rsidP="007471A8">
            <w:pPr>
              <w:contextualSpacing/>
              <w:jc w:val="center"/>
              <w:rPr>
                <w:sz w:val="20"/>
              </w:rPr>
            </w:pPr>
            <w:r>
              <w:rPr>
                <w:sz w:val="20"/>
              </w:rPr>
              <w:t>Agt</w:t>
            </w:r>
          </w:p>
          <w:p w:rsidR="00A8673E" w:rsidRDefault="00A8673E" w:rsidP="007471A8">
            <w:pPr>
              <w:contextualSpacing/>
              <w:jc w:val="center"/>
              <w:rPr>
                <w:sz w:val="20"/>
              </w:rPr>
            </w:pPr>
          </w:p>
        </w:tc>
        <w:tc>
          <w:tcPr>
            <w:tcW w:w="810" w:type="dxa"/>
            <w:vAlign w:val="center"/>
          </w:tcPr>
          <w:p w:rsidR="00A8673E" w:rsidRDefault="00A8673E" w:rsidP="007471A8">
            <w:pPr>
              <w:contextualSpacing/>
              <w:jc w:val="center"/>
              <w:rPr>
                <w:sz w:val="20"/>
              </w:rPr>
            </w:pPr>
            <w:r>
              <w:rPr>
                <w:sz w:val="20"/>
              </w:rPr>
              <w:t>FTE</w:t>
            </w:r>
          </w:p>
        </w:tc>
        <w:tc>
          <w:tcPr>
            <w:tcW w:w="1080" w:type="dxa"/>
            <w:vAlign w:val="center"/>
          </w:tcPr>
          <w:p w:rsidR="00A8673E" w:rsidRDefault="00A8673E" w:rsidP="007471A8">
            <w:pPr>
              <w:contextualSpacing/>
              <w:jc w:val="center"/>
              <w:rPr>
                <w:sz w:val="20"/>
              </w:rPr>
            </w:pPr>
            <w:r>
              <w:rPr>
                <w:sz w:val="20"/>
              </w:rPr>
              <w:t>Personnel</w:t>
            </w:r>
          </w:p>
          <w:p w:rsidR="00A8673E" w:rsidRDefault="00A8673E" w:rsidP="007471A8">
            <w:pPr>
              <w:contextualSpacing/>
              <w:jc w:val="center"/>
              <w:rPr>
                <w:sz w:val="20"/>
              </w:rPr>
            </w:pPr>
            <w:r>
              <w:rPr>
                <w:sz w:val="20"/>
              </w:rPr>
              <w:t>($000)</w:t>
            </w:r>
          </w:p>
        </w:tc>
        <w:tc>
          <w:tcPr>
            <w:tcW w:w="1080" w:type="dxa"/>
            <w:vAlign w:val="center"/>
          </w:tcPr>
          <w:p w:rsidR="00A8673E" w:rsidRDefault="00A8673E" w:rsidP="007471A8">
            <w:pPr>
              <w:contextualSpacing/>
              <w:jc w:val="center"/>
              <w:rPr>
                <w:sz w:val="20"/>
              </w:rPr>
            </w:pPr>
            <w:r>
              <w:rPr>
                <w:sz w:val="20"/>
              </w:rPr>
              <w:t>Non-Personnel</w:t>
            </w:r>
          </w:p>
          <w:p w:rsidR="00A8673E" w:rsidRDefault="00A8673E" w:rsidP="007471A8">
            <w:pPr>
              <w:contextualSpacing/>
              <w:jc w:val="center"/>
              <w:rPr>
                <w:sz w:val="20"/>
              </w:rPr>
            </w:pPr>
            <w:r>
              <w:rPr>
                <w:sz w:val="20"/>
              </w:rPr>
              <w:t>($000)</w:t>
            </w:r>
          </w:p>
        </w:tc>
        <w:tc>
          <w:tcPr>
            <w:tcW w:w="1170" w:type="dxa"/>
            <w:vAlign w:val="center"/>
          </w:tcPr>
          <w:p w:rsidR="00A8673E" w:rsidRDefault="00A8673E" w:rsidP="007471A8">
            <w:pPr>
              <w:contextualSpacing/>
              <w:jc w:val="center"/>
              <w:rPr>
                <w:sz w:val="20"/>
              </w:rPr>
            </w:pPr>
            <w:r>
              <w:rPr>
                <w:sz w:val="20"/>
              </w:rPr>
              <w:t>Total</w:t>
            </w:r>
          </w:p>
          <w:p w:rsidR="00A8673E" w:rsidRDefault="00A8673E" w:rsidP="007471A8">
            <w:pPr>
              <w:contextualSpacing/>
              <w:jc w:val="center"/>
              <w:rPr>
                <w:sz w:val="20"/>
              </w:rPr>
            </w:pPr>
            <w:r>
              <w:rPr>
                <w:sz w:val="20"/>
              </w:rPr>
              <w:t>($000)</w:t>
            </w:r>
          </w:p>
        </w:tc>
        <w:tc>
          <w:tcPr>
            <w:tcW w:w="1890" w:type="dxa"/>
            <w:vAlign w:val="center"/>
          </w:tcPr>
          <w:p w:rsidR="00A8673E" w:rsidRDefault="00A8673E" w:rsidP="007471A8">
            <w:pPr>
              <w:contextualSpacing/>
              <w:jc w:val="center"/>
              <w:rPr>
                <w:sz w:val="20"/>
              </w:rPr>
            </w:pPr>
            <w:r>
              <w:rPr>
                <w:sz w:val="20"/>
              </w:rPr>
              <w:t>FY 2014 Net</w:t>
            </w:r>
          </w:p>
          <w:p w:rsidR="00A8673E" w:rsidRDefault="00A8673E" w:rsidP="007471A8">
            <w:pPr>
              <w:contextualSpacing/>
              <w:jc w:val="center"/>
              <w:rPr>
                <w:sz w:val="20"/>
              </w:rPr>
            </w:pPr>
            <w:r>
              <w:rPr>
                <w:sz w:val="20"/>
              </w:rPr>
              <w:t>Annualization (change from 2013)</w:t>
            </w:r>
          </w:p>
          <w:p w:rsidR="00A8673E" w:rsidRDefault="00A8673E" w:rsidP="007471A8">
            <w:pPr>
              <w:contextualSpacing/>
              <w:jc w:val="center"/>
              <w:rPr>
                <w:sz w:val="20"/>
              </w:rPr>
            </w:pPr>
            <w:r>
              <w:rPr>
                <w:sz w:val="20"/>
              </w:rPr>
              <w:t>($000)</w:t>
            </w:r>
          </w:p>
        </w:tc>
        <w:tc>
          <w:tcPr>
            <w:tcW w:w="1980" w:type="dxa"/>
          </w:tcPr>
          <w:p w:rsidR="00A8673E" w:rsidRDefault="00A8673E" w:rsidP="007471A8">
            <w:pPr>
              <w:contextualSpacing/>
              <w:jc w:val="center"/>
              <w:rPr>
                <w:sz w:val="20"/>
              </w:rPr>
            </w:pPr>
            <w:r>
              <w:rPr>
                <w:sz w:val="20"/>
              </w:rPr>
              <w:t>FY 2015 Net</w:t>
            </w:r>
          </w:p>
          <w:p w:rsidR="00A8673E" w:rsidRDefault="00A8673E" w:rsidP="007471A8">
            <w:pPr>
              <w:contextualSpacing/>
              <w:jc w:val="center"/>
              <w:rPr>
                <w:sz w:val="20"/>
              </w:rPr>
            </w:pPr>
            <w:r>
              <w:rPr>
                <w:sz w:val="20"/>
              </w:rPr>
              <w:t>Annualization (change from 2014)</w:t>
            </w:r>
          </w:p>
          <w:p w:rsidR="00A8673E" w:rsidRDefault="00A8673E" w:rsidP="007471A8">
            <w:pPr>
              <w:contextualSpacing/>
              <w:jc w:val="center"/>
              <w:rPr>
                <w:sz w:val="20"/>
              </w:rPr>
            </w:pPr>
            <w:r>
              <w:rPr>
                <w:sz w:val="20"/>
              </w:rPr>
              <w:t>($000)</w:t>
            </w:r>
          </w:p>
        </w:tc>
      </w:tr>
      <w:tr w:rsidR="00A8673E" w:rsidTr="004E63AB">
        <w:trPr>
          <w:trHeight w:val="215"/>
          <w:jc w:val="center"/>
        </w:trPr>
        <w:tc>
          <w:tcPr>
            <w:tcW w:w="1620" w:type="dxa"/>
          </w:tcPr>
          <w:p w:rsidR="00A8673E" w:rsidRDefault="00A8673E" w:rsidP="007471A8">
            <w:pPr>
              <w:contextualSpacing/>
              <w:rPr>
                <w:sz w:val="20"/>
              </w:rPr>
            </w:pPr>
            <w:r>
              <w:rPr>
                <w:sz w:val="20"/>
              </w:rPr>
              <w:t>Current Services</w:t>
            </w:r>
          </w:p>
        </w:tc>
        <w:tc>
          <w:tcPr>
            <w:tcW w:w="810" w:type="dxa"/>
            <w:vAlign w:val="center"/>
          </w:tcPr>
          <w:p w:rsidR="00A8673E" w:rsidRDefault="00A8673E" w:rsidP="007471A8">
            <w:pPr>
              <w:contextualSpacing/>
              <w:jc w:val="right"/>
              <w:rPr>
                <w:sz w:val="20"/>
              </w:rPr>
            </w:pPr>
            <w:r>
              <w:rPr>
                <w:sz w:val="20"/>
              </w:rPr>
              <w:t>13,451</w:t>
            </w:r>
          </w:p>
        </w:tc>
        <w:tc>
          <w:tcPr>
            <w:tcW w:w="720" w:type="dxa"/>
            <w:vAlign w:val="center"/>
          </w:tcPr>
          <w:p w:rsidR="00A8673E" w:rsidRDefault="00A8673E" w:rsidP="007471A8">
            <w:pPr>
              <w:contextualSpacing/>
              <w:jc w:val="right"/>
              <w:rPr>
                <w:sz w:val="20"/>
              </w:rPr>
            </w:pPr>
            <w:r>
              <w:rPr>
                <w:sz w:val="20"/>
              </w:rPr>
              <w:t>5,540</w:t>
            </w:r>
          </w:p>
        </w:tc>
        <w:tc>
          <w:tcPr>
            <w:tcW w:w="810" w:type="dxa"/>
            <w:vAlign w:val="center"/>
          </w:tcPr>
          <w:p w:rsidR="00A8673E" w:rsidRDefault="00A8673E" w:rsidP="007471A8">
            <w:pPr>
              <w:contextualSpacing/>
              <w:jc w:val="right"/>
              <w:rPr>
                <w:sz w:val="20"/>
              </w:rPr>
            </w:pPr>
            <w:r>
              <w:rPr>
                <w:sz w:val="20"/>
              </w:rPr>
              <w:t>13,220</w:t>
            </w:r>
          </w:p>
        </w:tc>
        <w:tc>
          <w:tcPr>
            <w:tcW w:w="1080" w:type="dxa"/>
            <w:vAlign w:val="center"/>
          </w:tcPr>
          <w:p w:rsidR="00A8673E" w:rsidRDefault="00816B55" w:rsidP="007471A8">
            <w:pPr>
              <w:contextualSpacing/>
              <w:jc w:val="right"/>
              <w:rPr>
                <w:sz w:val="20"/>
              </w:rPr>
            </w:pPr>
            <w:r>
              <w:rPr>
                <w:sz w:val="20"/>
              </w:rPr>
              <w:t>$</w:t>
            </w:r>
            <w:r w:rsidR="00A8673E">
              <w:rPr>
                <w:sz w:val="20"/>
              </w:rPr>
              <w:t>…</w:t>
            </w:r>
          </w:p>
        </w:tc>
        <w:tc>
          <w:tcPr>
            <w:tcW w:w="1080" w:type="dxa"/>
            <w:vAlign w:val="center"/>
          </w:tcPr>
          <w:p w:rsidR="00A8673E" w:rsidRDefault="00A8673E" w:rsidP="007471A8">
            <w:pPr>
              <w:contextualSpacing/>
              <w:jc w:val="right"/>
              <w:rPr>
                <w:sz w:val="20"/>
              </w:rPr>
            </w:pPr>
            <w:r>
              <w:rPr>
                <w:color w:val="000000"/>
                <w:sz w:val="20"/>
                <w:szCs w:val="20"/>
              </w:rPr>
              <w:t>$372,172</w:t>
            </w:r>
          </w:p>
        </w:tc>
        <w:tc>
          <w:tcPr>
            <w:tcW w:w="1170" w:type="dxa"/>
            <w:vAlign w:val="center"/>
          </w:tcPr>
          <w:p w:rsidR="00A8673E" w:rsidRPr="0002015A" w:rsidRDefault="00A8673E" w:rsidP="007471A8">
            <w:pPr>
              <w:contextualSpacing/>
              <w:jc w:val="right"/>
              <w:rPr>
                <w:color w:val="000000"/>
                <w:sz w:val="20"/>
                <w:szCs w:val="20"/>
              </w:rPr>
            </w:pPr>
            <w:r>
              <w:rPr>
                <w:color w:val="000000"/>
                <w:sz w:val="20"/>
                <w:szCs w:val="20"/>
              </w:rPr>
              <w:t>$372,172</w:t>
            </w:r>
          </w:p>
        </w:tc>
        <w:tc>
          <w:tcPr>
            <w:tcW w:w="1890" w:type="dxa"/>
            <w:vAlign w:val="center"/>
          </w:tcPr>
          <w:p w:rsidR="00A8673E" w:rsidRDefault="00A8673E" w:rsidP="007471A8">
            <w:pPr>
              <w:contextualSpacing/>
              <w:jc w:val="right"/>
              <w:rPr>
                <w:sz w:val="20"/>
              </w:rPr>
            </w:pPr>
            <w:r w:rsidRPr="0002015A">
              <w:rPr>
                <w:color w:val="000000"/>
                <w:sz w:val="20"/>
                <w:szCs w:val="20"/>
              </w:rPr>
              <w:t>$…</w:t>
            </w:r>
          </w:p>
        </w:tc>
        <w:tc>
          <w:tcPr>
            <w:tcW w:w="1980" w:type="dxa"/>
            <w:vAlign w:val="center"/>
          </w:tcPr>
          <w:p w:rsidR="00A8673E" w:rsidRDefault="00A8673E" w:rsidP="007471A8">
            <w:pPr>
              <w:contextualSpacing/>
              <w:jc w:val="right"/>
              <w:rPr>
                <w:sz w:val="20"/>
              </w:rPr>
            </w:pPr>
            <w:r w:rsidRPr="0002015A">
              <w:rPr>
                <w:color w:val="000000"/>
                <w:sz w:val="20"/>
                <w:szCs w:val="20"/>
              </w:rPr>
              <w:t>$…</w:t>
            </w:r>
          </w:p>
        </w:tc>
      </w:tr>
      <w:tr w:rsidR="00A8673E" w:rsidTr="004E63AB">
        <w:trPr>
          <w:trHeight w:val="215"/>
          <w:jc w:val="center"/>
        </w:trPr>
        <w:tc>
          <w:tcPr>
            <w:tcW w:w="1620" w:type="dxa"/>
          </w:tcPr>
          <w:p w:rsidR="00A8673E" w:rsidRDefault="00A8673E" w:rsidP="007471A8">
            <w:pPr>
              <w:contextualSpacing/>
              <w:rPr>
                <w:sz w:val="20"/>
              </w:rPr>
            </w:pPr>
            <w:r>
              <w:rPr>
                <w:sz w:val="20"/>
              </w:rPr>
              <w:t>Decreases</w:t>
            </w:r>
          </w:p>
        </w:tc>
        <w:tc>
          <w:tcPr>
            <w:tcW w:w="810" w:type="dxa"/>
            <w:vAlign w:val="center"/>
          </w:tcPr>
          <w:p w:rsidR="00A8673E" w:rsidRDefault="00A8673E" w:rsidP="007471A8">
            <w:pPr>
              <w:contextualSpacing/>
              <w:jc w:val="right"/>
              <w:rPr>
                <w:sz w:val="20"/>
              </w:rPr>
            </w:pPr>
            <w:r>
              <w:rPr>
                <w:sz w:val="20"/>
              </w:rPr>
              <w:t>…</w:t>
            </w:r>
          </w:p>
        </w:tc>
        <w:tc>
          <w:tcPr>
            <w:tcW w:w="720" w:type="dxa"/>
            <w:vAlign w:val="center"/>
          </w:tcPr>
          <w:p w:rsidR="00A8673E" w:rsidRDefault="00A8673E" w:rsidP="007471A8">
            <w:pPr>
              <w:contextualSpacing/>
              <w:jc w:val="right"/>
              <w:rPr>
                <w:sz w:val="20"/>
              </w:rPr>
            </w:pPr>
            <w:r>
              <w:rPr>
                <w:sz w:val="20"/>
              </w:rPr>
              <w:t>…</w:t>
            </w:r>
          </w:p>
        </w:tc>
        <w:tc>
          <w:tcPr>
            <w:tcW w:w="810" w:type="dxa"/>
            <w:vAlign w:val="center"/>
          </w:tcPr>
          <w:p w:rsidR="00A8673E" w:rsidRDefault="00A8673E" w:rsidP="007471A8">
            <w:pPr>
              <w:contextualSpacing/>
              <w:jc w:val="right"/>
              <w:rPr>
                <w:sz w:val="20"/>
              </w:rPr>
            </w:pPr>
            <w:r>
              <w:rPr>
                <w:sz w:val="20"/>
              </w:rPr>
              <w:t>…</w:t>
            </w:r>
          </w:p>
        </w:tc>
        <w:tc>
          <w:tcPr>
            <w:tcW w:w="1080" w:type="dxa"/>
            <w:vAlign w:val="center"/>
          </w:tcPr>
          <w:p w:rsidR="00A8673E" w:rsidRDefault="00A8673E" w:rsidP="007471A8">
            <w:pPr>
              <w:contextualSpacing/>
              <w:jc w:val="right"/>
              <w:rPr>
                <w:sz w:val="20"/>
              </w:rPr>
            </w:pPr>
            <w:r>
              <w:rPr>
                <w:sz w:val="20"/>
              </w:rPr>
              <w:t>…</w:t>
            </w:r>
          </w:p>
        </w:tc>
        <w:tc>
          <w:tcPr>
            <w:tcW w:w="1080" w:type="dxa"/>
            <w:vAlign w:val="center"/>
          </w:tcPr>
          <w:p w:rsidR="00A8673E" w:rsidRDefault="00A8673E" w:rsidP="007471A8">
            <w:pPr>
              <w:contextualSpacing/>
              <w:jc w:val="right"/>
              <w:rPr>
                <w:sz w:val="20"/>
              </w:rPr>
            </w:pPr>
            <w:r>
              <w:rPr>
                <w:color w:val="000000"/>
                <w:sz w:val="20"/>
                <w:szCs w:val="20"/>
              </w:rPr>
              <w:t>(7,113</w:t>
            </w:r>
            <w:r w:rsidRPr="0002015A">
              <w:rPr>
                <w:color w:val="000000"/>
                <w:sz w:val="20"/>
                <w:szCs w:val="20"/>
              </w:rPr>
              <w:t>)</w:t>
            </w:r>
          </w:p>
        </w:tc>
        <w:tc>
          <w:tcPr>
            <w:tcW w:w="1170" w:type="dxa"/>
            <w:vAlign w:val="center"/>
          </w:tcPr>
          <w:p w:rsidR="00A8673E" w:rsidRDefault="00A8673E" w:rsidP="007471A8">
            <w:pPr>
              <w:contextualSpacing/>
              <w:jc w:val="right"/>
              <w:rPr>
                <w:sz w:val="20"/>
              </w:rPr>
            </w:pPr>
            <w:r>
              <w:rPr>
                <w:color w:val="000000"/>
                <w:sz w:val="20"/>
                <w:szCs w:val="20"/>
              </w:rPr>
              <w:t>(7,113</w:t>
            </w:r>
            <w:r w:rsidRPr="0002015A">
              <w:rPr>
                <w:color w:val="000000"/>
                <w:sz w:val="20"/>
                <w:szCs w:val="20"/>
              </w:rPr>
              <w:t>)</w:t>
            </w:r>
          </w:p>
        </w:tc>
        <w:tc>
          <w:tcPr>
            <w:tcW w:w="1890" w:type="dxa"/>
            <w:vAlign w:val="center"/>
          </w:tcPr>
          <w:p w:rsidR="00A8673E" w:rsidRDefault="00A8673E" w:rsidP="007471A8">
            <w:pPr>
              <w:contextualSpacing/>
              <w:jc w:val="right"/>
              <w:rPr>
                <w:sz w:val="20"/>
              </w:rPr>
            </w:pPr>
            <w:r>
              <w:rPr>
                <w:sz w:val="20"/>
              </w:rPr>
              <w:t>…</w:t>
            </w:r>
          </w:p>
        </w:tc>
        <w:tc>
          <w:tcPr>
            <w:tcW w:w="1980" w:type="dxa"/>
            <w:vAlign w:val="center"/>
          </w:tcPr>
          <w:p w:rsidR="00A8673E" w:rsidRDefault="00A8673E" w:rsidP="007471A8">
            <w:pPr>
              <w:contextualSpacing/>
              <w:jc w:val="right"/>
              <w:rPr>
                <w:sz w:val="20"/>
              </w:rPr>
            </w:pPr>
            <w:r>
              <w:rPr>
                <w:sz w:val="20"/>
              </w:rPr>
              <w:t>…</w:t>
            </w:r>
          </w:p>
        </w:tc>
      </w:tr>
      <w:tr w:rsidR="00A8673E" w:rsidTr="004E63AB">
        <w:trPr>
          <w:trHeight w:val="215"/>
          <w:jc w:val="center"/>
        </w:trPr>
        <w:tc>
          <w:tcPr>
            <w:tcW w:w="1620" w:type="dxa"/>
          </w:tcPr>
          <w:p w:rsidR="00A8673E" w:rsidRDefault="00A8673E" w:rsidP="007471A8">
            <w:pPr>
              <w:contextualSpacing/>
              <w:rPr>
                <w:sz w:val="20"/>
              </w:rPr>
            </w:pPr>
            <w:r>
              <w:rPr>
                <w:sz w:val="20"/>
              </w:rPr>
              <w:t>Grand Total</w:t>
            </w:r>
          </w:p>
        </w:tc>
        <w:tc>
          <w:tcPr>
            <w:tcW w:w="810" w:type="dxa"/>
            <w:vAlign w:val="center"/>
          </w:tcPr>
          <w:p w:rsidR="00A8673E" w:rsidRDefault="00A8673E" w:rsidP="007471A8">
            <w:pPr>
              <w:contextualSpacing/>
              <w:jc w:val="right"/>
              <w:rPr>
                <w:sz w:val="20"/>
              </w:rPr>
            </w:pPr>
            <w:r>
              <w:rPr>
                <w:sz w:val="20"/>
              </w:rPr>
              <w:t>13,451</w:t>
            </w:r>
          </w:p>
        </w:tc>
        <w:tc>
          <w:tcPr>
            <w:tcW w:w="720" w:type="dxa"/>
            <w:vAlign w:val="center"/>
          </w:tcPr>
          <w:p w:rsidR="00A8673E" w:rsidRDefault="00A8673E" w:rsidP="007471A8">
            <w:pPr>
              <w:contextualSpacing/>
              <w:jc w:val="right"/>
              <w:rPr>
                <w:sz w:val="20"/>
              </w:rPr>
            </w:pPr>
            <w:r>
              <w:rPr>
                <w:sz w:val="20"/>
              </w:rPr>
              <w:t>5,540</w:t>
            </w:r>
          </w:p>
        </w:tc>
        <w:tc>
          <w:tcPr>
            <w:tcW w:w="810" w:type="dxa"/>
            <w:vAlign w:val="center"/>
          </w:tcPr>
          <w:p w:rsidR="00A8673E" w:rsidRDefault="00A8673E" w:rsidP="007471A8">
            <w:pPr>
              <w:contextualSpacing/>
              <w:jc w:val="right"/>
              <w:rPr>
                <w:sz w:val="20"/>
              </w:rPr>
            </w:pPr>
            <w:r>
              <w:rPr>
                <w:sz w:val="20"/>
              </w:rPr>
              <w:t>13,220</w:t>
            </w:r>
          </w:p>
        </w:tc>
        <w:tc>
          <w:tcPr>
            <w:tcW w:w="1080" w:type="dxa"/>
            <w:vAlign w:val="center"/>
          </w:tcPr>
          <w:p w:rsidR="00A8673E" w:rsidRDefault="00816B55" w:rsidP="007471A8">
            <w:pPr>
              <w:contextualSpacing/>
              <w:jc w:val="right"/>
              <w:rPr>
                <w:sz w:val="20"/>
              </w:rPr>
            </w:pPr>
            <w:r>
              <w:rPr>
                <w:sz w:val="20"/>
              </w:rPr>
              <w:t>$</w:t>
            </w:r>
            <w:r w:rsidR="00A8673E">
              <w:rPr>
                <w:sz w:val="20"/>
              </w:rPr>
              <w:t>…</w:t>
            </w:r>
          </w:p>
        </w:tc>
        <w:tc>
          <w:tcPr>
            <w:tcW w:w="1080" w:type="dxa"/>
            <w:vAlign w:val="center"/>
          </w:tcPr>
          <w:p w:rsidR="00A8673E" w:rsidRDefault="00A8673E" w:rsidP="007471A8">
            <w:pPr>
              <w:contextualSpacing/>
              <w:jc w:val="right"/>
              <w:rPr>
                <w:sz w:val="20"/>
              </w:rPr>
            </w:pPr>
            <w:r>
              <w:rPr>
                <w:color w:val="000000"/>
                <w:sz w:val="20"/>
                <w:szCs w:val="20"/>
              </w:rPr>
              <w:t>$365,059</w:t>
            </w:r>
          </w:p>
        </w:tc>
        <w:tc>
          <w:tcPr>
            <w:tcW w:w="1170" w:type="dxa"/>
            <w:vAlign w:val="center"/>
          </w:tcPr>
          <w:p w:rsidR="00A8673E" w:rsidRDefault="00A8673E" w:rsidP="007471A8">
            <w:pPr>
              <w:contextualSpacing/>
              <w:jc w:val="right"/>
              <w:rPr>
                <w:sz w:val="20"/>
              </w:rPr>
            </w:pPr>
            <w:r>
              <w:rPr>
                <w:color w:val="000000"/>
                <w:sz w:val="20"/>
                <w:szCs w:val="20"/>
              </w:rPr>
              <w:t>$365,059</w:t>
            </w:r>
          </w:p>
        </w:tc>
        <w:tc>
          <w:tcPr>
            <w:tcW w:w="1890" w:type="dxa"/>
            <w:vAlign w:val="center"/>
          </w:tcPr>
          <w:p w:rsidR="00A8673E" w:rsidRDefault="00A8673E" w:rsidP="007471A8">
            <w:pPr>
              <w:contextualSpacing/>
              <w:jc w:val="right"/>
              <w:rPr>
                <w:sz w:val="20"/>
              </w:rPr>
            </w:pPr>
            <w:r w:rsidRPr="0002015A">
              <w:rPr>
                <w:color w:val="000000"/>
                <w:sz w:val="20"/>
                <w:szCs w:val="20"/>
              </w:rPr>
              <w:t>$…</w:t>
            </w:r>
          </w:p>
        </w:tc>
        <w:tc>
          <w:tcPr>
            <w:tcW w:w="1980" w:type="dxa"/>
            <w:vAlign w:val="center"/>
          </w:tcPr>
          <w:p w:rsidR="00A8673E" w:rsidRDefault="00A8673E" w:rsidP="007471A8">
            <w:pPr>
              <w:contextualSpacing/>
              <w:jc w:val="right"/>
              <w:rPr>
                <w:sz w:val="20"/>
              </w:rPr>
            </w:pPr>
            <w:r w:rsidRPr="0002015A">
              <w:rPr>
                <w:color w:val="000000"/>
                <w:sz w:val="20"/>
                <w:szCs w:val="20"/>
              </w:rPr>
              <w:t>$…</w:t>
            </w:r>
          </w:p>
        </w:tc>
      </w:tr>
    </w:tbl>
    <w:p w:rsidR="00A8673E" w:rsidRDefault="00A8673E" w:rsidP="007471A8">
      <w:pPr>
        <w:contextualSpacing/>
      </w:pPr>
    </w:p>
    <w:p w:rsidR="00A8673E" w:rsidRDefault="00A8673E" w:rsidP="007471A8">
      <w:pPr>
        <w:contextualSpacing/>
        <w:rPr>
          <w:b/>
        </w:rPr>
      </w:pPr>
      <w:r>
        <w:br w:type="page"/>
      </w:r>
    </w:p>
    <w:p w:rsidR="00484132" w:rsidRDefault="00484132" w:rsidP="004E63AB">
      <w:pPr>
        <w:tabs>
          <w:tab w:val="left" w:pos="3845"/>
        </w:tabs>
        <w:contextualSpacing/>
        <w:rPr>
          <w:b/>
        </w:rPr>
      </w:pPr>
      <w:bookmarkStart w:id="16" w:name="CIRG"/>
      <w:bookmarkEnd w:id="16"/>
      <w:r w:rsidRPr="00265935">
        <w:rPr>
          <w:b/>
        </w:rPr>
        <w:lastRenderedPageBreak/>
        <w:t xml:space="preserve">Item Name: </w:t>
      </w:r>
      <w:r w:rsidR="00310D57">
        <w:rPr>
          <w:b/>
        </w:rPr>
        <w:tab/>
      </w:r>
      <w:r>
        <w:rPr>
          <w:b/>
          <w:u w:val="single"/>
        </w:rPr>
        <w:t>Critical Incident Response</w:t>
      </w:r>
    </w:p>
    <w:p w:rsidR="00484132" w:rsidRPr="00717A1F" w:rsidRDefault="00310D57" w:rsidP="004E63AB">
      <w:pPr>
        <w:tabs>
          <w:tab w:val="left" w:pos="3845"/>
        </w:tabs>
        <w:contextualSpacing/>
        <w:rPr>
          <w:u w:val="single"/>
        </w:rPr>
      </w:pPr>
      <w:r>
        <w:t>Budget Decision Unit(s):</w:t>
      </w:r>
      <w:r>
        <w:tab/>
      </w:r>
      <w:r w:rsidR="00484132" w:rsidRPr="00717A1F">
        <w:rPr>
          <w:u w:val="single"/>
        </w:rPr>
        <w:t>All</w:t>
      </w:r>
    </w:p>
    <w:p w:rsidR="00484132" w:rsidRDefault="00484132" w:rsidP="004E63AB">
      <w:pPr>
        <w:tabs>
          <w:tab w:val="left" w:pos="3845"/>
        </w:tabs>
        <w:contextualSpacing/>
      </w:pPr>
      <w:r>
        <w:t>Strategic Goal(s) &amp; Objective(s):</w:t>
      </w:r>
      <w:r>
        <w:tab/>
        <w:t>1.1, 2.1, 2.2, 2.4</w:t>
      </w:r>
    </w:p>
    <w:p w:rsidR="00484132" w:rsidRPr="00717A1F" w:rsidRDefault="004E63AB" w:rsidP="004E63AB">
      <w:pPr>
        <w:tabs>
          <w:tab w:val="left" w:pos="3845"/>
        </w:tabs>
        <w:contextualSpacing/>
        <w:rPr>
          <w:u w:val="single"/>
        </w:rPr>
      </w:pPr>
      <w:r>
        <w:t xml:space="preserve">Organizational Program: </w:t>
      </w:r>
      <w:r>
        <w:tab/>
      </w:r>
      <w:r w:rsidR="00484132">
        <w:rPr>
          <w:u w:val="single"/>
        </w:rPr>
        <w:t>Critical Incident Response Group</w:t>
      </w:r>
    </w:p>
    <w:p w:rsidR="00484132" w:rsidRDefault="00484132" w:rsidP="007471A8">
      <w:pPr>
        <w:contextualSpacing/>
        <w:rPr>
          <w:u w:val="single"/>
        </w:rPr>
      </w:pPr>
    </w:p>
    <w:p w:rsidR="00484132" w:rsidRDefault="00484132" w:rsidP="007471A8">
      <w:pPr>
        <w:contextualSpacing/>
      </w:pPr>
      <w:r>
        <w:t xml:space="preserve">Program Reduction:  Positions </w:t>
      </w:r>
      <w:r>
        <w:rPr>
          <w:u w:val="single"/>
        </w:rPr>
        <w:t>0</w:t>
      </w:r>
      <w:r w:rsidRPr="003A6A63">
        <w:t xml:space="preserve"> </w:t>
      </w:r>
      <w:r>
        <w:t xml:space="preserve">Agt </w:t>
      </w:r>
      <w:r>
        <w:rPr>
          <w:u w:val="single"/>
        </w:rPr>
        <w:t>0</w:t>
      </w:r>
      <w:r>
        <w:t xml:space="preserve"> FTE </w:t>
      </w:r>
      <w:r>
        <w:rPr>
          <w:u w:val="single"/>
        </w:rPr>
        <w:t>0</w:t>
      </w:r>
      <w:r w:rsidR="003A6A63">
        <w:t xml:space="preserve"> </w:t>
      </w:r>
      <w:r>
        <w:t xml:space="preserve">Dollars </w:t>
      </w:r>
      <w:r w:rsidRPr="0008642F">
        <w:rPr>
          <w:u w:val="single"/>
        </w:rPr>
        <w:t>($</w:t>
      </w:r>
      <w:r>
        <w:rPr>
          <w:u w:val="single"/>
        </w:rPr>
        <w:t>3,417,000</w:t>
      </w:r>
      <w:r w:rsidRPr="0008642F">
        <w:rPr>
          <w:u w:val="single"/>
        </w:rPr>
        <w:t>)</w:t>
      </w:r>
      <w:r>
        <w:t xml:space="preserve"> (all non-personnel)</w:t>
      </w:r>
    </w:p>
    <w:p w:rsidR="00484132" w:rsidRDefault="00484132" w:rsidP="007471A8">
      <w:pPr>
        <w:contextualSpacing/>
      </w:pPr>
    </w:p>
    <w:p w:rsidR="0094046F" w:rsidRDefault="0094046F" w:rsidP="007471A8">
      <w:pPr>
        <w:contextualSpacing/>
        <w:rPr>
          <w:u w:val="single"/>
        </w:rPr>
      </w:pPr>
      <w:r w:rsidRPr="007C0343">
        <w:rPr>
          <w:u w:val="single"/>
        </w:rPr>
        <w:t>Description of Item</w:t>
      </w:r>
    </w:p>
    <w:p w:rsidR="0094046F" w:rsidRDefault="005D7B8E" w:rsidP="007471A8">
      <w:pPr>
        <w:contextualSpacing/>
      </w:pPr>
      <w:r>
        <w:t>T</w:t>
      </w:r>
      <w:r w:rsidR="0094046F">
        <w:t xml:space="preserve">he Budget proposes to reduce funding supporting the Critical Incident Response Group (CIRG) response capability.  CIRG deploys to a crisis site and establishes sophisticated command and control networks needed for crisis response.  The reduction will target the Hazardous Devices School (HDS) training for federal, state, and local law enforcement; stabilization training for </w:t>
      </w:r>
      <w:r w:rsidR="0094046F" w:rsidRPr="0096070B">
        <w:t>S</w:t>
      </w:r>
      <w:r w:rsidR="0094046F">
        <w:t>pecial Agent Bomb Technicians (S</w:t>
      </w:r>
      <w:r w:rsidR="0094046F" w:rsidRPr="0096070B">
        <w:t>ABTs</w:t>
      </w:r>
      <w:r w:rsidR="0094046F">
        <w:t>); SWAT training; and Hostage Rescue Team (HRT) capabilities.</w:t>
      </w:r>
    </w:p>
    <w:p w:rsidR="0094046F" w:rsidRDefault="0094046F" w:rsidP="007471A8">
      <w:pPr>
        <w:contextualSpacing/>
      </w:pPr>
    </w:p>
    <w:p w:rsidR="0094046F" w:rsidRPr="007C0343" w:rsidRDefault="0094046F" w:rsidP="007471A8">
      <w:pPr>
        <w:contextualSpacing/>
        <w:rPr>
          <w:u w:val="single"/>
        </w:rPr>
      </w:pPr>
      <w:r w:rsidRPr="007C0343">
        <w:rPr>
          <w:u w:val="single"/>
        </w:rPr>
        <w:t xml:space="preserve">Impact on </w:t>
      </w:r>
      <w:r w:rsidRPr="00B9283E">
        <w:rPr>
          <w:u w:val="single"/>
        </w:rPr>
        <w:t>Performance</w:t>
      </w:r>
    </w:p>
    <w:p w:rsidR="0094046F" w:rsidRDefault="0094046F" w:rsidP="007471A8">
      <w:pPr>
        <w:contextualSpacing/>
      </w:pPr>
      <w:r>
        <w:t xml:space="preserve">This offset reflects anticipated savings that will be achieved by reducing spending on training and equipment. </w:t>
      </w:r>
      <w:r w:rsidRPr="00D52E8F">
        <w:t xml:space="preserve"> </w:t>
      </w:r>
      <w:r>
        <w:t xml:space="preserve">As the lead agency for responding to critical incidents and major investigations as mandated through the National Security and Homeland Security Presidential Directives, the FBI will work to minimize the impact </w:t>
      </w:r>
      <w:r w:rsidR="003E2B1F">
        <w:t xml:space="preserve">of </w:t>
      </w:r>
      <w:r>
        <w:t>the</w:t>
      </w:r>
      <w:r w:rsidR="003E2B1F">
        <w:t>se</w:t>
      </w:r>
      <w:r>
        <w:t xml:space="preserve"> reductions</w:t>
      </w:r>
      <w:r w:rsidR="003E2B1F">
        <w:t>.</w:t>
      </w:r>
      <w:r>
        <w:t xml:space="preserve"> </w:t>
      </w:r>
    </w:p>
    <w:p w:rsidR="00D020D3" w:rsidRDefault="00D020D3" w:rsidP="007471A8">
      <w:pPr>
        <w:contextualSpacing/>
      </w:pPr>
      <w:r>
        <w:br w:type="page"/>
      </w:r>
    </w:p>
    <w:p w:rsidR="00484132" w:rsidRDefault="00484132" w:rsidP="007471A8">
      <w:pPr>
        <w:contextualSpacing/>
        <w:jc w:val="center"/>
        <w:rPr>
          <w:b/>
          <w:bCs/>
          <w:color w:val="000000"/>
        </w:rPr>
      </w:pPr>
      <w:r w:rsidRPr="002E00BD">
        <w:rPr>
          <w:b/>
          <w:bCs/>
          <w:color w:val="000000"/>
        </w:rPr>
        <w:lastRenderedPageBreak/>
        <w:t>Funding</w:t>
      </w:r>
    </w:p>
    <w:p w:rsidR="00484132" w:rsidRPr="002E00BD" w:rsidRDefault="00484132" w:rsidP="007471A8">
      <w:pPr>
        <w:pStyle w:val="xl24"/>
        <w:spacing w:before="0" w:after="0"/>
        <w:contextualSpacing/>
        <w:rPr>
          <w:color w:val="000000"/>
          <w:szCs w:val="24"/>
        </w:rPr>
      </w:pPr>
      <w:r w:rsidRPr="002E00BD">
        <w:rPr>
          <w:color w:val="000000"/>
          <w:szCs w:val="24"/>
        </w:rPr>
        <w:t>Base Funding</w:t>
      </w:r>
      <w:r>
        <w:rPr>
          <w:color w:val="000000"/>
          <w:szCs w:val="24"/>
        </w:rPr>
        <w:t>*</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966"/>
        <w:gridCol w:w="506"/>
        <w:gridCol w:w="516"/>
        <w:gridCol w:w="572"/>
        <w:gridCol w:w="966"/>
        <w:gridCol w:w="506"/>
        <w:gridCol w:w="516"/>
        <w:gridCol w:w="572"/>
        <w:gridCol w:w="966"/>
      </w:tblGrid>
      <w:tr w:rsidR="00484132" w:rsidRPr="002E00BD" w:rsidTr="006C7C76">
        <w:trPr>
          <w:trHeight w:val="255"/>
          <w:jc w:val="center"/>
        </w:trPr>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1</w:t>
            </w:r>
            <w:r w:rsidRPr="008C3073">
              <w:rPr>
                <w:sz w:val="20"/>
                <w:szCs w:val="20"/>
              </w:rPr>
              <w:t xml:space="preserve"> 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2</w:t>
            </w:r>
            <w:r w:rsidRPr="008C3073">
              <w:rPr>
                <w:sz w:val="20"/>
                <w:szCs w:val="20"/>
              </w:rPr>
              <w:t xml:space="preserve"> </w:t>
            </w:r>
            <w:r w:rsidR="0094046F">
              <w:rPr>
                <w:sz w:val="20"/>
                <w:szCs w:val="20"/>
              </w:rPr>
              <w:t>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3</w:t>
            </w:r>
            <w:r w:rsidRPr="008C3073">
              <w:rPr>
                <w:sz w:val="20"/>
                <w:szCs w:val="20"/>
              </w:rPr>
              <w:t xml:space="preserve"> Current Services</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$148,329</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$184,698</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$183,246</w:t>
            </w:r>
          </w:p>
        </w:tc>
      </w:tr>
    </w:tbl>
    <w:p w:rsidR="00484132" w:rsidRPr="006E4351" w:rsidRDefault="00484132" w:rsidP="007471A8">
      <w:pPr>
        <w:pStyle w:val="BodyText"/>
        <w:contextualSpacing/>
        <w:rPr>
          <w:color w:val="000000"/>
        </w:rPr>
      </w:pPr>
      <w:r>
        <w:rPr>
          <w:color w:val="000000"/>
        </w:rPr>
        <w:tab/>
        <w:t xml:space="preserve">  * Includes all non-personnel funding for the Critical Incident Response Group.</w:t>
      </w:r>
    </w:p>
    <w:p w:rsidR="00484132" w:rsidRPr="002E00BD" w:rsidRDefault="00484132" w:rsidP="007471A8">
      <w:pPr>
        <w:pStyle w:val="BodyText"/>
        <w:contextualSpacing/>
        <w:rPr>
          <w:color w:val="000000"/>
          <w:u w:val="single"/>
        </w:rPr>
      </w:pPr>
    </w:p>
    <w:p w:rsidR="00484132" w:rsidRPr="002E00BD" w:rsidRDefault="00484132" w:rsidP="007471A8">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756"/>
        <w:gridCol w:w="1056"/>
        <w:gridCol w:w="1116"/>
        <w:gridCol w:w="1875"/>
        <w:gridCol w:w="1875"/>
      </w:tblGrid>
      <w:tr w:rsidR="00484132" w:rsidRPr="002E00BD" w:rsidTr="006C7C76">
        <w:trPr>
          <w:jc w:val="center"/>
        </w:trPr>
        <w:tc>
          <w:tcPr>
            <w:tcW w:w="2178" w:type="dxa"/>
            <w:shd w:val="clear" w:color="auto" w:fill="D9D9D9" w:themeFill="background1" w:themeFillShade="D9"/>
            <w:vAlign w:val="center"/>
          </w:tcPr>
          <w:p w:rsidR="00484132" w:rsidRPr="0002015A" w:rsidRDefault="00484132" w:rsidP="007471A8">
            <w:pPr>
              <w:contextualSpacing/>
              <w:jc w:val="center"/>
              <w:rPr>
                <w:color w:val="000000"/>
                <w:sz w:val="20"/>
                <w:szCs w:val="20"/>
              </w:rPr>
            </w:pPr>
            <w:r w:rsidRPr="0002015A">
              <w:rPr>
                <w:color w:val="000000"/>
                <w:sz w:val="20"/>
                <w:szCs w:val="20"/>
              </w:rPr>
              <w:t>Non-Personnel Item</w:t>
            </w:r>
          </w:p>
        </w:tc>
        <w:tc>
          <w:tcPr>
            <w:tcW w:w="756" w:type="dxa"/>
            <w:vAlign w:val="center"/>
          </w:tcPr>
          <w:p w:rsidR="00484132" w:rsidRPr="0002015A" w:rsidRDefault="00484132" w:rsidP="007471A8">
            <w:pPr>
              <w:contextualSpacing/>
              <w:jc w:val="center"/>
              <w:rPr>
                <w:color w:val="000000"/>
                <w:sz w:val="20"/>
                <w:szCs w:val="20"/>
              </w:rPr>
            </w:pPr>
            <w:r w:rsidRPr="0002015A">
              <w:rPr>
                <w:color w:val="000000"/>
                <w:sz w:val="20"/>
                <w:szCs w:val="20"/>
              </w:rPr>
              <w:t>Unit Cost</w:t>
            </w:r>
          </w:p>
        </w:tc>
        <w:tc>
          <w:tcPr>
            <w:tcW w:w="1056" w:type="dxa"/>
            <w:vAlign w:val="center"/>
          </w:tcPr>
          <w:p w:rsidR="00484132" w:rsidRPr="0002015A" w:rsidRDefault="00484132" w:rsidP="007471A8">
            <w:pPr>
              <w:contextualSpacing/>
              <w:jc w:val="center"/>
              <w:rPr>
                <w:color w:val="000000"/>
                <w:sz w:val="20"/>
                <w:szCs w:val="20"/>
              </w:rPr>
            </w:pPr>
            <w:r w:rsidRPr="0002015A">
              <w:rPr>
                <w:color w:val="000000"/>
                <w:sz w:val="20"/>
                <w:szCs w:val="20"/>
              </w:rPr>
              <w:t>Quantity</w:t>
            </w:r>
          </w:p>
        </w:tc>
        <w:tc>
          <w:tcPr>
            <w:tcW w:w="1116" w:type="dxa"/>
            <w:vAlign w:val="center"/>
          </w:tcPr>
          <w:p w:rsidR="00484132" w:rsidRPr="0002015A" w:rsidRDefault="00484132" w:rsidP="007471A8">
            <w:pPr>
              <w:contextualSpacing/>
              <w:jc w:val="center"/>
              <w:rPr>
                <w:color w:val="000000"/>
                <w:sz w:val="20"/>
                <w:szCs w:val="20"/>
              </w:rPr>
            </w:pPr>
            <w:r>
              <w:rPr>
                <w:color w:val="000000"/>
                <w:sz w:val="20"/>
                <w:szCs w:val="20"/>
              </w:rPr>
              <w:t>FY 2013</w:t>
            </w:r>
            <w:r w:rsidRPr="0002015A">
              <w:rPr>
                <w:color w:val="000000"/>
                <w:sz w:val="20"/>
                <w:szCs w:val="20"/>
              </w:rPr>
              <w:t xml:space="preserve"> Request</w:t>
            </w:r>
          </w:p>
          <w:p w:rsidR="00484132" w:rsidRPr="0002015A" w:rsidRDefault="00484132" w:rsidP="007471A8">
            <w:pPr>
              <w:contextualSpacing/>
              <w:jc w:val="center"/>
              <w:rPr>
                <w:color w:val="000000"/>
                <w:sz w:val="20"/>
                <w:szCs w:val="20"/>
              </w:rPr>
            </w:pPr>
            <w:r w:rsidRPr="0002015A">
              <w:rPr>
                <w:color w:val="000000"/>
                <w:sz w:val="20"/>
                <w:szCs w:val="20"/>
              </w:rPr>
              <w:t>($000)</w:t>
            </w:r>
          </w:p>
        </w:tc>
        <w:tc>
          <w:tcPr>
            <w:tcW w:w="1875" w:type="dxa"/>
            <w:vAlign w:val="center"/>
          </w:tcPr>
          <w:p w:rsidR="00484132" w:rsidRPr="00641D5F" w:rsidRDefault="00484132" w:rsidP="007471A8">
            <w:pPr>
              <w:contextualSpacing/>
              <w:jc w:val="center"/>
              <w:rPr>
                <w:sz w:val="20"/>
                <w:szCs w:val="20"/>
              </w:rPr>
            </w:pPr>
            <w:r w:rsidRPr="00641D5F">
              <w:rPr>
                <w:sz w:val="20"/>
                <w:szCs w:val="20"/>
              </w:rPr>
              <w:t>FY 201</w:t>
            </w:r>
            <w:r>
              <w:rPr>
                <w:sz w:val="20"/>
                <w:szCs w:val="20"/>
              </w:rPr>
              <w:t>4</w:t>
            </w:r>
            <w:r w:rsidRPr="00641D5F">
              <w:rPr>
                <w:sz w:val="20"/>
                <w:szCs w:val="20"/>
              </w:rPr>
              <w:t xml:space="preserve"> Net Annualization (change from 201</w:t>
            </w:r>
            <w:r>
              <w:rPr>
                <w:sz w:val="20"/>
                <w:szCs w:val="20"/>
              </w:rPr>
              <w:t>4</w:t>
            </w:r>
            <w:r w:rsidRPr="00641D5F">
              <w:rPr>
                <w:sz w:val="20"/>
                <w:szCs w:val="20"/>
              </w:rPr>
              <w:t>)</w:t>
            </w:r>
          </w:p>
          <w:p w:rsidR="00484132" w:rsidRPr="0002015A" w:rsidRDefault="00484132" w:rsidP="007471A8">
            <w:pPr>
              <w:contextualSpacing/>
              <w:jc w:val="center"/>
              <w:rPr>
                <w:color w:val="000000"/>
                <w:sz w:val="20"/>
                <w:szCs w:val="20"/>
              </w:rPr>
            </w:pPr>
            <w:r w:rsidRPr="00641D5F">
              <w:rPr>
                <w:sz w:val="20"/>
                <w:szCs w:val="20"/>
              </w:rPr>
              <w:t xml:space="preserve"> ($000)</w:t>
            </w:r>
          </w:p>
        </w:tc>
        <w:tc>
          <w:tcPr>
            <w:tcW w:w="1875" w:type="dxa"/>
          </w:tcPr>
          <w:p w:rsidR="00484132" w:rsidRPr="00641D5F" w:rsidRDefault="00484132" w:rsidP="007471A8">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5</w:t>
            </w:r>
            <w:r w:rsidRPr="00641D5F">
              <w:rPr>
                <w:sz w:val="20"/>
                <w:szCs w:val="20"/>
              </w:rPr>
              <w:t>)</w:t>
            </w:r>
          </w:p>
          <w:p w:rsidR="00484132" w:rsidRPr="00641D5F" w:rsidRDefault="00484132" w:rsidP="007471A8">
            <w:pPr>
              <w:contextualSpacing/>
              <w:jc w:val="center"/>
              <w:rPr>
                <w:sz w:val="20"/>
                <w:szCs w:val="20"/>
              </w:rPr>
            </w:pPr>
            <w:r w:rsidRPr="00641D5F">
              <w:rPr>
                <w:sz w:val="20"/>
                <w:szCs w:val="20"/>
              </w:rPr>
              <w:t xml:space="preserve"> ($000)</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Pr>
                <w:color w:val="000000"/>
                <w:sz w:val="20"/>
                <w:szCs w:val="20"/>
              </w:rPr>
              <w:t>Critical Incident Response</w:t>
            </w:r>
          </w:p>
        </w:tc>
        <w:tc>
          <w:tcPr>
            <w:tcW w:w="7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0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($3,417</w:t>
            </w: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sidRPr="0002015A">
              <w:rPr>
                <w:color w:val="000000"/>
                <w:sz w:val="20"/>
                <w:szCs w:val="20"/>
              </w:rPr>
              <w:t>Total Non-Personnel</w:t>
            </w:r>
          </w:p>
        </w:tc>
        <w:tc>
          <w:tcPr>
            <w:tcW w:w="756" w:type="dxa"/>
            <w:vAlign w:val="center"/>
          </w:tcPr>
          <w:p w:rsidR="00484132" w:rsidRPr="0002015A" w:rsidRDefault="00484132" w:rsidP="007471A8">
            <w:pPr>
              <w:contextualSpacing/>
              <w:jc w:val="right"/>
              <w:rPr>
                <w:color w:val="000000"/>
                <w:sz w:val="20"/>
                <w:szCs w:val="20"/>
              </w:rPr>
            </w:pPr>
          </w:p>
        </w:tc>
        <w:tc>
          <w:tcPr>
            <w:tcW w:w="1056" w:type="dxa"/>
            <w:vAlign w:val="center"/>
          </w:tcPr>
          <w:p w:rsidR="00484132" w:rsidRPr="0002015A" w:rsidRDefault="00484132" w:rsidP="007471A8">
            <w:pPr>
              <w:contextualSpacing/>
              <w:jc w:val="right"/>
              <w:rPr>
                <w:color w:val="000000"/>
                <w:sz w:val="20"/>
                <w:szCs w:val="20"/>
              </w:rPr>
            </w:pP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($3,417)</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bl>
    <w:p w:rsidR="00484132" w:rsidRPr="002E00BD" w:rsidRDefault="00484132" w:rsidP="007471A8">
      <w:pPr>
        <w:pStyle w:val="xl24"/>
        <w:spacing w:before="0" w:after="0"/>
        <w:contextualSpacing/>
        <w:rPr>
          <w:color w:val="000000"/>
          <w:szCs w:val="24"/>
        </w:rPr>
      </w:pPr>
    </w:p>
    <w:p w:rsidR="00484132" w:rsidRDefault="00484132" w:rsidP="007471A8">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484132" w:rsidRPr="006E4351" w:rsidRDefault="00484132" w:rsidP="007471A8">
      <w:pPr>
        <w:pStyle w:val="xl24"/>
        <w:spacing w:before="0" w:after="0"/>
        <w:contextualSpacing/>
        <w:rPr>
          <w:color w:val="000000"/>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540"/>
        <w:gridCol w:w="630"/>
        <w:gridCol w:w="574"/>
        <w:gridCol w:w="1132"/>
        <w:gridCol w:w="1177"/>
        <w:gridCol w:w="1167"/>
        <w:gridCol w:w="1890"/>
        <w:gridCol w:w="2070"/>
      </w:tblGrid>
      <w:tr w:rsidR="00484132" w:rsidTr="00C45BA3">
        <w:trPr>
          <w:trHeight w:val="658"/>
          <w:jc w:val="center"/>
        </w:trPr>
        <w:tc>
          <w:tcPr>
            <w:tcW w:w="1593" w:type="dxa"/>
            <w:shd w:val="clear" w:color="auto" w:fill="D9D9D9" w:themeFill="background1" w:themeFillShade="D9"/>
          </w:tcPr>
          <w:p w:rsidR="00484132" w:rsidRDefault="00484132" w:rsidP="007471A8">
            <w:pPr>
              <w:contextualSpacing/>
              <w:rPr>
                <w:sz w:val="20"/>
              </w:rPr>
            </w:pPr>
          </w:p>
        </w:tc>
        <w:tc>
          <w:tcPr>
            <w:tcW w:w="540" w:type="dxa"/>
            <w:vAlign w:val="center"/>
          </w:tcPr>
          <w:p w:rsidR="00484132" w:rsidRDefault="00484132" w:rsidP="007471A8">
            <w:pPr>
              <w:contextualSpacing/>
              <w:jc w:val="center"/>
              <w:rPr>
                <w:sz w:val="20"/>
              </w:rPr>
            </w:pPr>
            <w:r>
              <w:rPr>
                <w:sz w:val="20"/>
              </w:rPr>
              <w:t>Pos</w:t>
            </w:r>
          </w:p>
        </w:tc>
        <w:tc>
          <w:tcPr>
            <w:tcW w:w="630" w:type="dxa"/>
            <w:vAlign w:val="center"/>
          </w:tcPr>
          <w:p w:rsidR="00484132" w:rsidRDefault="00484132" w:rsidP="007471A8">
            <w:pPr>
              <w:contextualSpacing/>
              <w:jc w:val="center"/>
              <w:rPr>
                <w:sz w:val="20"/>
              </w:rPr>
            </w:pPr>
          </w:p>
          <w:p w:rsidR="00484132" w:rsidRDefault="00484132" w:rsidP="007471A8">
            <w:pPr>
              <w:contextualSpacing/>
              <w:jc w:val="center"/>
              <w:rPr>
                <w:sz w:val="20"/>
              </w:rPr>
            </w:pPr>
            <w:r>
              <w:rPr>
                <w:sz w:val="20"/>
              </w:rPr>
              <w:t>Agt</w:t>
            </w:r>
          </w:p>
          <w:p w:rsidR="00484132" w:rsidRDefault="00484132" w:rsidP="007471A8">
            <w:pPr>
              <w:contextualSpacing/>
              <w:jc w:val="center"/>
              <w:rPr>
                <w:sz w:val="20"/>
              </w:rPr>
            </w:pPr>
          </w:p>
        </w:tc>
        <w:tc>
          <w:tcPr>
            <w:tcW w:w="574" w:type="dxa"/>
            <w:vAlign w:val="center"/>
          </w:tcPr>
          <w:p w:rsidR="00484132" w:rsidRDefault="00484132" w:rsidP="007471A8">
            <w:pPr>
              <w:contextualSpacing/>
              <w:jc w:val="center"/>
              <w:rPr>
                <w:sz w:val="20"/>
              </w:rPr>
            </w:pPr>
            <w:r>
              <w:rPr>
                <w:sz w:val="20"/>
              </w:rPr>
              <w:t>FTE</w:t>
            </w:r>
          </w:p>
        </w:tc>
        <w:tc>
          <w:tcPr>
            <w:tcW w:w="1132" w:type="dxa"/>
            <w:vAlign w:val="center"/>
          </w:tcPr>
          <w:p w:rsidR="00484132" w:rsidRDefault="00484132" w:rsidP="007471A8">
            <w:pPr>
              <w:contextualSpacing/>
              <w:jc w:val="center"/>
              <w:rPr>
                <w:sz w:val="20"/>
              </w:rPr>
            </w:pPr>
            <w:r>
              <w:rPr>
                <w:sz w:val="20"/>
              </w:rPr>
              <w:t>Personnel</w:t>
            </w:r>
          </w:p>
          <w:p w:rsidR="00484132" w:rsidRDefault="00484132" w:rsidP="007471A8">
            <w:pPr>
              <w:contextualSpacing/>
              <w:jc w:val="center"/>
              <w:rPr>
                <w:sz w:val="20"/>
              </w:rPr>
            </w:pPr>
            <w:r>
              <w:rPr>
                <w:sz w:val="20"/>
              </w:rPr>
              <w:t>($000)</w:t>
            </w:r>
          </w:p>
        </w:tc>
        <w:tc>
          <w:tcPr>
            <w:tcW w:w="1177" w:type="dxa"/>
            <w:vAlign w:val="center"/>
          </w:tcPr>
          <w:p w:rsidR="00484132" w:rsidRDefault="00484132" w:rsidP="007471A8">
            <w:pPr>
              <w:contextualSpacing/>
              <w:jc w:val="center"/>
              <w:rPr>
                <w:sz w:val="20"/>
              </w:rPr>
            </w:pPr>
            <w:r>
              <w:rPr>
                <w:sz w:val="20"/>
              </w:rPr>
              <w:t>Non-Personnel</w:t>
            </w:r>
          </w:p>
          <w:p w:rsidR="00484132" w:rsidRDefault="00484132" w:rsidP="007471A8">
            <w:pPr>
              <w:contextualSpacing/>
              <w:jc w:val="center"/>
              <w:rPr>
                <w:sz w:val="20"/>
              </w:rPr>
            </w:pPr>
            <w:r>
              <w:rPr>
                <w:sz w:val="20"/>
              </w:rPr>
              <w:t>($000)</w:t>
            </w:r>
          </w:p>
        </w:tc>
        <w:tc>
          <w:tcPr>
            <w:tcW w:w="1167" w:type="dxa"/>
            <w:vAlign w:val="center"/>
          </w:tcPr>
          <w:p w:rsidR="00484132" w:rsidRDefault="00484132" w:rsidP="007471A8">
            <w:pPr>
              <w:contextualSpacing/>
              <w:jc w:val="center"/>
              <w:rPr>
                <w:sz w:val="20"/>
              </w:rPr>
            </w:pPr>
            <w:r>
              <w:rPr>
                <w:sz w:val="20"/>
              </w:rPr>
              <w:t>Total</w:t>
            </w:r>
          </w:p>
          <w:p w:rsidR="00484132" w:rsidRDefault="00484132" w:rsidP="007471A8">
            <w:pPr>
              <w:contextualSpacing/>
              <w:jc w:val="center"/>
              <w:rPr>
                <w:sz w:val="20"/>
              </w:rPr>
            </w:pPr>
            <w:r>
              <w:rPr>
                <w:sz w:val="20"/>
              </w:rPr>
              <w:t>($000)</w:t>
            </w:r>
          </w:p>
        </w:tc>
        <w:tc>
          <w:tcPr>
            <w:tcW w:w="1890"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207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C45BA3">
        <w:trPr>
          <w:trHeight w:val="215"/>
          <w:jc w:val="center"/>
        </w:trPr>
        <w:tc>
          <w:tcPr>
            <w:tcW w:w="1593" w:type="dxa"/>
          </w:tcPr>
          <w:p w:rsidR="00484132" w:rsidRDefault="00484132" w:rsidP="007471A8">
            <w:pPr>
              <w:contextualSpacing/>
              <w:rPr>
                <w:sz w:val="20"/>
              </w:rPr>
            </w:pPr>
            <w:r>
              <w:rPr>
                <w:sz w:val="20"/>
              </w:rPr>
              <w:t>Current Services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$183,246</w:t>
            </w:r>
          </w:p>
        </w:tc>
        <w:tc>
          <w:tcPr>
            <w:tcW w:w="1167" w:type="dxa"/>
            <w:vAlign w:val="center"/>
          </w:tcPr>
          <w:p w:rsidR="00484132" w:rsidRPr="0002015A" w:rsidRDefault="00484132" w:rsidP="007471A8">
            <w:pPr>
              <w:contextualSpacing/>
              <w:jc w:val="right"/>
              <w:rPr>
                <w:color w:val="000000"/>
                <w:sz w:val="20"/>
                <w:szCs w:val="20"/>
              </w:rPr>
            </w:pPr>
            <w:r>
              <w:rPr>
                <w:color w:val="000000"/>
                <w:sz w:val="20"/>
                <w:szCs w:val="20"/>
              </w:rPr>
              <w:t>$183,246</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Decreases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484132" w:rsidP="007471A8">
            <w:pPr>
              <w:contextualSpacing/>
              <w:jc w:val="right"/>
              <w:rPr>
                <w:sz w:val="20"/>
              </w:rPr>
            </w:pPr>
            <w:r>
              <w:rPr>
                <w:sz w:val="20"/>
              </w:rPr>
              <w:t>…</w:t>
            </w:r>
          </w:p>
        </w:tc>
        <w:tc>
          <w:tcPr>
            <w:tcW w:w="1177" w:type="dxa"/>
            <w:vAlign w:val="center"/>
          </w:tcPr>
          <w:p w:rsidR="00484132" w:rsidRDefault="00484132" w:rsidP="007471A8">
            <w:pPr>
              <w:contextualSpacing/>
              <w:jc w:val="right"/>
              <w:rPr>
                <w:sz w:val="20"/>
              </w:rPr>
            </w:pPr>
            <w:r>
              <w:rPr>
                <w:color w:val="000000"/>
                <w:sz w:val="20"/>
                <w:szCs w:val="20"/>
              </w:rPr>
              <w:t>(3,417</w:t>
            </w:r>
            <w:r w:rsidRPr="0002015A">
              <w:rPr>
                <w:color w:val="000000"/>
                <w:sz w:val="20"/>
                <w:szCs w:val="20"/>
              </w:rPr>
              <w:t>)</w:t>
            </w:r>
          </w:p>
        </w:tc>
        <w:tc>
          <w:tcPr>
            <w:tcW w:w="1167" w:type="dxa"/>
          </w:tcPr>
          <w:p w:rsidR="00484132" w:rsidRDefault="00484132" w:rsidP="007471A8">
            <w:pPr>
              <w:contextualSpacing/>
              <w:jc w:val="right"/>
              <w:rPr>
                <w:sz w:val="20"/>
              </w:rPr>
            </w:pPr>
            <w:r>
              <w:rPr>
                <w:color w:val="000000"/>
                <w:sz w:val="20"/>
                <w:szCs w:val="20"/>
              </w:rPr>
              <w:t>(3,417</w:t>
            </w:r>
            <w:r w:rsidRPr="0002015A">
              <w:rPr>
                <w:color w:val="000000"/>
                <w:sz w:val="20"/>
                <w:szCs w:val="20"/>
              </w:rPr>
              <w:t>)</w:t>
            </w:r>
          </w:p>
        </w:tc>
        <w:tc>
          <w:tcPr>
            <w:tcW w:w="1890" w:type="dxa"/>
            <w:vAlign w:val="center"/>
          </w:tcPr>
          <w:p w:rsidR="00484132" w:rsidRDefault="00484132" w:rsidP="007471A8">
            <w:pPr>
              <w:contextualSpacing/>
              <w:jc w:val="right"/>
              <w:rPr>
                <w:sz w:val="20"/>
              </w:rPr>
            </w:pPr>
            <w:r>
              <w:rPr>
                <w:sz w:val="20"/>
              </w:rPr>
              <w:t>…</w:t>
            </w:r>
          </w:p>
        </w:tc>
        <w:tc>
          <w:tcPr>
            <w:tcW w:w="2070" w:type="dxa"/>
          </w:tcPr>
          <w:p w:rsidR="00484132" w:rsidRDefault="00484132" w:rsidP="007471A8">
            <w:pPr>
              <w:contextualSpacing/>
              <w:jc w:val="right"/>
              <w:rPr>
                <w:sz w:val="20"/>
              </w:rPr>
            </w:pPr>
            <w:r>
              <w:rPr>
                <w:sz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Grand Total</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$179,829</w:t>
            </w:r>
          </w:p>
        </w:tc>
        <w:tc>
          <w:tcPr>
            <w:tcW w:w="1167" w:type="dxa"/>
            <w:vAlign w:val="center"/>
          </w:tcPr>
          <w:p w:rsidR="00484132" w:rsidRPr="006B4101" w:rsidRDefault="00484132" w:rsidP="007471A8">
            <w:pPr>
              <w:contextualSpacing/>
              <w:jc w:val="right"/>
              <w:rPr>
                <w:color w:val="000000"/>
                <w:sz w:val="20"/>
                <w:szCs w:val="20"/>
              </w:rPr>
            </w:pPr>
            <w:r>
              <w:rPr>
                <w:color w:val="000000"/>
                <w:sz w:val="20"/>
                <w:szCs w:val="20"/>
              </w:rPr>
              <w:t>$179,829</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bl>
    <w:p w:rsidR="00D020D3" w:rsidRDefault="00D020D3" w:rsidP="007471A8">
      <w:pPr>
        <w:pStyle w:val="xl19"/>
        <w:tabs>
          <w:tab w:val="left" w:pos="3600"/>
          <w:tab w:val="right" w:pos="8640"/>
        </w:tabs>
        <w:spacing w:before="0" w:after="0"/>
        <w:contextualSpacing/>
        <w:rPr>
          <w:rFonts w:eastAsia="Times New Roman"/>
          <w:bCs/>
          <w:szCs w:val="24"/>
        </w:rPr>
      </w:pPr>
    </w:p>
    <w:p w:rsidR="00D020D3" w:rsidRDefault="00D020D3" w:rsidP="007471A8">
      <w:pPr>
        <w:contextualSpacing/>
        <w:rPr>
          <w:bCs/>
        </w:rPr>
      </w:pPr>
      <w:r>
        <w:rPr>
          <w:bCs/>
        </w:rPr>
        <w:br w:type="page"/>
      </w:r>
    </w:p>
    <w:p w:rsidR="00484132" w:rsidRDefault="00484132" w:rsidP="004E63AB">
      <w:pPr>
        <w:pStyle w:val="xl19"/>
        <w:tabs>
          <w:tab w:val="left" w:pos="3845"/>
        </w:tabs>
        <w:spacing w:before="0" w:after="0"/>
        <w:contextualSpacing/>
        <w:rPr>
          <w:rFonts w:eastAsia="Times New Roman"/>
        </w:rPr>
      </w:pPr>
      <w:bookmarkStart w:id="17" w:name="Facilities_Reduction"/>
      <w:bookmarkEnd w:id="17"/>
      <w:r>
        <w:rPr>
          <w:b/>
          <w:bCs/>
        </w:rPr>
        <w:lastRenderedPageBreak/>
        <w:t>Item Name:</w:t>
      </w:r>
      <w:r>
        <w:rPr>
          <w:b/>
          <w:bCs/>
        </w:rPr>
        <w:tab/>
      </w:r>
      <w:r>
        <w:rPr>
          <w:b/>
          <w:u w:val="single"/>
        </w:rPr>
        <w:t>Facilities Reductions</w:t>
      </w:r>
    </w:p>
    <w:p w:rsidR="00484132" w:rsidRDefault="00484132" w:rsidP="004E63AB">
      <w:pPr>
        <w:pStyle w:val="xl19"/>
        <w:tabs>
          <w:tab w:val="left" w:pos="3845"/>
        </w:tabs>
        <w:spacing w:before="0" w:after="0"/>
        <w:contextualSpacing/>
        <w:rPr>
          <w:rFonts w:eastAsia="Times New Roman"/>
          <w:u w:val="single"/>
        </w:rPr>
      </w:pPr>
      <w:r>
        <w:rPr>
          <w:rFonts w:eastAsia="Times New Roman"/>
        </w:rPr>
        <w:t xml:space="preserve">Budget Decision Unit(s): </w:t>
      </w:r>
      <w:r>
        <w:rPr>
          <w:rFonts w:eastAsia="Times New Roman"/>
        </w:rPr>
        <w:tab/>
      </w:r>
      <w:r w:rsidRPr="00E73E60">
        <w:rPr>
          <w:u w:val="single"/>
        </w:rPr>
        <w:t>All</w:t>
      </w:r>
    </w:p>
    <w:p w:rsidR="00484132" w:rsidRDefault="00484132" w:rsidP="004E63AB">
      <w:pPr>
        <w:pStyle w:val="xl19"/>
        <w:tabs>
          <w:tab w:val="left" w:pos="3845"/>
        </w:tabs>
        <w:spacing w:before="0" w:after="0"/>
        <w:contextualSpacing/>
        <w:rPr>
          <w:u w:val="single"/>
        </w:rPr>
      </w:pPr>
      <w:r>
        <w:t>Strategic Goal(s) &amp; Objective(s):</w:t>
      </w:r>
      <w:r>
        <w:tab/>
        <w:t>1.1, 1.3, 2.1, 2.2, 2.4, 2.5, 3.1</w:t>
      </w:r>
    </w:p>
    <w:p w:rsidR="00484132" w:rsidRDefault="00484132" w:rsidP="004E63AB">
      <w:pPr>
        <w:pStyle w:val="xl19"/>
        <w:tabs>
          <w:tab w:val="left" w:pos="3845"/>
        </w:tabs>
        <w:spacing w:before="0" w:after="0"/>
        <w:contextualSpacing/>
      </w:pPr>
      <w:r>
        <w:t>Organizational Program:</w:t>
      </w:r>
      <w:r>
        <w:tab/>
      </w:r>
      <w:r>
        <w:rPr>
          <w:u w:val="single"/>
        </w:rPr>
        <w:t>Facilities &amp; Logistics Services Division</w:t>
      </w:r>
    </w:p>
    <w:p w:rsidR="00484132" w:rsidRDefault="00484132" w:rsidP="007471A8">
      <w:pPr>
        <w:pStyle w:val="xl19"/>
        <w:spacing w:before="0" w:after="0"/>
        <w:contextualSpacing/>
        <w:rPr>
          <w:rFonts w:eastAsia="Times New Roman"/>
        </w:rPr>
      </w:pPr>
    </w:p>
    <w:p w:rsidR="00484132" w:rsidRPr="006D629A" w:rsidRDefault="00484132" w:rsidP="007471A8">
      <w:pPr>
        <w:pStyle w:val="xl19"/>
        <w:tabs>
          <w:tab w:val="left" w:pos="2340"/>
          <w:tab w:val="right" w:pos="3060"/>
          <w:tab w:val="left" w:pos="3600"/>
          <w:tab w:val="right" w:pos="4500"/>
          <w:tab w:val="left" w:pos="5310"/>
          <w:tab w:val="right" w:pos="6300"/>
        </w:tabs>
        <w:spacing w:before="0" w:after="0"/>
        <w:ind w:left="990" w:hanging="990"/>
        <w:contextualSpacing/>
        <w:rPr>
          <w:rFonts w:eastAsia="Times New Roman"/>
          <w:u w:val="single"/>
        </w:rPr>
      </w:pPr>
      <w:r>
        <w:rPr>
          <w:rFonts w:eastAsia="Times New Roman"/>
        </w:rPr>
        <w:t xml:space="preserve">Program Reduction:  Positions </w:t>
      </w:r>
      <w:r>
        <w:rPr>
          <w:rFonts w:eastAsia="Times New Roman"/>
          <w:u w:val="single"/>
        </w:rPr>
        <w:t>0</w:t>
      </w:r>
      <w:r w:rsidRPr="003A6A63">
        <w:rPr>
          <w:rFonts w:eastAsia="Times New Roman"/>
        </w:rPr>
        <w:t xml:space="preserve"> </w:t>
      </w:r>
      <w:r>
        <w:rPr>
          <w:rFonts w:eastAsia="Times New Roman"/>
        </w:rPr>
        <w:t xml:space="preserve">Agt </w:t>
      </w:r>
      <w:r>
        <w:rPr>
          <w:rFonts w:eastAsia="Times New Roman"/>
          <w:u w:val="single"/>
        </w:rPr>
        <w:t>0</w:t>
      </w:r>
      <w:r>
        <w:rPr>
          <w:rFonts w:eastAsia="Times New Roman"/>
        </w:rPr>
        <w:t xml:space="preserve"> FTE </w:t>
      </w:r>
      <w:r>
        <w:rPr>
          <w:rFonts w:eastAsia="Times New Roman"/>
          <w:u w:val="single"/>
        </w:rPr>
        <w:t>0</w:t>
      </w:r>
      <w:r w:rsidR="003A6A63">
        <w:rPr>
          <w:rFonts w:eastAsia="Times New Roman"/>
        </w:rPr>
        <w:t xml:space="preserve"> </w:t>
      </w:r>
      <w:r>
        <w:rPr>
          <w:rFonts w:eastAsia="Times New Roman"/>
        </w:rPr>
        <w:t xml:space="preserve">Dollars </w:t>
      </w:r>
      <w:r>
        <w:rPr>
          <w:rFonts w:eastAsia="Times New Roman"/>
          <w:u w:val="single"/>
        </w:rPr>
        <w:t>($22,562,000)</w:t>
      </w:r>
      <w:r>
        <w:rPr>
          <w:rFonts w:eastAsia="Times New Roman"/>
        </w:rPr>
        <w:t xml:space="preserve"> </w:t>
      </w:r>
      <w:r w:rsidRPr="00DD2F15">
        <w:rPr>
          <w:rFonts w:eastAsia="Times New Roman"/>
        </w:rPr>
        <w:t>(all non-personnel)</w:t>
      </w:r>
    </w:p>
    <w:p w:rsidR="00484132" w:rsidRDefault="00484132" w:rsidP="007471A8">
      <w:pPr>
        <w:contextualSpacing/>
      </w:pPr>
    </w:p>
    <w:p w:rsidR="00073A48" w:rsidRDefault="00073A48" w:rsidP="007471A8">
      <w:pPr>
        <w:pStyle w:val="xl24"/>
        <w:spacing w:before="0" w:after="0"/>
        <w:contextualSpacing/>
        <w:rPr>
          <w:rFonts w:eastAsia="Times New Roman"/>
          <w:szCs w:val="24"/>
        </w:rPr>
      </w:pPr>
      <w:r>
        <w:rPr>
          <w:rFonts w:eastAsia="Times New Roman"/>
          <w:szCs w:val="24"/>
        </w:rPr>
        <w:t>Description of Item</w:t>
      </w:r>
    </w:p>
    <w:p w:rsidR="00073A48" w:rsidRPr="004B0498" w:rsidRDefault="00073A48" w:rsidP="007471A8">
      <w:pPr>
        <w:contextualSpacing/>
      </w:pPr>
      <w:proofErr w:type="gramStart"/>
      <w:r>
        <w:t>This offset will</w:t>
      </w:r>
      <w:proofErr w:type="gramEnd"/>
      <w:r>
        <w:t xml:space="preserve"> </w:t>
      </w:r>
      <w:r w:rsidRPr="008C3EC8">
        <w:t>right-size several programs that support facilities and logistics services.</w:t>
      </w:r>
      <w:r>
        <w:t xml:space="preserve">  The FBI will achieve this through several cost saving measures such as space densification, reducing rentable square foot ratios, and decreasing services.</w:t>
      </w:r>
    </w:p>
    <w:p w:rsidR="00073A48" w:rsidRDefault="00073A48" w:rsidP="007471A8">
      <w:pPr>
        <w:pStyle w:val="xl24"/>
        <w:spacing w:before="0" w:after="0"/>
        <w:contextualSpacing/>
        <w:rPr>
          <w:szCs w:val="24"/>
        </w:rPr>
      </w:pPr>
    </w:p>
    <w:p w:rsidR="00073A48" w:rsidRDefault="00073A48" w:rsidP="007471A8">
      <w:pPr>
        <w:pStyle w:val="xl24"/>
        <w:spacing w:before="0" w:after="0"/>
        <w:contextualSpacing/>
        <w:rPr>
          <w:rFonts w:eastAsia="Times New Roman"/>
        </w:rPr>
      </w:pPr>
      <w:r>
        <w:rPr>
          <w:rFonts w:eastAsia="Times New Roman"/>
        </w:rPr>
        <w:t>Impact on Performance</w:t>
      </w:r>
    </w:p>
    <w:p w:rsidR="00D020D3" w:rsidRDefault="00073A48" w:rsidP="007471A8">
      <w:pPr>
        <w:contextualSpacing/>
        <w:rPr>
          <w:b/>
          <w:bCs/>
          <w:color w:val="000000"/>
        </w:rPr>
      </w:pPr>
      <w:r>
        <w:t xml:space="preserve">This offset reflects anticipated savings that will be achieved by reducing spending in facilities and logistics services areas and the FBI will work to minimize the impact from </w:t>
      </w:r>
      <w:r w:rsidR="001A22A1">
        <w:t>these</w:t>
      </w:r>
      <w:r>
        <w:t xml:space="preserve"> reductions.</w:t>
      </w:r>
      <w:r w:rsidR="00D020D3">
        <w:rPr>
          <w:b/>
          <w:bCs/>
          <w:color w:val="000000"/>
        </w:rPr>
        <w:br w:type="page"/>
      </w:r>
    </w:p>
    <w:p w:rsidR="00484132" w:rsidRDefault="00484132" w:rsidP="007471A8">
      <w:pPr>
        <w:contextualSpacing/>
        <w:jc w:val="center"/>
        <w:rPr>
          <w:b/>
          <w:bCs/>
          <w:color w:val="000000"/>
        </w:rPr>
      </w:pPr>
      <w:r>
        <w:rPr>
          <w:b/>
          <w:bCs/>
          <w:color w:val="000000"/>
        </w:rPr>
        <w:lastRenderedPageBreak/>
        <w:t>F</w:t>
      </w:r>
      <w:r w:rsidRPr="002E00BD">
        <w:rPr>
          <w:b/>
          <w:bCs/>
          <w:color w:val="000000"/>
        </w:rPr>
        <w:t>unding</w:t>
      </w:r>
    </w:p>
    <w:p w:rsidR="00484132" w:rsidRPr="002E00BD" w:rsidRDefault="00484132" w:rsidP="007471A8">
      <w:pPr>
        <w:pStyle w:val="xl24"/>
        <w:spacing w:before="0" w:after="0"/>
        <w:contextualSpacing/>
        <w:rPr>
          <w:color w:val="000000"/>
          <w:szCs w:val="24"/>
        </w:rPr>
      </w:pPr>
      <w:r w:rsidRPr="002E00BD">
        <w:rPr>
          <w:color w:val="000000"/>
          <w:szCs w:val="24"/>
        </w:rPr>
        <w:t>Base Funding</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966"/>
        <w:gridCol w:w="506"/>
        <w:gridCol w:w="516"/>
        <w:gridCol w:w="572"/>
        <w:gridCol w:w="966"/>
        <w:gridCol w:w="506"/>
        <w:gridCol w:w="516"/>
        <w:gridCol w:w="572"/>
        <w:gridCol w:w="966"/>
      </w:tblGrid>
      <w:tr w:rsidR="00484132" w:rsidRPr="002E00BD" w:rsidTr="006C7C76">
        <w:trPr>
          <w:trHeight w:val="255"/>
          <w:jc w:val="center"/>
        </w:trPr>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1</w:t>
            </w:r>
            <w:r w:rsidRPr="008C3073">
              <w:rPr>
                <w:sz w:val="20"/>
                <w:szCs w:val="20"/>
              </w:rPr>
              <w:t xml:space="preserve"> 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2</w:t>
            </w:r>
            <w:r w:rsidRPr="008C3073">
              <w:rPr>
                <w:sz w:val="20"/>
                <w:szCs w:val="20"/>
              </w:rPr>
              <w:t xml:space="preserve"> </w:t>
            </w:r>
            <w:r w:rsidR="00073A48">
              <w:rPr>
                <w:sz w:val="20"/>
                <w:szCs w:val="20"/>
              </w:rPr>
              <w:t>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3</w:t>
            </w:r>
            <w:r w:rsidRPr="008C3073">
              <w:rPr>
                <w:sz w:val="20"/>
                <w:szCs w:val="20"/>
              </w:rPr>
              <w:t xml:space="preserve"> Current Services</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$633,545</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$684,002</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$684,002</w:t>
            </w:r>
          </w:p>
        </w:tc>
      </w:tr>
    </w:tbl>
    <w:p w:rsidR="00484132" w:rsidRPr="002E00BD" w:rsidRDefault="00484132" w:rsidP="007471A8">
      <w:pPr>
        <w:pStyle w:val="BodyText"/>
        <w:contextualSpacing/>
        <w:rPr>
          <w:color w:val="000000"/>
          <w:u w:val="single"/>
        </w:rPr>
      </w:pPr>
    </w:p>
    <w:p w:rsidR="00484132" w:rsidRPr="002E00BD" w:rsidRDefault="00484132" w:rsidP="007471A8">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756"/>
        <w:gridCol w:w="1056"/>
        <w:gridCol w:w="1116"/>
        <w:gridCol w:w="1875"/>
        <w:gridCol w:w="1875"/>
      </w:tblGrid>
      <w:tr w:rsidR="00484132" w:rsidRPr="002E00BD" w:rsidTr="006C7C76">
        <w:trPr>
          <w:jc w:val="center"/>
        </w:trPr>
        <w:tc>
          <w:tcPr>
            <w:tcW w:w="2178" w:type="dxa"/>
            <w:shd w:val="clear" w:color="auto" w:fill="D9D9D9" w:themeFill="background1" w:themeFillShade="D9"/>
            <w:vAlign w:val="center"/>
          </w:tcPr>
          <w:p w:rsidR="00484132" w:rsidRPr="0002015A" w:rsidRDefault="00484132" w:rsidP="007471A8">
            <w:pPr>
              <w:contextualSpacing/>
              <w:jc w:val="center"/>
              <w:rPr>
                <w:color w:val="000000"/>
                <w:sz w:val="20"/>
                <w:szCs w:val="20"/>
              </w:rPr>
            </w:pPr>
            <w:r w:rsidRPr="0002015A">
              <w:rPr>
                <w:color w:val="000000"/>
                <w:sz w:val="20"/>
                <w:szCs w:val="20"/>
              </w:rPr>
              <w:t>Non-Personnel Item</w:t>
            </w:r>
          </w:p>
        </w:tc>
        <w:tc>
          <w:tcPr>
            <w:tcW w:w="756" w:type="dxa"/>
            <w:vAlign w:val="center"/>
          </w:tcPr>
          <w:p w:rsidR="00484132" w:rsidRPr="0002015A" w:rsidRDefault="00484132" w:rsidP="007471A8">
            <w:pPr>
              <w:contextualSpacing/>
              <w:jc w:val="center"/>
              <w:rPr>
                <w:color w:val="000000"/>
                <w:sz w:val="20"/>
                <w:szCs w:val="20"/>
              </w:rPr>
            </w:pPr>
            <w:r w:rsidRPr="0002015A">
              <w:rPr>
                <w:color w:val="000000"/>
                <w:sz w:val="20"/>
                <w:szCs w:val="20"/>
              </w:rPr>
              <w:t>Unit Cost</w:t>
            </w:r>
          </w:p>
        </w:tc>
        <w:tc>
          <w:tcPr>
            <w:tcW w:w="1056" w:type="dxa"/>
            <w:vAlign w:val="center"/>
          </w:tcPr>
          <w:p w:rsidR="00484132" w:rsidRPr="0002015A" w:rsidRDefault="00484132" w:rsidP="007471A8">
            <w:pPr>
              <w:contextualSpacing/>
              <w:jc w:val="center"/>
              <w:rPr>
                <w:color w:val="000000"/>
                <w:sz w:val="20"/>
                <w:szCs w:val="20"/>
              </w:rPr>
            </w:pPr>
            <w:r w:rsidRPr="0002015A">
              <w:rPr>
                <w:color w:val="000000"/>
                <w:sz w:val="20"/>
                <w:szCs w:val="20"/>
              </w:rPr>
              <w:t>Quantity</w:t>
            </w:r>
          </w:p>
        </w:tc>
        <w:tc>
          <w:tcPr>
            <w:tcW w:w="1116" w:type="dxa"/>
            <w:vAlign w:val="center"/>
          </w:tcPr>
          <w:p w:rsidR="00484132" w:rsidRPr="0002015A" w:rsidRDefault="00484132" w:rsidP="007471A8">
            <w:pPr>
              <w:contextualSpacing/>
              <w:jc w:val="center"/>
              <w:rPr>
                <w:color w:val="000000"/>
                <w:sz w:val="20"/>
                <w:szCs w:val="20"/>
              </w:rPr>
            </w:pPr>
            <w:r>
              <w:rPr>
                <w:color w:val="000000"/>
                <w:sz w:val="20"/>
                <w:szCs w:val="20"/>
              </w:rPr>
              <w:t>FY 2013</w:t>
            </w:r>
            <w:r w:rsidRPr="0002015A">
              <w:rPr>
                <w:color w:val="000000"/>
                <w:sz w:val="20"/>
                <w:szCs w:val="20"/>
              </w:rPr>
              <w:t xml:space="preserve"> Request</w:t>
            </w:r>
          </w:p>
          <w:p w:rsidR="00484132" w:rsidRPr="0002015A" w:rsidRDefault="00484132" w:rsidP="007471A8">
            <w:pPr>
              <w:contextualSpacing/>
              <w:jc w:val="center"/>
              <w:rPr>
                <w:color w:val="000000"/>
                <w:sz w:val="20"/>
                <w:szCs w:val="20"/>
              </w:rPr>
            </w:pPr>
            <w:r w:rsidRPr="0002015A">
              <w:rPr>
                <w:color w:val="000000"/>
                <w:sz w:val="20"/>
                <w:szCs w:val="20"/>
              </w:rPr>
              <w:t>($000)</w:t>
            </w:r>
          </w:p>
        </w:tc>
        <w:tc>
          <w:tcPr>
            <w:tcW w:w="1875" w:type="dxa"/>
            <w:vAlign w:val="center"/>
          </w:tcPr>
          <w:p w:rsidR="00484132" w:rsidRPr="00641D5F" w:rsidRDefault="00484132" w:rsidP="007471A8">
            <w:pPr>
              <w:contextualSpacing/>
              <w:jc w:val="center"/>
              <w:rPr>
                <w:sz w:val="20"/>
                <w:szCs w:val="20"/>
              </w:rPr>
            </w:pPr>
            <w:r w:rsidRPr="00641D5F">
              <w:rPr>
                <w:sz w:val="20"/>
                <w:szCs w:val="20"/>
              </w:rPr>
              <w:t>FY 201</w:t>
            </w:r>
            <w:r>
              <w:rPr>
                <w:sz w:val="20"/>
                <w:szCs w:val="20"/>
              </w:rPr>
              <w:t>4</w:t>
            </w:r>
            <w:r w:rsidRPr="00641D5F">
              <w:rPr>
                <w:sz w:val="20"/>
                <w:szCs w:val="20"/>
              </w:rPr>
              <w:t xml:space="preserve"> Net Annualization (change from 201</w:t>
            </w:r>
            <w:r>
              <w:rPr>
                <w:sz w:val="20"/>
                <w:szCs w:val="20"/>
              </w:rPr>
              <w:t>4</w:t>
            </w:r>
            <w:r w:rsidRPr="00641D5F">
              <w:rPr>
                <w:sz w:val="20"/>
                <w:szCs w:val="20"/>
              </w:rPr>
              <w:t>)</w:t>
            </w:r>
          </w:p>
          <w:p w:rsidR="00484132" w:rsidRPr="0002015A" w:rsidRDefault="00484132" w:rsidP="007471A8">
            <w:pPr>
              <w:contextualSpacing/>
              <w:jc w:val="center"/>
              <w:rPr>
                <w:color w:val="000000"/>
                <w:sz w:val="20"/>
                <w:szCs w:val="20"/>
              </w:rPr>
            </w:pPr>
            <w:r w:rsidRPr="00641D5F">
              <w:rPr>
                <w:sz w:val="20"/>
                <w:szCs w:val="20"/>
              </w:rPr>
              <w:t xml:space="preserve"> ($000)</w:t>
            </w:r>
          </w:p>
        </w:tc>
        <w:tc>
          <w:tcPr>
            <w:tcW w:w="1875" w:type="dxa"/>
          </w:tcPr>
          <w:p w:rsidR="00484132" w:rsidRPr="00641D5F" w:rsidRDefault="00484132" w:rsidP="007471A8">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5</w:t>
            </w:r>
            <w:r w:rsidRPr="00641D5F">
              <w:rPr>
                <w:sz w:val="20"/>
                <w:szCs w:val="20"/>
              </w:rPr>
              <w:t>)</w:t>
            </w:r>
          </w:p>
          <w:p w:rsidR="00484132" w:rsidRPr="00641D5F" w:rsidRDefault="00484132" w:rsidP="007471A8">
            <w:pPr>
              <w:contextualSpacing/>
              <w:jc w:val="center"/>
              <w:rPr>
                <w:sz w:val="20"/>
                <w:szCs w:val="20"/>
              </w:rPr>
            </w:pPr>
            <w:r w:rsidRPr="00641D5F">
              <w:rPr>
                <w:sz w:val="20"/>
                <w:szCs w:val="20"/>
              </w:rPr>
              <w:t xml:space="preserve"> ($000)</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Pr>
                <w:color w:val="000000"/>
                <w:sz w:val="20"/>
                <w:szCs w:val="20"/>
              </w:rPr>
              <w:t>Facilities and Logistics Services Division</w:t>
            </w:r>
          </w:p>
        </w:tc>
        <w:tc>
          <w:tcPr>
            <w:tcW w:w="7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0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($22,562</w:t>
            </w: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sidRPr="0002015A">
              <w:rPr>
                <w:color w:val="000000"/>
                <w:sz w:val="20"/>
                <w:szCs w:val="20"/>
              </w:rPr>
              <w:t>Total Non-Personnel</w:t>
            </w:r>
          </w:p>
        </w:tc>
        <w:tc>
          <w:tcPr>
            <w:tcW w:w="756" w:type="dxa"/>
            <w:vAlign w:val="center"/>
          </w:tcPr>
          <w:p w:rsidR="00484132" w:rsidRPr="0002015A" w:rsidRDefault="00484132" w:rsidP="007471A8">
            <w:pPr>
              <w:contextualSpacing/>
              <w:jc w:val="right"/>
              <w:rPr>
                <w:color w:val="000000"/>
                <w:sz w:val="20"/>
                <w:szCs w:val="20"/>
              </w:rPr>
            </w:pPr>
          </w:p>
        </w:tc>
        <w:tc>
          <w:tcPr>
            <w:tcW w:w="1056" w:type="dxa"/>
            <w:vAlign w:val="center"/>
          </w:tcPr>
          <w:p w:rsidR="00484132" w:rsidRPr="0002015A" w:rsidRDefault="00484132" w:rsidP="007471A8">
            <w:pPr>
              <w:contextualSpacing/>
              <w:jc w:val="right"/>
              <w:rPr>
                <w:color w:val="000000"/>
                <w:sz w:val="20"/>
                <w:szCs w:val="20"/>
              </w:rPr>
            </w:pP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($22,562)</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bl>
    <w:p w:rsidR="00484132" w:rsidRPr="002E00BD" w:rsidRDefault="00484132" w:rsidP="007471A8">
      <w:pPr>
        <w:pStyle w:val="xl24"/>
        <w:spacing w:before="0" w:after="0"/>
        <w:contextualSpacing/>
        <w:rPr>
          <w:color w:val="000000"/>
          <w:szCs w:val="24"/>
        </w:rPr>
      </w:pPr>
    </w:p>
    <w:p w:rsidR="00484132" w:rsidRDefault="00484132" w:rsidP="007471A8">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484132" w:rsidRPr="006E4351" w:rsidRDefault="00484132" w:rsidP="007471A8">
      <w:pPr>
        <w:pStyle w:val="xl24"/>
        <w:spacing w:before="0" w:after="0"/>
        <w:contextualSpacing/>
        <w:rPr>
          <w:color w:val="000000"/>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540"/>
        <w:gridCol w:w="630"/>
        <w:gridCol w:w="574"/>
        <w:gridCol w:w="1132"/>
        <w:gridCol w:w="1177"/>
        <w:gridCol w:w="1167"/>
        <w:gridCol w:w="1890"/>
        <w:gridCol w:w="2070"/>
      </w:tblGrid>
      <w:tr w:rsidR="00484132" w:rsidTr="00C45BA3">
        <w:trPr>
          <w:trHeight w:val="658"/>
          <w:jc w:val="center"/>
        </w:trPr>
        <w:tc>
          <w:tcPr>
            <w:tcW w:w="1593" w:type="dxa"/>
            <w:shd w:val="clear" w:color="auto" w:fill="D9D9D9" w:themeFill="background1" w:themeFillShade="D9"/>
          </w:tcPr>
          <w:p w:rsidR="00484132" w:rsidRDefault="00484132" w:rsidP="007471A8">
            <w:pPr>
              <w:contextualSpacing/>
              <w:rPr>
                <w:sz w:val="20"/>
              </w:rPr>
            </w:pPr>
          </w:p>
        </w:tc>
        <w:tc>
          <w:tcPr>
            <w:tcW w:w="540" w:type="dxa"/>
            <w:vAlign w:val="center"/>
          </w:tcPr>
          <w:p w:rsidR="00484132" w:rsidRDefault="00484132" w:rsidP="007471A8">
            <w:pPr>
              <w:contextualSpacing/>
              <w:jc w:val="center"/>
              <w:rPr>
                <w:sz w:val="20"/>
              </w:rPr>
            </w:pPr>
            <w:r>
              <w:rPr>
                <w:sz w:val="20"/>
              </w:rPr>
              <w:t>Pos</w:t>
            </w:r>
          </w:p>
        </w:tc>
        <w:tc>
          <w:tcPr>
            <w:tcW w:w="630" w:type="dxa"/>
            <w:vAlign w:val="center"/>
          </w:tcPr>
          <w:p w:rsidR="00484132" w:rsidRDefault="00484132" w:rsidP="007471A8">
            <w:pPr>
              <w:contextualSpacing/>
              <w:jc w:val="center"/>
              <w:rPr>
                <w:sz w:val="20"/>
              </w:rPr>
            </w:pPr>
          </w:p>
          <w:p w:rsidR="00484132" w:rsidRDefault="00484132" w:rsidP="007471A8">
            <w:pPr>
              <w:contextualSpacing/>
              <w:jc w:val="center"/>
              <w:rPr>
                <w:sz w:val="20"/>
              </w:rPr>
            </w:pPr>
            <w:r>
              <w:rPr>
                <w:sz w:val="20"/>
              </w:rPr>
              <w:t>Agt</w:t>
            </w:r>
          </w:p>
          <w:p w:rsidR="00484132" w:rsidRDefault="00484132" w:rsidP="007471A8">
            <w:pPr>
              <w:contextualSpacing/>
              <w:jc w:val="center"/>
              <w:rPr>
                <w:sz w:val="20"/>
              </w:rPr>
            </w:pPr>
          </w:p>
        </w:tc>
        <w:tc>
          <w:tcPr>
            <w:tcW w:w="574" w:type="dxa"/>
            <w:vAlign w:val="center"/>
          </w:tcPr>
          <w:p w:rsidR="00484132" w:rsidRDefault="00484132" w:rsidP="007471A8">
            <w:pPr>
              <w:contextualSpacing/>
              <w:jc w:val="center"/>
              <w:rPr>
                <w:sz w:val="20"/>
              </w:rPr>
            </w:pPr>
            <w:r>
              <w:rPr>
                <w:sz w:val="20"/>
              </w:rPr>
              <w:t>FTE</w:t>
            </w:r>
          </w:p>
        </w:tc>
        <w:tc>
          <w:tcPr>
            <w:tcW w:w="1132" w:type="dxa"/>
            <w:vAlign w:val="center"/>
          </w:tcPr>
          <w:p w:rsidR="00484132" w:rsidRDefault="00484132" w:rsidP="007471A8">
            <w:pPr>
              <w:contextualSpacing/>
              <w:jc w:val="center"/>
              <w:rPr>
                <w:sz w:val="20"/>
              </w:rPr>
            </w:pPr>
            <w:r>
              <w:rPr>
                <w:sz w:val="20"/>
              </w:rPr>
              <w:t>Personnel</w:t>
            </w:r>
          </w:p>
          <w:p w:rsidR="00484132" w:rsidRDefault="00484132" w:rsidP="007471A8">
            <w:pPr>
              <w:contextualSpacing/>
              <w:jc w:val="center"/>
              <w:rPr>
                <w:sz w:val="20"/>
              </w:rPr>
            </w:pPr>
            <w:r>
              <w:rPr>
                <w:sz w:val="20"/>
              </w:rPr>
              <w:t>($000)</w:t>
            </w:r>
          </w:p>
        </w:tc>
        <w:tc>
          <w:tcPr>
            <w:tcW w:w="1177" w:type="dxa"/>
            <w:vAlign w:val="center"/>
          </w:tcPr>
          <w:p w:rsidR="00484132" w:rsidRDefault="00484132" w:rsidP="007471A8">
            <w:pPr>
              <w:contextualSpacing/>
              <w:jc w:val="center"/>
              <w:rPr>
                <w:sz w:val="20"/>
              </w:rPr>
            </w:pPr>
            <w:r>
              <w:rPr>
                <w:sz w:val="20"/>
              </w:rPr>
              <w:t>Non-Personnel</w:t>
            </w:r>
          </w:p>
          <w:p w:rsidR="00484132" w:rsidRDefault="00484132" w:rsidP="007471A8">
            <w:pPr>
              <w:contextualSpacing/>
              <w:jc w:val="center"/>
              <w:rPr>
                <w:sz w:val="20"/>
              </w:rPr>
            </w:pPr>
            <w:r>
              <w:rPr>
                <w:sz w:val="20"/>
              </w:rPr>
              <w:t>($000)</w:t>
            </w:r>
          </w:p>
        </w:tc>
        <w:tc>
          <w:tcPr>
            <w:tcW w:w="1167" w:type="dxa"/>
            <w:vAlign w:val="center"/>
          </w:tcPr>
          <w:p w:rsidR="00484132" w:rsidRDefault="00484132" w:rsidP="007471A8">
            <w:pPr>
              <w:contextualSpacing/>
              <w:jc w:val="center"/>
              <w:rPr>
                <w:sz w:val="20"/>
              </w:rPr>
            </w:pPr>
            <w:r>
              <w:rPr>
                <w:sz w:val="20"/>
              </w:rPr>
              <w:t>Total</w:t>
            </w:r>
          </w:p>
          <w:p w:rsidR="00484132" w:rsidRDefault="00484132" w:rsidP="007471A8">
            <w:pPr>
              <w:contextualSpacing/>
              <w:jc w:val="center"/>
              <w:rPr>
                <w:sz w:val="20"/>
              </w:rPr>
            </w:pPr>
            <w:r>
              <w:rPr>
                <w:sz w:val="20"/>
              </w:rPr>
              <w:t>($000)</w:t>
            </w:r>
          </w:p>
        </w:tc>
        <w:tc>
          <w:tcPr>
            <w:tcW w:w="1890"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207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C45BA3">
        <w:trPr>
          <w:trHeight w:val="215"/>
          <w:jc w:val="center"/>
        </w:trPr>
        <w:tc>
          <w:tcPr>
            <w:tcW w:w="1593" w:type="dxa"/>
          </w:tcPr>
          <w:p w:rsidR="00484132" w:rsidRDefault="00484132" w:rsidP="007471A8">
            <w:pPr>
              <w:contextualSpacing/>
              <w:rPr>
                <w:sz w:val="20"/>
              </w:rPr>
            </w:pPr>
            <w:r>
              <w:rPr>
                <w:sz w:val="20"/>
              </w:rPr>
              <w:t>Current Services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$684,002</w:t>
            </w:r>
          </w:p>
        </w:tc>
        <w:tc>
          <w:tcPr>
            <w:tcW w:w="1167" w:type="dxa"/>
            <w:vAlign w:val="center"/>
          </w:tcPr>
          <w:p w:rsidR="00484132" w:rsidRPr="0002015A" w:rsidRDefault="00484132" w:rsidP="007471A8">
            <w:pPr>
              <w:contextualSpacing/>
              <w:jc w:val="right"/>
              <w:rPr>
                <w:color w:val="000000"/>
                <w:sz w:val="20"/>
                <w:szCs w:val="20"/>
              </w:rPr>
            </w:pPr>
            <w:r>
              <w:rPr>
                <w:color w:val="000000"/>
                <w:sz w:val="20"/>
                <w:szCs w:val="20"/>
              </w:rPr>
              <w:t>$684,002</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Decreases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484132" w:rsidP="007471A8">
            <w:pPr>
              <w:contextualSpacing/>
              <w:jc w:val="right"/>
              <w:rPr>
                <w:sz w:val="20"/>
              </w:rPr>
            </w:pPr>
            <w:r>
              <w:rPr>
                <w:sz w:val="20"/>
              </w:rPr>
              <w:t>…</w:t>
            </w:r>
          </w:p>
        </w:tc>
        <w:tc>
          <w:tcPr>
            <w:tcW w:w="1177" w:type="dxa"/>
            <w:vAlign w:val="center"/>
          </w:tcPr>
          <w:p w:rsidR="00484132" w:rsidRDefault="00484132" w:rsidP="007471A8">
            <w:pPr>
              <w:contextualSpacing/>
              <w:jc w:val="right"/>
              <w:rPr>
                <w:sz w:val="20"/>
              </w:rPr>
            </w:pPr>
            <w:r>
              <w:rPr>
                <w:color w:val="000000"/>
                <w:sz w:val="20"/>
                <w:szCs w:val="20"/>
              </w:rPr>
              <w:t>(22,562</w:t>
            </w:r>
            <w:r w:rsidRPr="0002015A">
              <w:rPr>
                <w:color w:val="000000"/>
                <w:sz w:val="20"/>
                <w:szCs w:val="20"/>
              </w:rPr>
              <w:t>)</w:t>
            </w:r>
          </w:p>
        </w:tc>
        <w:tc>
          <w:tcPr>
            <w:tcW w:w="1167" w:type="dxa"/>
          </w:tcPr>
          <w:p w:rsidR="00484132" w:rsidRDefault="00484132" w:rsidP="007471A8">
            <w:pPr>
              <w:contextualSpacing/>
              <w:jc w:val="right"/>
              <w:rPr>
                <w:sz w:val="20"/>
              </w:rPr>
            </w:pPr>
            <w:r>
              <w:rPr>
                <w:color w:val="000000"/>
                <w:sz w:val="20"/>
                <w:szCs w:val="20"/>
              </w:rPr>
              <w:t>(22,562</w:t>
            </w:r>
            <w:r w:rsidRPr="0002015A">
              <w:rPr>
                <w:color w:val="000000"/>
                <w:sz w:val="20"/>
                <w:szCs w:val="20"/>
              </w:rPr>
              <w:t>)</w:t>
            </w:r>
          </w:p>
        </w:tc>
        <w:tc>
          <w:tcPr>
            <w:tcW w:w="1890" w:type="dxa"/>
            <w:vAlign w:val="center"/>
          </w:tcPr>
          <w:p w:rsidR="00484132" w:rsidRDefault="00484132" w:rsidP="007471A8">
            <w:pPr>
              <w:contextualSpacing/>
              <w:jc w:val="right"/>
              <w:rPr>
                <w:sz w:val="20"/>
              </w:rPr>
            </w:pPr>
            <w:r>
              <w:rPr>
                <w:sz w:val="20"/>
              </w:rPr>
              <w:t>…</w:t>
            </w:r>
          </w:p>
        </w:tc>
        <w:tc>
          <w:tcPr>
            <w:tcW w:w="2070" w:type="dxa"/>
          </w:tcPr>
          <w:p w:rsidR="00484132" w:rsidRDefault="00484132" w:rsidP="007471A8">
            <w:pPr>
              <w:contextualSpacing/>
              <w:jc w:val="right"/>
              <w:rPr>
                <w:sz w:val="20"/>
              </w:rPr>
            </w:pPr>
            <w:r>
              <w:rPr>
                <w:sz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Grand Total</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$661,440</w:t>
            </w:r>
          </w:p>
        </w:tc>
        <w:tc>
          <w:tcPr>
            <w:tcW w:w="1167" w:type="dxa"/>
            <w:vAlign w:val="center"/>
          </w:tcPr>
          <w:p w:rsidR="00484132" w:rsidRPr="006B4101" w:rsidRDefault="00484132" w:rsidP="007471A8">
            <w:pPr>
              <w:contextualSpacing/>
              <w:jc w:val="right"/>
              <w:rPr>
                <w:color w:val="000000"/>
                <w:sz w:val="20"/>
                <w:szCs w:val="20"/>
              </w:rPr>
            </w:pPr>
            <w:r>
              <w:rPr>
                <w:color w:val="000000"/>
                <w:sz w:val="20"/>
                <w:szCs w:val="20"/>
              </w:rPr>
              <w:t>$661,440</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bl>
    <w:p w:rsidR="00D020D3" w:rsidRDefault="00D020D3" w:rsidP="007471A8">
      <w:pPr>
        <w:pStyle w:val="xl19"/>
        <w:tabs>
          <w:tab w:val="left" w:pos="3780"/>
          <w:tab w:val="right" w:pos="8640"/>
        </w:tabs>
        <w:spacing w:before="0" w:after="0"/>
        <w:contextualSpacing/>
        <w:rPr>
          <w:b/>
          <w:bCs/>
        </w:rPr>
      </w:pPr>
    </w:p>
    <w:p w:rsidR="00D020D3" w:rsidRDefault="00D020D3" w:rsidP="007471A8">
      <w:pPr>
        <w:contextualSpacing/>
        <w:rPr>
          <w:rFonts w:eastAsia="Arial Unicode MS"/>
          <w:b/>
          <w:bCs/>
          <w:szCs w:val="20"/>
        </w:rPr>
      </w:pPr>
      <w:r>
        <w:rPr>
          <w:b/>
          <w:bCs/>
        </w:rPr>
        <w:br w:type="page"/>
      </w:r>
    </w:p>
    <w:p w:rsidR="00484132" w:rsidRDefault="00484132" w:rsidP="004E63AB">
      <w:pPr>
        <w:pStyle w:val="xl19"/>
        <w:tabs>
          <w:tab w:val="left" w:pos="3845"/>
        </w:tabs>
        <w:spacing w:before="0" w:after="0"/>
        <w:contextualSpacing/>
        <w:rPr>
          <w:b/>
          <w:bCs/>
        </w:rPr>
      </w:pPr>
      <w:bookmarkStart w:id="18" w:name="IT_Savings"/>
      <w:bookmarkEnd w:id="18"/>
      <w:r>
        <w:rPr>
          <w:b/>
          <w:bCs/>
        </w:rPr>
        <w:lastRenderedPageBreak/>
        <w:t>Item Name:</w:t>
      </w:r>
      <w:r>
        <w:rPr>
          <w:b/>
          <w:bCs/>
        </w:rPr>
        <w:tab/>
      </w:r>
      <w:r w:rsidRPr="00CD20D9">
        <w:rPr>
          <w:b/>
          <w:bCs/>
          <w:u w:val="single"/>
        </w:rPr>
        <w:t>Information Technology</w:t>
      </w:r>
      <w:r>
        <w:rPr>
          <w:b/>
          <w:bCs/>
          <w:u w:val="single"/>
        </w:rPr>
        <w:t xml:space="preserve"> (IT)</w:t>
      </w:r>
      <w:r w:rsidRPr="00CD20D9">
        <w:rPr>
          <w:b/>
          <w:bCs/>
          <w:u w:val="single"/>
        </w:rPr>
        <w:t xml:space="preserve"> </w:t>
      </w:r>
      <w:r>
        <w:rPr>
          <w:b/>
          <w:bCs/>
          <w:u w:val="single"/>
        </w:rPr>
        <w:t>Savings</w:t>
      </w:r>
    </w:p>
    <w:p w:rsidR="00484132" w:rsidRDefault="004E63AB" w:rsidP="004E63AB">
      <w:pPr>
        <w:pStyle w:val="xl19"/>
        <w:tabs>
          <w:tab w:val="left" w:pos="3845"/>
        </w:tabs>
        <w:spacing w:before="0" w:after="0"/>
        <w:contextualSpacing/>
        <w:rPr>
          <w:rFonts w:eastAsia="Times New Roman"/>
          <w:u w:val="single"/>
        </w:rPr>
      </w:pPr>
      <w:r>
        <w:rPr>
          <w:rFonts w:eastAsia="Times New Roman"/>
        </w:rPr>
        <w:t xml:space="preserve">Budget Decision Unit(s): </w:t>
      </w:r>
      <w:r>
        <w:rPr>
          <w:rFonts w:eastAsia="Times New Roman"/>
        </w:rPr>
        <w:tab/>
      </w:r>
      <w:r w:rsidR="00484132" w:rsidRPr="00CD20D9">
        <w:rPr>
          <w:rFonts w:eastAsia="Times New Roman"/>
          <w:u w:val="single"/>
        </w:rPr>
        <w:t>All</w:t>
      </w:r>
    </w:p>
    <w:p w:rsidR="00484132" w:rsidRDefault="00484132" w:rsidP="004E63AB">
      <w:pPr>
        <w:tabs>
          <w:tab w:val="left" w:pos="3845"/>
        </w:tabs>
        <w:contextualSpacing/>
      </w:pPr>
      <w:r>
        <w:t>Strategic Goal(s) &amp; Objective(s):</w:t>
      </w:r>
      <w:r>
        <w:tab/>
        <w:t>1.1, 1.3, 2.1, 2.2, 2.4, 2.5, 3.1</w:t>
      </w:r>
    </w:p>
    <w:p w:rsidR="00484132" w:rsidRPr="00CD20D9" w:rsidRDefault="00484132" w:rsidP="004E63AB">
      <w:pPr>
        <w:pStyle w:val="xl19"/>
        <w:tabs>
          <w:tab w:val="left" w:pos="3845"/>
        </w:tabs>
        <w:spacing w:before="0" w:after="0"/>
        <w:contextualSpacing/>
      </w:pPr>
      <w:r>
        <w:t>Organizational Program:</w:t>
      </w:r>
      <w:r>
        <w:tab/>
      </w:r>
      <w:r w:rsidRPr="00CD20D9">
        <w:rPr>
          <w:u w:val="single"/>
        </w:rPr>
        <w:t>Information Technology</w:t>
      </w:r>
    </w:p>
    <w:p w:rsidR="00484132" w:rsidRDefault="00484132" w:rsidP="007471A8">
      <w:pPr>
        <w:pStyle w:val="xl19"/>
        <w:tabs>
          <w:tab w:val="left" w:pos="3420"/>
          <w:tab w:val="right" w:pos="4320"/>
        </w:tabs>
        <w:spacing w:before="0" w:after="0"/>
        <w:contextualSpacing/>
      </w:pPr>
    </w:p>
    <w:p w:rsidR="00484132" w:rsidRDefault="00484132" w:rsidP="007471A8">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sidRPr="003A6A63">
        <w:rPr>
          <w:rFonts w:eastAsia="Times New Roman"/>
        </w:rPr>
        <w:t xml:space="preserve"> </w:t>
      </w:r>
      <w:r>
        <w:rPr>
          <w:rFonts w:eastAsia="Times New Roman"/>
        </w:rPr>
        <w:t xml:space="preserve">Agt </w:t>
      </w:r>
      <w:r>
        <w:rPr>
          <w:rFonts w:eastAsia="Times New Roman"/>
          <w:u w:val="single"/>
        </w:rPr>
        <w:t>0</w:t>
      </w:r>
      <w:r>
        <w:rPr>
          <w:rFonts w:eastAsia="Times New Roman"/>
        </w:rPr>
        <w:t xml:space="preserve"> FTE </w:t>
      </w:r>
      <w:r>
        <w:rPr>
          <w:rFonts w:eastAsia="Times New Roman"/>
          <w:u w:val="single"/>
        </w:rPr>
        <w:t>0</w:t>
      </w:r>
      <w:r w:rsidR="003A6A63">
        <w:rPr>
          <w:rFonts w:eastAsia="Times New Roman"/>
        </w:rPr>
        <w:t xml:space="preserve"> </w:t>
      </w:r>
      <w:r>
        <w:rPr>
          <w:rFonts w:eastAsia="Times New Roman"/>
        </w:rPr>
        <w:t xml:space="preserve">Dollars </w:t>
      </w:r>
      <w:r w:rsidRPr="00C76295">
        <w:rPr>
          <w:rFonts w:eastAsia="Times New Roman"/>
          <w:u w:val="single"/>
        </w:rPr>
        <w:t>($5,947,000)</w:t>
      </w:r>
      <w:r>
        <w:rPr>
          <w:rFonts w:eastAsia="Times New Roman"/>
        </w:rPr>
        <w:t xml:space="preserve"> (all non-personnel)</w:t>
      </w:r>
    </w:p>
    <w:p w:rsidR="00484132" w:rsidRDefault="00484132" w:rsidP="007471A8">
      <w:pPr>
        <w:contextualSpacing/>
      </w:pPr>
    </w:p>
    <w:p w:rsidR="000C6D1F" w:rsidRDefault="000C6D1F" w:rsidP="007471A8">
      <w:pPr>
        <w:pStyle w:val="xl24"/>
        <w:spacing w:before="0" w:after="0"/>
        <w:contextualSpacing/>
        <w:rPr>
          <w:rFonts w:eastAsia="Times New Roman"/>
          <w:szCs w:val="24"/>
        </w:rPr>
      </w:pPr>
      <w:r>
        <w:rPr>
          <w:rFonts w:eastAsia="Times New Roman"/>
          <w:szCs w:val="24"/>
        </w:rPr>
        <w:t xml:space="preserve">Description of Item </w:t>
      </w:r>
    </w:p>
    <w:p w:rsidR="000C6D1F" w:rsidRDefault="000C6D1F" w:rsidP="007471A8">
      <w:pPr>
        <w:contextualSpacing/>
      </w:pPr>
      <w:r>
        <w:t xml:space="preserve">This proposal reduces the FBI’s budget supporting its information technology infrastructure.  </w:t>
      </w:r>
    </w:p>
    <w:p w:rsidR="000C6D1F" w:rsidRDefault="000C6D1F" w:rsidP="007471A8">
      <w:pPr>
        <w:contextualSpacing/>
      </w:pPr>
    </w:p>
    <w:p w:rsidR="000C6D1F" w:rsidRDefault="000C6D1F" w:rsidP="007471A8">
      <w:pPr>
        <w:contextualSpacing/>
        <w:rPr>
          <w:u w:val="single"/>
        </w:rPr>
      </w:pPr>
      <w:r w:rsidRPr="007C0343">
        <w:rPr>
          <w:u w:val="single"/>
        </w:rPr>
        <w:t xml:space="preserve">Impact on </w:t>
      </w:r>
      <w:r w:rsidRPr="00B9283E">
        <w:rPr>
          <w:u w:val="single"/>
        </w:rPr>
        <w:t xml:space="preserve">Performance </w:t>
      </w:r>
    </w:p>
    <w:p w:rsidR="000C6D1F" w:rsidRPr="003C5501" w:rsidRDefault="00986828" w:rsidP="007471A8">
      <w:pPr>
        <w:contextualSpacing/>
        <w:rPr>
          <w:rFonts w:eastAsia="Arial Unicode MS"/>
          <w:szCs w:val="20"/>
        </w:rPr>
      </w:pPr>
      <w:r>
        <w:t xml:space="preserve">The FBI continues to identify and implement information technology cost savings through measures such as extending hardware refresh cycles, and software license renewals.  These savings will not only support greater management efficiency but will also support OMB’s IT Reform plan by providing resources to support major initiatives in </w:t>
      </w:r>
      <w:proofErr w:type="spellStart"/>
      <w:r>
        <w:t>cybersecurity</w:t>
      </w:r>
      <w:proofErr w:type="spellEnd"/>
      <w:r>
        <w:t>, data center consolidation, and enterprise e-mail systems.</w:t>
      </w:r>
      <w:r w:rsidR="000C6D1F" w:rsidRPr="00774608">
        <w:t xml:space="preserve">  The savings will also support other Department priorities in the FY 2013 request.  </w:t>
      </w:r>
    </w:p>
    <w:p w:rsidR="00D020D3" w:rsidRDefault="00D020D3" w:rsidP="007471A8">
      <w:pPr>
        <w:contextualSpacing/>
        <w:rPr>
          <w:rFonts w:eastAsia="Arial Unicode MS"/>
          <w:szCs w:val="20"/>
        </w:rPr>
      </w:pPr>
      <w:r>
        <w:rPr>
          <w:rFonts w:eastAsia="Arial Unicode MS"/>
          <w:szCs w:val="20"/>
        </w:rPr>
        <w:br w:type="page"/>
      </w:r>
    </w:p>
    <w:p w:rsidR="00484132" w:rsidRPr="00D020D3" w:rsidRDefault="00484132" w:rsidP="007471A8">
      <w:pPr>
        <w:contextualSpacing/>
        <w:jc w:val="center"/>
        <w:rPr>
          <w:rFonts w:eastAsia="Arial Unicode MS"/>
          <w:szCs w:val="20"/>
        </w:rPr>
      </w:pPr>
      <w:r w:rsidRPr="002E00BD">
        <w:rPr>
          <w:b/>
          <w:bCs/>
          <w:color w:val="000000"/>
        </w:rPr>
        <w:lastRenderedPageBreak/>
        <w:t>Funding</w:t>
      </w:r>
    </w:p>
    <w:p w:rsidR="00484132" w:rsidRPr="002E00BD" w:rsidRDefault="00484132" w:rsidP="007471A8">
      <w:pPr>
        <w:pStyle w:val="xl24"/>
        <w:spacing w:before="0" w:after="0"/>
        <w:contextualSpacing/>
        <w:rPr>
          <w:color w:val="000000"/>
          <w:szCs w:val="24"/>
        </w:rPr>
      </w:pPr>
      <w:r w:rsidRPr="002E00BD">
        <w:rPr>
          <w:color w:val="000000"/>
          <w:szCs w:val="24"/>
        </w:rPr>
        <w:t>Base Funding</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966"/>
        <w:gridCol w:w="506"/>
        <w:gridCol w:w="516"/>
        <w:gridCol w:w="572"/>
        <w:gridCol w:w="966"/>
        <w:gridCol w:w="506"/>
        <w:gridCol w:w="516"/>
        <w:gridCol w:w="572"/>
        <w:gridCol w:w="966"/>
      </w:tblGrid>
      <w:tr w:rsidR="00484132" w:rsidRPr="002E00BD" w:rsidTr="006C7C76">
        <w:trPr>
          <w:trHeight w:val="255"/>
          <w:jc w:val="center"/>
        </w:trPr>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1</w:t>
            </w:r>
            <w:r w:rsidRPr="008C3073">
              <w:rPr>
                <w:sz w:val="20"/>
                <w:szCs w:val="20"/>
              </w:rPr>
              <w:t xml:space="preserve"> 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2</w:t>
            </w:r>
            <w:r w:rsidRPr="008C3073">
              <w:rPr>
                <w:sz w:val="20"/>
                <w:szCs w:val="20"/>
              </w:rPr>
              <w:t xml:space="preserve"> </w:t>
            </w:r>
            <w:r w:rsidR="000C6D1F">
              <w:rPr>
                <w:sz w:val="20"/>
                <w:szCs w:val="20"/>
              </w:rPr>
              <w:t>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3</w:t>
            </w:r>
            <w:r w:rsidRPr="008C3073">
              <w:rPr>
                <w:sz w:val="20"/>
                <w:szCs w:val="20"/>
              </w:rPr>
              <w:t xml:space="preserve"> Current Services</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$299,794</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$273,282</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$272,358</w:t>
            </w:r>
          </w:p>
        </w:tc>
      </w:tr>
    </w:tbl>
    <w:p w:rsidR="00484132" w:rsidRPr="002E00BD" w:rsidRDefault="00484132" w:rsidP="007471A8">
      <w:pPr>
        <w:pStyle w:val="BodyText"/>
        <w:contextualSpacing/>
        <w:rPr>
          <w:color w:val="000000"/>
          <w:u w:val="single"/>
        </w:rPr>
      </w:pPr>
    </w:p>
    <w:p w:rsidR="00484132" w:rsidRPr="002E00BD" w:rsidRDefault="00484132" w:rsidP="007471A8">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756"/>
        <w:gridCol w:w="1056"/>
        <w:gridCol w:w="1116"/>
        <w:gridCol w:w="1875"/>
        <w:gridCol w:w="1875"/>
      </w:tblGrid>
      <w:tr w:rsidR="00484132" w:rsidRPr="002E00BD" w:rsidTr="006C7C76">
        <w:trPr>
          <w:jc w:val="center"/>
        </w:trPr>
        <w:tc>
          <w:tcPr>
            <w:tcW w:w="2178" w:type="dxa"/>
            <w:shd w:val="clear" w:color="auto" w:fill="D9D9D9" w:themeFill="background1" w:themeFillShade="D9"/>
            <w:vAlign w:val="center"/>
          </w:tcPr>
          <w:p w:rsidR="00484132" w:rsidRPr="0002015A" w:rsidRDefault="00484132" w:rsidP="007471A8">
            <w:pPr>
              <w:contextualSpacing/>
              <w:jc w:val="center"/>
              <w:rPr>
                <w:color w:val="000000"/>
                <w:sz w:val="20"/>
                <w:szCs w:val="20"/>
              </w:rPr>
            </w:pPr>
            <w:r w:rsidRPr="0002015A">
              <w:rPr>
                <w:color w:val="000000"/>
                <w:sz w:val="20"/>
                <w:szCs w:val="20"/>
              </w:rPr>
              <w:t>Non-Personnel Item</w:t>
            </w:r>
          </w:p>
        </w:tc>
        <w:tc>
          <w:tcPr>
            <w:tcW w:w="756" w:type="dxa"/>
            <w:vAlign w:val="center"/>
          </w:tcPr>
          <w:p w:rsidR="00484132" w:rsidRPr="0002015A" w:rsidRDefault="00484132" w:rsidP="007471A8">
            <w:pPr>
              <w:contextualSpacing/>
              <w:jc w:val="center"/>
              <w:rPr>
                <w:color w:val="000000"/>
                <w:sz w:val="20"/>
                <w:szCs w:val="20"/>
              </w:rPr>
            </w:pPr>
            <w:r w:rsidRPr="0002015A">
              <w:rPr>
                <w:color w:val="000000"/>
                <w:sz w:val="20"/>
                <w:szCs w:val="20"/>
              </w:rPr>
              <w:t>Unit Cost</w:t>
            </w:r>
          </w:p>
        </w:tc>
        <w:tc>
          <w:tcPr>
            <w:tcW w:w="1056" w:type="dxa"/>
            <w:vAlign w:val="center"/>
          </w:tcPr>
          <w:p w:rsidR="00484132" w:rsidRPr="0002015A" w:rsidRDefault="00484132" w:rsidP="007471A8">
            <w:pPr>
              <w:contextualSpacing/>
              <w:jc w:val="center"/>
              <w:rPr>
                <w:color w:val="000000"/>
                <w:sz w:val="20"/>
                <w:szCs w:val="20"/>
              </w:rPr>
            </w:pPr>
            <w:r w:rsidRPr="0002015A">
              <w:rPr>
                <w:color w:val="000000"/>
                <w:sz w:val="20"/>
                <w:szCs w:val="20"/>
              </w:rPr>
              <w:t>Quantity</w:t>
            </w:r>
          </w:p>
        </w:tc>
        <w:tc>
          <w:tcPr>
            <w:tcW w:w="1116" w:type="dxa"/>
            <w:vAlign w:val="center"/>
          </w:tcPr>
          <w:p w:rsidR="00484132" w:rsidRPr="0002015A" w:rsidRDefault="00484132" w:rsidP="007471A8">
            <w:pPr>
              <w:contextualSpacing/>
              <w:jc w:val="center"/>
              <w:rPr>
                <w:color w:val="000000"/>
                <w:sz w:val="20"/>
                <w:szCs w:val="20"/>
              </w:rPr>
            </w:pPr>
            <w:r>
              <w:rPr>
                <w:color w:val="000000"/>
                <w:sz w:val="20"/>
                <w:szCs w:val="20"/>
              </w:rPr>
              <w:t>FY 2013</w:t>
            </w:r>
            <w:r w:rsidRPr="0002015A">
              <w:rPr>
                <w:color w:val="000000"/>
                <w:sz w:val="20"/>
                <w:szCs w:val="20"/>
              </w:rPr>
              <w:t xml:space="preserve"> Request</w:t>
            </w:r>
          </w:p>
          <w:p w:rsidR="00484132" w:rsidRPr="0002015A" w:rsidRDefault="00484132" w:rsidP="007471A8">
            <w:pPr>
              <w:contextualSpacing/>
              <w:jc w:val="center"/>
              <w:rPr>
                <w:color w:val="000000"/>
                <w:sz w:val="20"/>
                <w:szCs w:val="20"/>
              </w:rPr>
            </w:pPr>
            <w:r w:rsidRPr="0002015A">
              <w:rPr>
                <w:color w:val="000000"/>
                <w:sz w:val="20"/>
                <w:szCs w:val="20"/>
              </w:rPr>
              <w:t>($000)</w:t>
            </w:r>
          </w:p>
        </w:tc>
        <w:tc>
          <w:tcPr>
            <w:tcW w:w="1875" w:type="dxa"/>
            <w:vAlign w:val="center"/>
          </w:tcPr>
          <w:p w:rsidR="00484132" w:rsidRPr="00641D5F" w:rsidRDefault="00484132" w:rsidP="007471A8">
            <w:pPr>
              <w:contextualSpacing/>
              <w:jc w:val="center"/>
              <w:rPr>
                <w:sz w:val="20"/>
                <w:szCs w:val="20"/>
              </w:rPr>
            </w:pPr>
            <w:r w:rsidRPr="00641D5F">
              <w:rPr>
                <w:sz w:val="20"/>
                <w:szCs w:val="20"/>
              </w:rPr>
              <w:t>FY 201</w:t>
            </w:r>
            <w:r>
              <w:rPr>
                <w:sz w:val="20"/>
                <w:szCs w:val="20"/>
              </w:rPr>
              <w:t>4</w:t>
            </w:r>
            <w:r w:rsidRPr="00641D5F">
              <w:rPr>
                <w:sz w:val="20"/>
                <w:szCs w:val="20"/>
              </w:rPr>
              <w:t xml:space="preserve"> Net Annualization (change from 201</w:t>
            </w:r>
            <w:r>
              <w:rPr>
                <w:sz w:val="20"/>
                <w:szCs w:val="20"/>
              </w:rPr>
              <w:t>3</w:t>
            </w:r>
            <w:r w:rsidRPr="00641D5F">
              <w:rPr>
                <w:sz w:val="20"/>
                <w:szCs w:val="20"/>
              </w:rPr>
              <w:t>)</w:t>
            </w:r>
          </w:p>
          <w:p w:rsidR="00484132" w:rsidRPr="0002015A" w:rsidRDefault="00484132" w:rsidP="007471A8">
            <w:pPr>
              <w:contextualSpacing/>
              <w:jc w:val="center"/>
              <w:rPr>
                <w:color w:val="000000"/>
                <w:sz w:val="20"/>
                <w:szCs w:val="20"/>
              </w:rPr>
            </w:pPr>
            <w:r w:rsidRPr="00641D5F">
              <w:rPr>
                <w:sz w:val="20"/>
                <w:szCs w:val="20"/>
              </w:rPr>
              <w:t xml:space="preserve"> ($000)</w:t>
            </w:r>
          </w:p>
        </w:tc>
        <w:tc>
          <w:tcPr>
            <w:tcW w:w="1875" w:type="dxa"/>
          </w:tcPr>
          <w:p w:rsidR="00484132" w:rsidRPr="00641D5F" w:rsidRDefault="00484132" w:rsidP="007471A8">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484132" w:rsidRPr="00641D5F" w:rsidRDefault="00484132" w:rsidP="007471A8">
            <w:pPr>
              <w:contextualSpacing/>
              <w:jc w:val="center"/>
              <w:rPr>
                <w:sz w:val="20"/>
                <w:szCs w:val="20"/>
              </w:rPr>
            </w:pPr>
            <w:r w:rsidRPr="00641D5F">
              <w:rPr>
                <w:sz w:val="20"/>
                <w:szCs w:val="20"/>
              </w:rPr>
              <w:t xml:space="preserve"> ($000)</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Pr>
                <w:color w:val="000000"/>
                <w:sz w:val="20"/>
                <w:szCs w:val="20"/>
              </w:rPr>
              <w:t>Information Technology</w:t>
            </w:r>
          </w:p>
        </w:tc>
        <w:tc>
          <w:tcPr>
            <w:tcW w:w="7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0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116"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r>
              <w:rPr>
                <w:color w:val="000000"/>
                <w:sz w:val="20"/>
                <w:szCs w:val="20"/>
              </w:rPr>
              <w:t>5,947</w:t>
            </w: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sidRPr="0002015A">
              <w:rPr>
                <w:color w:val="000000"/>
                <w:sz w:val="20"/>
                <w:szCs w:val="20"/>
              </w:rPr>
              <w:t>Total Non-Personnel</w:t>
            </w:r>
          </w:p>
        </w:tc>
        <w:tc>
          <w:tcPr>
            <w:tcW w:w="756" w:type="dxa"/>
            <w:vAlign w:val="center"/>
          </w:tcPr>
          <w:p w:rsidR="00484132" w:rsidRPr="0002015A" w:rsidRDefault="00484132" w:rsidP="007471A8">
            <w:pPr>
              <w:contextualSpacing/>
              <w:jc w:val="right"/>
              <w:rPr>
                <w:color w:val="000000"/>
                <w:sz w:val="20"/>
                <w:szCs w:val="20"/>
              </w:rPr>
            </w:pPr>
          </w:p>
        </w:tc>
        <w:tc>
          <w:tcPr>
            <w:tcW w:w="1056" w:type="dxa"/>
            <w:vAlign w:val="center"/>
          </w:tcPr>
          <w:p w:rsidR="00484132" w:rsidRPr="0002015A" w:rsidRDefault="00484132" w:rsidP="007471A8">
            <w:pPr>
              <w:contextualSpacing/>
              <w:jc w:val="right"/>
              <w:rPr>
                <w:color w:val="000000"/>
                <w:sz w:val="20"/>
                <w:szCs w:val="20"/>
              </w:rPr>
            </w:pP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($5,947)</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bl>
    <w:p w:rsidR="00484132" w:rsidRPr="002E00BD" w:rsidRDefault="00484132" w:rsidP="007471A8">
      <w:pPr>
        <w:pStyle w:val="xl24"/>
        <w:spacing w:before="0" w:after="0"/>
        <w:contextualSpacing/>
        <w:rPr>
          <w:color w:val="000000"/>
          <w:szCs w:val="24"/>
        </w:rPr>
      </w:pPr>
    </w:p>
    <w:p w:rsidR="00484132" w:rsidRDefault="00484132" w:rsidP="007471A8">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484132" w:rsidRPr="00E61321" w:rsidRDefault="00484132" w:rsidP="007471A8">
      <w:pPr>
        <w:pStyle w:val="xl24"/>
        <w:spacing w:before="0" w:after="0"/>
        <w:contextualSpacing/>
        <w:rPr>
          <w:color w:val="000000"/>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540"/>
        <w:gridCol w:w="630"/>
        <w:gridCol w:w="574"/>
        <w:gridCol w:w="1132"/>
        <w:gridCol w:w="1177"/>
        <w:gridCol w:w="1167"/>
        <w:gridCol w:w="1890"/>
        <w:gridCol w:w="2070"/>
      </w:tblGrid>
      <w:tr w:rsidR="00484132" w:rsidTr="00C45BA3">
        <w:trPr>
          <w:trHeight w:val="658"/>
          <w:jc w:val="center"/>
        </w:trPr>
        <w:tc>
          <w:tcPr>
            <w:tcW w:w="1593" w:type="dxa"/>
            <w:shd w:val="clear" w:color="auto" w:fill="D9D9D9" w:themeFill="background1" w:themeFillShade="D9"/>
          </w:tcPr>
          <w:p w:rsidR="00484132" w:rsidRDefault="00484132" w:rsidP="007471A8">
            <w:pPr>
              <w:contextualSpacing/>
              <w:rPr>
                <w:sz w:val="20"/>
              </w:rPr>
            </w:pPr>
          </w:p>
        </w:tc>
        <w:tc>
          <w:tcPr>
            <w:tcW w:w="540" w:type="dxa"/>
            <w:vAlign w:val="center"/>
          </w:tcPr>
          <w:p w:rsidR="00484132" w:rsidRDefault="00484132" w:rsidP="007471A8">
            <w:pPr>
              <w:contextualSpacing/>
              <w:jc w:val="center"/>
              <w:rPr>
                <w:sz w:val="20"/>
              </w:rPr>
            </w:pPr>
            <w:r>
              <w:rPr>
                <w:sz w:val="20"/>
              </w:rPr>
              <w:t>Pos</w:t>
            </w:r>
          </w:p>
        </w:tc>
        <w:tc>
          <w:tcPr>
            <w:tcW w:w="630" w:type="dxa"/>
            <w:vAlign w:val="center"/>
          </w:tcPr>
          <w:p w:rsidR="00484132" w:rsidRDefault="00484132" w:rsidP="007471A8">
            <w:pPr>
              <w:contextualSpacing/>
              <w:jc w:val="center"/>
              <w:rPr>
                <w:sz w:val="20"/>
              </w:rPr>
            </w:pPr>
          </w:p>
          <w:p w:rsidR="00484132" w:rsidRDefault="00484132" w:rsidP="007471A8">
            <w:pPr>
              <w:contextualSpacing/>
              <w:jc w:val="center"/>
              <w:rPr>
                <w:sz w:val="20"/>
              </w:rPr>
            </w:pPr>
            <w:r>
              <w:rPr>
                <w:sz w:val="20"/>
              </w:rPr>
              <w:t>Agt</w:t>
            </w:r>
          </w:p>
          <w:p w:rsidR="00484132" w:rsidRDefault="00484132" w:rsidP="007471A8">
            <w:pPr>
              <w:contextualSpacing/>
              <w:jc w:val="center"/>
              <w:rPr>
                <w:sz w:val="20"/>
              </w:rPr>
            </w:pPr>
          </w:p>
        </w:tc>
        <w:tc>
          <w:tcPr>
            <w:tcW w:w="574" w:type="dxa"/>
            <w:vAlign w:val="center"/>
          </w:tcPr>
          <w:p w:rsidR="00484132" w:rsidRDefault="00484132" w:rsidP="007471A8">
            <w:pPr>
              <w:contextualSpacing/>
              <w:jc w:val="center"/>
              <w:rPr>
                <w:sz w:val="20"/>
              </w:rPr>
            </w:pPr>
            <w:r>
              <w:rPr>
                <w:sz w:val="20"/>
              </w:rPr>
              <w:t>FTE</w:t>
            </w:r>
          </w:p>
        </w:tc>
        <w:tc>
          <w:tcPr>
            <w:tcW w:w="1132" w:type="dxa"/>
            <w:vAlign w:val="center"/>
          </w:tcPr>
          <w:p w:rsidR="00484132" w:rsidRDefault="00484132" w:rsidP="007471A8">
            <w:pPr>
              <w:contextualSpacing/>
              <w:jc w:val="center"/>
              <w:rPr>
                <w:sz w:val="20"/>
              </w:rPr>
            </w:pPr>
            <w:r>
              <w:rPr>
                <w:sz w:val="20"/>
              </w:rPr>
              <w:t>Personnel</w:t>
            </w:r>
          </w:p>
          <w:p w:rsidR="00484132" w:rsidRDefault="00484132" w:rsidP="007471A8">
            <w:pPr>
              <w:contextualSpacing/>
              <w:jc w:val="center"/>
              <w:rPr>
                <w:sz w:val="20"/>
              </w:rPr>
            </w:pPr>
            <w:r>
              <w:rPr>
                <w:sz w:val="20"/>
              </w:rPr>
              <w:t>($000)</w:t>
            </w:r>
          </w:p>
        </w:tc>
        <w:tc>
          <w:tcPr>
            <w:tcW w:w="1177" w:type="dxa"/>
            <w:vAlign w:val="center"/>
          </w:tcPr>
          <w:p w:rsidR="00484132" w:rsidRDefault="00484132" w:rsidP="007471A8">
            <w:pPr>
              <w:contextualSpacing/>
              <w:jc w:val="center"/>
              <w:rPr>
                <w:sz w:val="20"/>
              </w:rPr>
            </w:pPr>
            <w:r>
              <w:rPr>
                <w:sz w:val="20"/>
              </w:rPr>
              <w:t>Non-Personnel</w:t>
            </w:r>
          </w:p>
          <w:p w:rsidR="00484132" w:rsidRDefault="00484132" w:rsidP="007471A8">
            <w:pPr>
              <w:contextualSpacing/>
              <w:jc w:val="center"/>
              <w:rPr>
                <w:sz w:val="20"/>
              </w:rPr>
            </w:pPr>
            <w:r>
              <w:rPr>
                <w:sz w:val="20"/>
              </w:rPr>
              <w:t>($000)</w:t>
            </w:r>
          </w:p>
        </w:tc>
        <w:tc>
          <w:tcPr>
            <w:tcW w:w="1167" w:type="dxa"/>
            <w:vAlign w:val="center"/>
          </w:tcPr>
          <w:p w:rsidR="00484132" w:rsidRDefault="00484132" w:rsidP="007471A8">
            <w:pPr>
              <w:contextualSpacing/>
              <w:jc w:val="center"/>
              <w:rPr>
                <w:sz w:val="20"/>
              </w:rPr>
            </w:pPr>
            <w:r>
              <w:rPr>
                <w:sz w:val="20"/>
              </w:rPr>
              <w:t>Total</w:t>
            </w:r>
          </w:p>
          <w:p w:rsidR="00484132" w:rsidRDefault="00484132" w:rsidP="007471A8">
            <w:pPr>
              <w:contextualSpacing/>
              <w:jc w:val="center"/>
              <w:rPr>
                <w:sz w:val="20"/>
              </w:rPr>
            </w:pPr>
            <w:r>
              <w:rPr>
                <w:sz w:val="20"/>
              </w:rPr>
              <w:t>($000)</w:t>
            </w:r>
          </w:p>
        </w:tc>
        <w:tc>
          <w:tcPr>
            <w:tcW w:w="1890"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207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C45BA3">
        <w:trPr>
          <w:trHeight w:val="215"/>
          <w:jc w:val="center"/>
        </w:trPr>
        <w:tc>
          <w:tcPr>
            <w:tcW w:w="1593" w:type="dxa"/>
          </w:tcPr>
          <w:p w:rsidR="00484132" w:rsidRDefault="00484132" w:rsidP="007471A8">
            <w:pPr>
              <w:contextualSpacing/>
              <w:rPr>
                <w:sz w:val="20"/>
              </w:rPr>
            </w:pPr>
            <w:r>
              <w:rPr>
                <w:sz w:val="20"/>
              </w:rPr>
              <w:t>Current Services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$272,358</w:t>
            </w:r>
          </w:p>
        </w:tc>
        <w:tc>
          <w:tcPr>
            <w:tcW w:w="1167" w:type="dxa"/>
            <w:vAlign w:val="center"/>
          </w:tcPr>
          <w:p w:rsidR="00484132" w:rsidRPr="0002015A" w:rsidRDefault="00484132" w:rsidP="007471A8">
            <w:pPr>
              <w:contextualSpacing/>
              <w:jc w:val="right"/>
              <w:rPr>
                <w:color w:val="000000"/>
                <w:sz w:val="20"/>
                <w:szCs w:val="20"/>
              </w:rPr>
            </w:pPr>
            <w:r>
              <w:rPr>
                <w:color w:val="000000"/>
                <w:sz w:val="20"/>
                <w:szCs w:val="20"/>
              </w:rPr>
              <w:t>$272,358</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Decreases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484132" w:rsidP="007471A8">
            <w:pPr>
              <w:contextualSpacing/>
              <w:jc w:val="right"/>
              <w:rPr>
                <w:sz w:val="20"/>
              </w:rPr>
            </w:pPr>
            <w:r>
              <w:rPr>
                <w:sz w:val="20"/>
              </w:rPr>
              <w:t>…</w:t>
            </w:r>
          </w:p>
        </w:tc>
        <w:tc>
          <w:tcPr>
            <w:tcW w:w="1177" w:type="dxa"/>
            <w:vAlign w:val="center"/>
          </w:tcPr>
          <w:p w:rsidR="00484132" w:rsidRDefault="00484132" w:rsidP="007471A8">
            <w:pPr>
              <w:contextualSpacing/>
              <w:jc w:val="right"/>
              <w:rPr>
                <w:sz w:val="20"/>
              </w:rPr>
            </w:pPr>
            <w:r>
              <w:rPr>
                <w:color w:val="000000"/>
                <w:sz w:val="20"/>
                <w:szCs w:val="20"/>
              </w:rPr>
              <w:t>(5,947</w:t>
            </w:r>
            <w:r w:rsidRPr="0002015A">
              <w:rPr>
                <w:color w:val="000000"/>
                <w:sz w:val="20"/>
                <w:szCs w:val="20"/>
              </w:rPr>
              <w:t>)</w:t>
            </w:r>
          </w:p>
        </w:tc>
        <w:tc>
          <w:tcPr>
            <w:tcW w:w="1167" w:type="dxa"/>
          </w:tcPr>
          <w:p w:rsidR="00484132" w:rsidRDefault="00484132" w:rsidP="007471A8">
            <w:pPr>
              <w:contextualSpacing/>
              <w:jc w:val="right"/>
              <w:rPr>
                <w:sz w:val="20"/>
              </w:rPr>
            </w:pPr>
            <w:r>
              <w:rPr>
                <w:color w:val="000000"/>
                <w:sz w:val="20"/>
                <w:szCs w:val="20"/>
              </w:rPr>
              <w:t>(5,947</w:t>
            </w:r>
            <w:r w:rsidRPr="0002015A">
              <w:rPr>
                <w:color w:val="000000"/>
                <w:sz w:val="20"/>
                <w:szCs w:val="20"/>
              </w:rPr>
              <w:t>)</w:t>
            </w:r>
          </w:p>
        </w:tc>
        <w:tc>
          <w:tcPr>
            <w:tcW w:w="1890" w:type="dxa"/>
            <w:vAlign w:val="center"/>
          </w:tcPr>
          <w:p w:rsidR="00484132" w:rsidRDefault="00484132" w:rsidP="007471A8">
            <w:pPr>
              <w:contextualSpacing/>
              <w:jc w:val="right"/>
              <w:rPr>
                <w:sz w:val="20"/>
              </w:rPr>
            </w:pPr>
            <w:r>
              <w:rPr>
                <w:sz w:val="20"/>
              </w:rPr>
              <w:t>…</w:t>
            </w:r>
          </w:p>
        </w:tc>
        <w:tc>
          <w:tcPr>
            <w:tcW w:w="2070" w:type="dxa"/>
          </w:tcPr>
          <w:p w:rsidR="00484132" w:rsidRDefault="00484132" w:rsidP="007471A8">
            <w:pPr>
              <w:contextualSpacing/>
              <w:jc w:val="right"/>
              <w:rPr>
                <w:sz w:val="20"/>
              </w:rPr>
            </w:pPr>
            <w:r>
              <w:rPr>
                <w:sz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Grand Total</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816B55" w:rsidP="007471A8">
            <w:pPr>
              <w:contextualSpacing/>
              <w:jc w:val="right"/>
              <w:rPr>
                <w:sz w:val="20"/>
              </w:rPr>
            </w:pPr>
            <w:r>
              <w:rPr>
                <w:sz w:val="20"/>
              </w:rPr>
              <w:t>$</w:t>
            </w:r>
            <w:r w:rsidR="00484132">
              <w:rPr>
                <w:sz w:val="20"/>
              </w:rPr>
              <w:t>…</w:t>
            </w:r>
          </w:p>
        </w:tc>
        <w:tc>
          <w:tcPr>
            <w:tcW w:w="1177" w:type="dxa"/>
            <w:vAlign w:val="center"/>
          </w:tcPr>
          <w:p w:rsidR="00484132" w:rsidRDefault="00484132" w:rsidP="007471A8">
            <w:pPr>
              <w:contextualSpacing/>
              <w:jc w:val="right"/>
              <w:rPr>
                <w:sz w:val="20"/>
              </w:rPr>
            </w:pPr>
            <w:r>
              <w:rPr>
                <w:color w:val="000000"/>
                <w:sz w:val="20"/>
                <w:szCs w:val="20"/>
              </w:rPr>
              <w:t>$266,411</w:t>
            </w:r>
          </w:p>
        </w:tc>
        <w:tc>
          <w:tcPr>
            <w:tcW w:w="1167" w:type="dxa"/>
            <w:vAlign w:val="center"/>
          </w:tcPr>
          <w:p w:rsidR="00484132" w:rsidRDefault="00484132" w:rsidP="007471A8">
            <w:pPr>
              <w:contextualSpacing/>
              <w:jc w:val="right"/>
              <w:rPr>
                <w:sz w:val="20"/>
              </w:rPr>
            </w:pPr>
            <w:r>
              <w:rPr>
                <w:color w:val="000000"/>
                <w:sz w:val="20"/>
                <w:szCs w:val="20"/>
              </w:rPr>
              <w:t>$266,411</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bl>
    <w:p w:rsidR="00D020D3" w:rsidRDefault="00D020D3" w:rsidP="007471A8">
      <w:pPr>
        <w:pStyle w:val="xl19"/>
        <w:tabs>
          <w:tab w:val="left" w:pos="3600"/>
          <w:tab w:val="right" w:pos="8640"/>
        </w:tabs>
        <w:spacing w:before="0" w:after="0"/>
        <w:contextualSpacing/>
        <w:rPr>
          <w:rFonts w:eastAsia="Times New Roman"/>
          <w:szCs w:val="24"/>
        </w:rPr>
      </w:pPr>
    </w:p>
    <w:p w:rsidR="00D020D3" w:rsidRDefault="00D020D3" w:rsidP="007471A8">
      <w:pPr>
        <w:contextualSpacing/>
      </w:pPr>
      <w:r>
        <w:br w:type="page"/>
      </w:r>
    </w:p>
    <w:p w:rsidR="00484132" w:rsidRDefault="00484132" w:rsidP="004E63AB">
      <w:pPr>
        <w:pStyle w:val="xl19"/>
        <w:tabs>
          <w:tab w:val="left" w:pos="3845"/>
        </w:tabs>
        <w:spacing w:before="0" w:after="0"/>
        <w:contextualSpacing/>
        <w:rPr>
          <w:rFonts w:eastAsia="Times New Roman"/>
        </w:rPr>
      </w:pPr>
      <w:bookmarkStart w:id="19" w:name="NGIC"/>
      <w:bookmarkEnd w:id="19"/>
      <w:r>
        <w:rPr>
          <w:b/>
          <w:bCs/>
        </w:rPr>
        <w:lastRenderedPageBreak/>
        <w:t>Item Name:</w:t>
      </w:r>
      <w:r>
        <w:rPr>
          <w:b/>
          <w:bCs/>
        </w:rPr>
        <w:tab/>
      </w:r>
      <w:r w:rsidRPr="00C61EB4">
        <w:rPr>
          <w:b/>
          <w:bCs/>
          <w:u w:val="single"/>
        </w:rPr>
        <w:t xml:space="preserve">National Gang Intelligence Center </w:t>
      </w:r>
      <w:r>
        <w:rPr>
          <w:b/>
          <w:bCs/>
          <w:u w:val="single"/>
        </w:rPr>
        <w:t>(NGIC)</w:t>
      </w:r>
    </w:p>
    <w:p w:rsidR="00484132" w:rsidRDefault="00484132" w:rsidP="004E63AB">
      <w:pPr>
        <w:pStyle w:val="xl19"/>
        <w:tabs>
          <w:tab w:val="left" w:pos="3845"/>
        </w:tabs>
        <w:spacing w:before="0" w:after="0"/>
        <w:contextualSpacing/>
        <w:rPr>
          <w:rFonts w:eastAsia="Times New Roman"/>
          <w:u w:val="single"/>
        </w:rPr>
      </w:pPr>
      <w:r>
        <w:rPr>
          <w:rFonts w:eastAsia="Times New Roman"/>
        </w:rPr>
        <w:t xml:space="preserve">Budget Decision Unit(s): </w:t>
      </w:r>
      <w:r>
        <w:rPr>
          <w:rFonts w:eastAsia="Times New Roman"/>
        </w:rPr>
        <w:tab/>
      </w:r>
      <w:r>
        <w:rPr>
          <w:rFonts w:eastAsia="Times New Roman"/>
          <w:u w:val="single"/>
        </w:rPr>
        <w:t>Intelligence</w:t>
      </w:r>
    </w:p>
    <w:p w:rsidR="00484132" w:rsidRDefault="00484132" w:rsidP="004E63AB">
      <w:pPr>
        <w:pStyle w:val="xl19"/>
        <w:tabs>
          <w:tab w:val="left" w:pos="3845"/>
        </w:tabs>
        <w:spacing w:before="0" w:after="0"/>
        <w:contextualSpacing/>
        <w:rPr>
          <w:u w:val="single"/>
        </w:rPr>
      </w:pPr>
      <w:r>
        <w:t>Strategic Goal(s) &amp; Objective(s):</w:t>
      </w:r>
      <w:r>
        <w:tab/>
        <w:t>2.1</w:t>
      </w:r>
      <w:r>
        <w:rPr>
          <w:u w:val="single"/>
        </w:rPr>
        <w:t xml:space="preserve">                                                                                       </w:t>
      </w:r>
    </w:p>
    <w:p w:rsidR="00484132" w:rsidRDefault="00484132" w:rsidP="004E63AB">
      <w:pPr>
        <w:pStyle w:val="xl19"/>
        <w:tabs>
          <w:tab w:val="left" w:pos="3845"/>
        </w:tabs>
        <w:spacing w:before="0" w:after="0"/>
        <w:contextualSpacing/>
      </w:pPr>
      <w:r>
        <w:t>Organizational Program:</w:t>
      </w:r>
      <w:r>
        <w:tab/>
      </w:r>
      <w:r>
        <w:rPr>
          <w:u w:val="single"/>
        </w:rPr>
        <w:t>Criminal</w:t>
      </w:r>
    </w:p>
    <w:p w:rsidR="00484132" w:rsidRDefault="00484132" w:rsidP="007471A8">
      <w:pPr>
        <w:pStyle w:val="xl19"/>
        <w:tabs>
          <w:tab w:val="left" w:pos="3600"/>
          <w:tab w:val="right" w:pos="4320"/>
        </w:tabs>
        <w:spacing w:before="0" w:after="0"/>
        <w:contextualSpacing/>
        <w:rPr>
          <w:rFonts w:eastAsia="Times New Roman"/>
        </w:rPr>
      </w:pPr>
    </w:p>
    <w:p w:rsidR="00484132" w:rsidRDefault="00484132" w:rsidP="007471A8">
      <w:pPr>
        <w:pStyle w:val="xl19"/>
        <w:tabs>
          <w:tab w:val="left" w:pos="2340"/>
          <w:tab w:val="right" w:pos="3060"/>
          <w:tab w:val="left" w:pos="3600"/>
          <w:tab w:val="right" w:pos="4500"/>
          <w:tab w:val="left" w:pos="5310"/>
          <w:tab w:val="right" w:pos="6300"/>
        </w:tabs>
        <w:spacing w:before="0" w:after="0"/>
        <w:ind w:left="990" w:hanging="990"/>
        <w:contextualSpacing/>
        <w:rPr>
          <w:rFonts w:eastAsia="Times New Roman"/>
          <w:u w:val="single"/>
        </w:rPr>
      </w:pPr>
      <w:r>
        <w:rPr>
          <w:rFonts w:eastAsia="Times New Roman"/>
        </w:rPr>
        <w:t>Program Reduction:  Positions (</w:t>
      </w:r>
      <w:r>
        <w:rPr>
          <w:rFonts w:eastAsia="Times New Roman"/>
          <w:u w:val="single"/>
        </w:rPr>
        <w:t>15)</w:t>
      </w:r>
      <w:r>
        <w:rPr>
          <w:rFonts w:eastAsia="Times New Roman"/>
        </w:rPr>
        <w:t xml:space="preserve"> Agt </w:t>
      </w:r>
      <w:r w:rsidRPr="00D14B8B">
        <w:rPr>
          <w:rFonts w:eastAsia="Times New Roman"/>
          <w:u w:val="single"/>
        </w:rPr>
        <w:t xml:space="preserve">(1) </w:t>
      </w:r>
      <w:r w:rsidR="00A8673E">
        <w:rPr>
          <w:rFonts w:eastAsia="Times New Roman"/>
        </w:rPr>
        <w:t xml:space="preserve">IAs </w:t>
      </w:r>
      <w:r w:rsidR="00A8673E">
        <w:rPr>
          <w:rFonts w:eastAsia="Times New Roman"/>
          <w:u w:val="single"/>
        </w:rPr>
        <w:t>(13)</w:t>
      </w:r>
      <w:r w:rsidR="00A8673E">
        <w:rPr>
          <w:rFonts w:eastAsia="Times New Roman"/>
        </w:rPr>
        <w:t xml:space="preserve"> </w:t>
      </w:r>
      <w:r>
        <w:rPr>
          <w:rFonts w:eastAsia="Times New Roman"/>
        </w:rPr>
        <w:t>FTE (</w:t>
      </w:r>
      <w:r>
        <w:rPr>
          <w:rFonts w:eastAsia="Times New Roman"/>
          <w:u w:val="single"/>
        </w:rPr>
        <w:t>15)</w:t>
      </w:r>
      <w:r>
        <w:rPr>
          <w:rFonts w:eastAsia="Times New Roman"/>
        </w:rPr>
        <w:t xml:space="preserve"> Dollars </w:t>
      </w:r>
      <w:r>
        <w:rPr>
          <w:rFonts w:eastAsia="Times New Roman"/>
          <w:u w:val="single"/>
        </w:rPr>
        <w:t xml:space="preserve">($7,826,000) </w:t>
      </w:r>
    </w:p>
    <w:p w:rsidR="00484132" w:rsidRPr="00842C48" w:rsidRDefault="00484132" w:rsidP="007471A8">
      <w:pPr>
        <w:pStyle w:val="xl19"/>
        <w:tabs>
          <w:tab w:val="left" w:pos="2340"/>
          <w:tab w:val="right" w:pos="3060"/>
          <w:tab w:val="left" w:pos="3600"/>
          <w:tab w:val="right" w:pos="4500"/>
          <w:tab w:val="left" w:pos="5310"/>
          <w:tab w:val="right" w:pos="6300"/>
        </w:tabs>
        <w:spacing w:before="0" w:after="0"/>
        <w:ind w:left="990" w:hanging="990"/>
        <w:contextualSpacing/>
        <w:rPr>
          <w:rFonts w:eastAsia="Times New Roman"/>
        </w:rPr>
      </w:pPr>
      <w:r w:rsidRPr="00D14B8B">
        <w:rPr>
          <w:rFonts w:eastAsia="Times New Roman"/>
        </w:rPr>
        <w:tab/>
      </w:r>
      <w:r w:rsidRPr="00842C48">
        <w:rPr>
          <w:rFonts w:eastAsia="Times New Roman"/>
        </w:rPr>
        <w:t>($6,300,000 non-personnel)</w:t>
      </w:r>
    </w:p>
    <w:p w:rsidR="00484132" w:rsidRDefault="00484132" w:rsidP="007471A8">
      <w:pPr>
        <w:pStyle w:val="xl19"/>
        <w:tabs>
          <w:tab w:val="left" w:pos="2340"/>
          <w:tab w:val="right" w:pos="3060"/>
          <w:tab w:val="left" w:pos="3600"/>
          <w:tab w:val="right" w:pos="4500"/>
          <w:tab w:val="left" w:pos="5310"/>
          <w:tab w:val="right" w:pos="6300"/>
        </w:tabs>
        <w:spacing w:before="0" w:after="0"/>
        <w:contextualSpacing/>
        <w:rPr>
          <w:rFonts w:eastAsia="Times New Roman"/>
        </w:rPr>
      </w:pPr>
    </w:p>
    <w:p w:rsidR="00716445" w:rsidRDefault="00716445" w:rsidP="007471A8">
      <w:pPr>
        <w:pStyle w:val="xl24"/>
        <w:spacing w:before="0" w:after="0"/>
        <w:contextualSpacing/>
        <w:rPr>
          <w:rFonts w:eastAsia="Times New Roman"/>
          <w:szCs w:val="24"/>
        </w:rPr>
      </w:pPr>
      <w:r>
        <w:rPr>
          <w:rFonts w:eastAsia="Times New Roman"/>
          <w:szCs w:val="24"/>
        </w:rPr>
        <w:t>Description of Item</w:t>
      </w:r>
    </w:p>
    <w:p w:rsidR="00716445" w:rsidRDefault="00716445" w:rsidP="007471A8">
      <w:pPr>
        <w:contextualSpacing/>
      </w:pPr>
      <w:r>
        <w:t xml:space="preserve">The Budget proposes the elimination of the </w:t>
      </w:r>
      <w:r w:rsidRPr="00507D8B">
        <w:t>National Gang Intelligence Center (NGIC)</w:t>
      </w:r>
      <w:r>
        <w:t xml:space="preserve">, which includes 15 positions (1 </w:t>
      </w:r>
      <w:r w:rsidR="009B4984">
        <w:t>Agent, 13 Intelligence Analysts</w:t>
      </w:r>
      <w:r>
        <w:t>) and $7,826,000.  The NGIC collects</w:t>
      </w:r>
      <w:r w:rsidRPr="00507D8B">
        <w:t>, anal</w:t>
      </w:r>
      <w:r>
        <w:t>yzes</w:t>
      </w:r>
      <w:r w:rsidRPr="00507D8B">
        <w:t>, produc</w:t>
      </w:r>
      <w:r>
        <w:t>es</w:t>
      </w:r>
      <w:r w:rsidRPr="00507D8B">
        <w:t>, and disseminat</w:t>
      </w:r>
      <w:r>
        <w:t>es</w:t>
      </w:r>
      <w:r w:rsidRPr="00507D8B">
        <w:t xml:space="preserve"> gang intelligence and intelligence products to support federal, state, local,</w:t>
      </w:r>
      <w:r>
        <w:t xml:space="preserve"> and</w:t>
      </w:r>
      <w:r w:rsidRPr="00507D8B">
        <w:t xml:space="preserve"> tribal law enforcement </w:t>
      </w:r>
      <w:r>
        <w:t>as well as</w:t>
      </w:r>
      <w:r w:rsidRPr="00507D8B">
        <w:t xml:space="preserve"> correctional agencies</w:t>
      </w:r>
      <w:r>
        <w:t xml:space="preserve"> throughout the </w:t>
      </w:r>
      <w:r w:rsidR="00C90C45">
        <w:t>U.S</w:t>
      </w:r>
      <w:r>
        <w:t>.</w:t>
      </w:r>
      <w:r w:rsidRPr="00507D8B">
        <w:t xml:space="preserve">  </w:t>
      </w:r>
    </w:p>
    <w:p w:rsidR="00716445" w:rsidRDefault="00716445" w:rsidP="007471A8">
      <w:pPr>
        <w:contextualSpacing/>
      </w:pPr>
    </w:p>
    <w:p w:rsidR="00716445" w:rsidRDefault="00716445" w:rsidP="007471A8">
      <w:pPr>
        <w:contextualSpacing/>
        <w:rPr>
          <w:u w:val="single"/>
        </w:rPr>
      </w:pPr>
      <w:r w:rsidRPr="007C0343">
        <w:rPr>
          <w:u w:val="single"/>
        </w:rPr>
        <w:t xml:space="preserve">Impact on </w:t>
      </w:r>
      <w:r w:rsidRPr="00B9283E">
        <w:rPr>
          <w:u w:val="single"/>
        </w:rPr>
        <w:t>Performance</w:t>
      </w:r>
    </w:p>
    <w:p w:rsidR="00716445" w:rsidRPr="00716445" w:rsidRDefault="00716445" w:rsidP="007471A8">
      <w:pPr>
        <w:contextualSpacing/>
        <w:rPr>
          <w:b/>
        </w:rPr>
      </w:pPr>
      <w:r>
        <w:t xml:space="preserve">The proposed elimination of the NGIC will not hinder the ability to examine the threat posed to the </w:t>
      </w:r>
      <w:r w:rsidR="00C90C45">
        <w:t>U.S.</w:t>
      </w:r>
      <w:r>
        <w:t xml:space="preserve"> by criminal gangs; rather it will focus the sharing of intelligence at the field level, where intelligence sharing and coordination between DOJ agencies and state and local partners already exist.  The FBI will continue to produce intelligence products in support of Federal, State, and local investigations focused on gangs posing a significant threat to communities.    </w:t>
      </w:r>
    </w:p>
    <w:p w:rsidR="00D020D3" w:rsidRDefault="00D020D3" w:rsidP="007471A8">
      <w:pPr>
        <w:contextualSpacing/>
      </w:pPr>
      <w:r>
        <w:br w:type="page"/>
      </w:r>
    </w:p>
    <w:p w:rsidR="00484132" w:rsidRDefault="00484132" w:rsidP="007471A8">
      <w:pPr>
        <w:pStyle w:val="BodyText2"/>
        <w:contextualSpacing/>
        <w:jc w:val="center"/>
        <w:rPr>
          <w:b/>
          <w:bCs/>
          <w:sz w:val="24"/>
          <w:szCs w:val="24"/>
        </w:rPr>
      </w:pPr>
      <w:r w:rsidRPr="00842C48">
        <w:rPr>
          <w:b/>
          <w:bCs/>
          <w:sz w:val="24"/>
          <w:szCs w:val="24"/>
        </w:rPr>
        <w:lastRenderedPageBreak/>
        <w:t>Funding</w:t>
      </w:r>
    </w:p>
    <w:p w:rsidR="00484132" w:rsidRDefault="00484132" w:rsidP="007471A8">
      <w:pPr>
        <w:pStyle w:val="xl24"/>
        <w:spacing w:before="0" w:after="0"/>
        <w:contextualSpacing/>
        <w:rPr>
          <w:rFonts w:eastAsia="Times New Roman"/>
        </w:rPr>
      </w:pPr>
      <w:r>
        <w:rPr>
          <w:rFonts w:eastAsia="Times New Roman"/>
        </w:rPr>
        <w:t>Base Funding</w:t>
      </w:r>
    </w:p>
    <w:p w:rsidR="00484132" w:rsidRDefault="00484132" w:rsidP="007471A8">
      <w:pPr>
        <w:pStyle w:val="xl24"/>
        <w:spacing w:before="0" w:after="0"/>
        <w:contextualSpacing/>
        <w:rPr>
          <w:rFonts w:eastAsia="Times New Roman"/>
        </w:rPr>
      </w:pP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607"/>
        <w:gridCol w:w="572"/>
        <w:gridCol w:w="883"/>
        <w:gridCol w:w="720"/>
        <w:gridCol w:w="630"/>
        <w:gridCol w:w="810"/>
        <w:gridCol w:w="900"/>
        <w:gridCol w:w="720"/>
        <w:gridCol w:w="540"/>
        <w:gridCol w:w="810"/>
        <w:gridCol w:w="978"/>
      </w:tblGrid>
      <w:tr w:rsidR="00484132" w:rsidTr="004E63AB">
        <w:trPr>
          <w:jc w:val="center"/>
        </w:trPr>
        <w:tc>
          <w:tcPr>
            <w:tcW w:w="2656" w:type="dxa"/>
            <w:gridSpan w:val="4"/>
            <w:shd w:val="clear" w:color="auto" w:fill="D9D9D9" w:themeFill="background1" w:themeFillShade="D9"/>
            <w:vAlign w:val="center"/>
          </w:tcPr>
          <w:p w:rsidR="00484132" w:rsidRPr="000F321C" w:rsidRDefault="00484132" w:rsidP="007471A8">
            <w:pPr>
              <w:pStyle w:val="Heading7"/>
              <w:contextualSpacing/>
              <w:rPr>
                <w:sz w:val="20"/>
              </w:rPr>
            </w:pPr>
            <w:r w:rsidRPr="000F321C">
              <w:rPr>
                <w:sz w:val="20"/>
              </w:rPr>
              <w:t>FY 201</w:t>
            </w:r>
            <w:r>
              <w:rPr>
                <w:sz w:val="20"/>
              </w:rPr>
              <w:t>1</w:t>
            </w:r>
            <w:r w:rsidRPr="000F321C">
              <w:rPr>
                <w:sz w:val="20"/>
              </w:rPr>
              <w:t xml:space="preserve"> Enacted</w:t>
            </w:r>
          </w:p>
        </w:tc>
        <w:tc>
          <w:tcPr>
            <w:tcW w:w="3060" w:type="dxa"/>
            <w:gridSpan w:val="4"/>
            <w:shd w:val="clear" w:color="auto" w:fill="D9D9D9" w:themeFill="background1" w:themeFillShade="D9"/>
            <w:vAlign w:val="center"/>
          </w:tcPr>
          <w:p w:rsidR="00484132" w:rsidRPr="000F321C" w:rsidRDefault="00484132" w:rsidP="007471A8">
            <w:pPr>
              <w:pStyle w:val="Heading7"/>
              <w:contextualSpacing/>
              <w:rPr>
                <w:sz w:val="20"/>
              </w:rPr>
            </w:pPr>
            <w:r w:rsidRPr="000F321C">
              <w:rPr>
                <w:sz w:val="20"/>
              </w:rPr>
              <w:t>FY 201</w:t>
            </w:r>
            <w:r>
              <w:rPr>
                <w:sz w:val="20"/>
              </w:rPr>
              <w:t>2</w:t>
            </w:r>
            <w:r w:rsidRPr="000F321C">
              <w:rPr>
                <w:sz w:val="20"/>
              </w:rPr>
              <w:t xml:space="preserve"> </w:t>
            </w:r>
            <w:r>
              <w:rPr>
                <w:sz w:val="20"/>
              </w:rPr>
              <w:t>Enacted</w:t>
            </w:r>
          </w:p>
        </w:tc>
        <w:tc>
          <w:tcPr>
            <w:tcW w:w="3048" w:type="dxa"/>
            <w:gridSpan w:val="4"/>
            <w:shd w:val="clear" w:color="auto" w:fill="D9D9D9" w:themeFill="background1" w:themeFillShade="D9"/>
            <w:vAlign w:val="center"/>
          </w:tcPr>
          <w:p w:rsidR="00484132" w:rsidRPr="000F321C" w:rsidRDefault="00484132" w:rsidP="007471A8">
            <w:pPr>
              <w:pStyle w:val="Heading7"/>
              <w:contextualSpacing/>
              <w:rPr>
                <w:sz w:val="20"/>
              </w:rPr>
            </w:pPr>
            <w:r w:rsidRPr="000F321C">
              <w:rPr>
                <w:sz w:val="20"/>
              </w:rPr>
              <w:t>FY 201</w:t>
            </w:r>
            <w:r>
              <w:rPr>
                <w:sz w:val="20"/>
              </w:rPr>
              <w:t>3</w:t>
            </w:r>
            <w:r w:rsidRPr="000F321C">
              <w:rPr>
                <w:sz w:val="20"/>
              </w:rPr>
              <w:t xml:space="preserve"> Current Services</w:t>
            </w:r>
          </w:p>
        </w:tc>
      </w:tr>
      <w:tr w:rsidR="00484132" w:rsidTr="004E63AB">
        <w:trPr>
          <w:trHeight w:val="260"/>
          <w:jc w:val="center"/>
        </w:trPr>
        <w:tc>
          <w:tcPr>
            <w:tcW w:w="594"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Pos</w:t>
            </w:r>
          </w:p>
        </w:tc>
        <w:tc>
          <w:tcPr>
            <w:tcW w:w="607" w:type="dxa"/>
            <w:vAlign w:val="center"/>
          </w:tcPr>
          <w:p w:rsidR="00484132" w:rsidRPr="000F321C" w:rsidRDefault="00484132" w:rsidP="007471A8">
            <w:pPr>
              <w:pStyle w:val="xl24"/>
              <w:spacing w:before="0" w:after="0"/>
              <w:contextualSpacing/>
              <w:jc w:val="center"/>
              <w:rPr>
                <w:rFonts w:eastAsia="Times New Roman"/>
                <w:sz w:val="20"/>
                <w:u w:val="none"/>
              </w:rPr>
            </w:pPr>
            <w:r>
              <w:rPr>
                <w:rFonts w:eastAsia="Times New Roman"/>
                <w:sz w:val="20"/>
                <w:u w:val="none"/>
              </w:rPr>
              <w:t>Agt</w:t>
            </w:r>
          </w:p>
        </w:tc>
        <w:tc>
          <w:tcPr>
            <w:tcW w:w="572"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FTE</w:t>
            </w:r>
          </w:p>
        </w:tc>
        <w:tc>
          <w:tcPr>
            <w:tcW w:w="883"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$(000)</w:t>
            </w:r>
          </w:p>
        </w:tc>
        <w:tc>
          <w:tcPr>
            <w:tcW w:w="720"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Pos</w:t>
            </w:r>
          </w:p>
        </w:tc>
        <w:tc>
          <w:tcPr>
            <w:tcW w:w="630" w:type="dxa"/>
            <w:vAlign w:val="center"/>
          </w:tcPr>
          <w:p w:rsidR="00484132" w:rsidRPr="000F321C" w:rsidRDefault="00484132" w:rsidP="007471A8">
            <w:pPr>
              <w:pStyle w:val="xl24"/>
              <w:spacing w:before="0" w:after="0"/>
              <w:contextualSpacing/>
              <w:jc w:val="center"/>
              <w:rPr>
                <w:rFonts w:eastAsia="Times New Roman"/>
                <w:sz w:val="20"/>
                <w:u w:val="none"/>
              </w:rPr>
            </w:pPr>
            <w:r>
              <w:rPr>
                <w:rFonts w:eastAsia="Times New Roman"/>
                <w:sz w:val="20"/>
                <w:u w:val="none"/>
              </w:rPr>
              <w:t>Agt</w:t>
            </w:r>
          </w:p>
        </w:tc>
        <w:tc>
          <w:tcPr>
            <w:tcW w:w="810"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FTE</w:t>
            </w:r>
          </w:p>
        </w:tc>
        <w:tc>
          <w:tcPr>
            <w:tcW w:w="900"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$(000)</w:t>
            </w:r>
          </w:p>
        </w:tc>
        <w:tc>
          <w:tcPr>
            <w:tcW w:w="720"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Pos</w:t>
            </w:r>
          </w:p>
        </w:tc>
        <w:tc>
          <w:tcPr>
            <w:tcW w:w="540" w:type="dxa"/>
            <w:vAlign w:val="center"/>
          </w:tcPr>
          <w:p w:rsidR="00484132" w:rsidRPr="000F321C" w:rsidRDefault="00484132" w:rsidP="007471A8">
            <w:pPr>
              <w:pStyle w:val="xl24"/>
              <w:spacing w:before="0" w:after="0"/>
              <w:contextualSpacing/>
              <w:jc w:val="center"/>
              <w:rPr>
                <w:rFonts w:eastAsia="Times New Roman"/>
                <w:sz w:val="20"/>
                <w:u w:val="none"/>
              </w:rPr>
            </w:pPr>
            <w:r>
              <w:rPr>
                <w:rFonts w:eastAsia="Times New Roman"/>
                <w:sz w:val="20"/>
                <w:u w:val="none"/>
              </w:rPr>
              <w:t>Agt</w:t>
            </w:r>
          </w:p>
        </w:tc>
        <w:tc>
          <w:tcPr>
            <w:tcW w:w="810"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FTE</w:t>
            </w:r>
          </w:p>
        </w:tc>
        <w:tc>
          <w:tcPr>
            <w:tcW w:w="978" w:type="dxa"/>
            <w:vAlign w:val="center"/>
          </w:tcPr>
          <w:p w:rsidR="00484132" w:rsidRPr="000F321C" w:rsidRDefault="00484132" w:rsidP="007471A8">
            <w:pPr>
              <w:pStyle w:val="xl24"/>
              <w:spacing w:before="0" w:after="0"/>
              <w:contextualSpacing/>
              <w:jc w:val="center"/>
              <w:rPr>
                <w:rFonts w:eastAsia="Times New Roman"/>
                <w:sz w:val="20"/>
                <w:u w:val="none"/>
              </w:rPr>
            </w:pPr>
            <w:r w:rsidRPr="000F321C">
              <w:rPr>
                <w:rFonts w:eastAsia="Times New Roman"/>
                <w:sz w:val="20"/>
                <w:u w:val="none"/>
              </w:rPr>
              <w:t>$(000)</w:t>
            </w:r>
          </w:p>
        </w:tc>
      </w:tr>
      <w:tr w:rsidR="00484132" w:rsidTr="004E63AB">
        <w:trPr>
          <w:jc w:val="center"/>
        </w:trPr>
        <w:tc>
          <w:tcPr>
            <w:tcW w:w="594"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15</w:t>
            </w:r>
          </w:p>
        </w:tc>
        <w:tc>
          <w:tcPr>
            <w:tcW w:w="607"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w:t>
            </w:r>
          </w:p>
        </w:tc>
        <w:tc>
          <w:tcPr>
            <w:tcW w:w="572"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15</w:t>
            </w:r>
          </w:p>
        </w:tc>
        <w:tc>
          <w:tcPr>
            <w:tcW w:w="883"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$7,82</w:t>
            </w:r>
            <w:r>
              <w:rPr>
                <w:rFonts w:eastAsia="Times New Roman"/>
                <w:sz w:val="20"/>
                <w:u w:val="none"/>
              </w:rPr>
              <w:t>5</w:t>
            </w:r>
          </w:p>
        </w:tc>
        <w:tc>
          <w:tcPr>
            <w:tcW w:w="720"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15</w:t>
            </w:r>
          </w:p>
        </w:tc>
        <w:tc>
          <w:tcPr>
            <w:tcW w:w="630"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w:t>
            </w:r>
          </w:p>
        </w:tc>
        <w:tc>
          <w:tcPr>
            <w:tcW w:w="810"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15</w:t>
            </w:r>
          </w:p>
        </w:tc>
        <w:tc>
          <w:tcPr>
            <w:tcW w:w="900"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$7,825</w:t>
            </w:r>
          </w:p>
        </w:tc>
        <w:tc>
          <w:tcPr>
            <w:tcW w:w="720"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15</w:t>
            </w:r>
          </w:p>
        </w:tc>
        <w:tc>
          <w:tcPr>
            <w:tcW w:w="540"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w:t>
            </w:r>
          </w:p>
        </w:tc>
        <w:tc>
          <w:tcPr>
            <w:tcW w:w="810"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15</w:t>
            </w:r>
          </w:p>
        </w:tc>
        <w:tc>
          <w:tcPr>
            <w:tcW w:w="978" w:type="dxa"/>
            <w:vAlign w:val="center"/>
          </w:tcPr>
          <w:p w:rsidR="00484132" w:rsidRPr="00C92B46" w:rsidRDefault="00484132" w:rsidP="007471A8">
            <w:pPr>
              <w:pStyle w:val="xl24"/>
              <w:spacing w:before="0" w:after="0"/>
              <w:contextualSpacing/>
              <w:jc w:val="center"/>
              <w:rPr>
                <w:rFonts w:eastAsia="Times New Roman"/>
                <w:sz w:val="20"/>
                <w:u w:val="none"/>
              </w:rPr>
            </w:pPr>
            <w:r w:rsidRPr="00C92B46">
              <w:rPr>
                <w:rFonts w:eastAsia="Times New Roman"/>
                <w:sz w:val="20"/>
                <w:u w:val="none"/>
              </w:rPr>
              <w:t>$7,82</w:t>
            </w:r>
            <w:r>
              <w:rPr>
                <w:rFonts w:eastAsia="Times New Roman"/>
                <w:sz w:val="20"/>
                <w:u w:val="none"/>
              </w:rPr>
              <w:t>5</w:t>
            </w:r>
          </w:p>
        </w:tc>
      </w:tr>
    </w:tbl>
    <w:p w:rsidR="00484132" w:rsidRDefault="00484132" w:rsidP="007471A8">
      <w:pPr>
        <w:pStyle w:val="xl24"/>
        <w:spacing w:before="0" w:after="0"/>
        <w:contextualSpacing/>
        <w:jc w:val="center"/>
        <w:rPr>
          <w:rFonts w:eastAsia="Times New Roman"/>
        </w:rPr>
      </w:pPr>
    </w:p>
    <w:p w:rsidR="00484132" w:rsidRDefault="00484132" w:rsidP="007471A8">
      <w:pPr>
        <w:pStyle w:val="BodyText"/>
        <w:contextualSpacing/>
      </w:pPr>
      <w:r>
        <w:rPr>
          <w:u w:val="single"/>
        </w:rPr>
        <w:t>Personnel Reduction Cost Summary</w:t>
      </w:r>
    </w:p>
    <w:p w:rsidR="00484132" w:rsidRDefault="00484132" w:rsidP="007471A8">
      <w:pPr>
        <w:pStyle w:val="BodyText"/>
        <w:contextualSpacing/>
        <w:rPr>
          <w:sz w:val="20"/>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7"/>
        <w:gridCol w:w="1433"/>
        <w:gridCol w:w="1440"/>
        <w:gridCol w:w="1530"/>
        <w:gridCol w:w="1890"/>
        <w:gridCol w:w="1890"/>
      </w:tblGrid>
      <w:tr w:rsidR="00484132" w:rsidTr="006C7C76">
        <w:trPr>
          <w:jc w:val="center"/>
        </w:trPr>
        <w:tc>
          <w:tcPr>
            <w:tcW w:w="1987" w:type="dxa"/>
            <w:shd w:val="clear" w:color="auto" w:fill="D9D9D9" w:themeFill="background1" w:themeFillShade="D9"/>
            <w:vAlign w:val="center"/>
          </w:tcPr>
          <w:p w:rsidR="00484132" w:rsidRDefault="00484132" w:rsidP="007471A8">
            <w:pPr>
              <w:contextualSpacing/>
              <w:jc w:val="center"/>
              <w:rPr>
                <w:sz w:val="20"/>
              </w:rPr>
            </w:pPr>
            <w:r>
              <w:rPr>
                <w:sz w:val="20"/>
              </w:rPr>
              <w:t>Type of Position</w:t>
            </w:r>
          </w:p>
        </w:tc>
        <w:tc>
          <w:tcPr>
            <w:tcW w:w="1433" w:type="dxa"/>
            <w:vAlign w:val="center"/>
          </w:tcPr>
          <w:p w:rsidR="00484132" w:rsidRDefault="00484132" w:rsidP="007471A8">
            <w:pPr>
              <w:contextualSpacing/>
              <w:jc w:val="center"/>
              <w:rPr>
                <w:sz w:val="20"/>
              </w:rPr>
            </w:pPr>
            <w:r>
              <w:rPr>
                <w:sz w:val="20"/>
              </w:rPr>
              <w:t>Cost</w:t>
            </w:r>
          </w:p>
          <w:p w:rsidR="00484132" w:rsidRDefault="00484132" w:rsidP="007471A8">
            <w:pPr>
              <w:contextualSpacing/>
              <w:jc w:val="center"/>
              <w:rPr>
                <w:sz w:val="20"/>
              </w:rPr>
            </w:pPr>
            <w:r>
              <w:rPr>
                <w:sz w:val="20"/>
              </w:rPr>
              <w:t>per Position</w:t>
            </w:r>
          </w:p>
          <w:p w:rsidR="00484132" w:rsidRDefault="00484132" w:rsidP="007471A8">
            <w:pPr>
              <w:contextualSpacing/>
              <w:jc w:val="center"/>
              <w:rPr>
                <w:sz w:val="20"/>
              </w:rPr>
            </w:pPr>
            <w:r>
              <w:rPr>
                <w:sz w:val="20"/>
              </w:rPr>
              <w:t>($000)</w:t>
            </w:r>
          </w:p>
        </w:tc>
        <w:tc>
          <w:tcPr>
            <w:tcW w:w="1440" w:type="dxa"/>
            <w:vAlign w:val="center"/>
          </w:tcPr>
          <w:p w:rsidR="00484132" w:rsidRDefault="00484132" w:rsidP="007471A8">
            <w:pPr>
              <w:contextualSpacing/>
              <w:jc w:val="center"/>
              <w:rPr>
                <w:sz w:val="20"/>
              </w:rPr>
            </w:pPr>
            <w:r>
              <w:rPr>
                <w:sz w:val="20"/>
              </w:rPr>
              <w:t>Number of</w:t>
            </w:r>
          </w:p>
          <w:p w:rsidR="00484132" w:rsidRDefault="00484132" w:rsidP="007471A8">
            <w:pPr>
              <w:contextualSpacing/>
              <w:jc w:val="center"/>
              <w:rPr>
                <w:sz w:val="20"/>
              </w:rPr>
            </w:pPr>
            <w:r>
              <w:rPr>
                <w:sz w:val="20"/>
              </w:rPr>
              <w:t>Positions</w:t>
            </w:r>
          </w:p>
          <w:p w:rsidR="00484132" w:rsidRDefault="00484132" w:rsidP="007471A8">
            <w:pPr>
              <w:contextualSpacing/>
              <w:jc w:val="center"/>
              <w:rPr>
                <w:sz w:val="20"/>
              </w:rPr>
            </w:pPr>
            <w:r>
              <w:rPr>
                <w:sz w:val="20"/>
              </w:rPr>
              <w:t>Reduced</w:t>
            </w:r>
          </w:p>
        </w:tc>
        <w:tc>
          <w:tcPr>
            <w:tcW w:w="1530" w:type="dxa"/>
            <w:vAlign w:val="center"/>
          </w:tcPr>
          <w:p w:rsidR="00484132" w:rsidRDefault="00484132" w:rsidP="007471A8">
            <w:pPr>
              <w:contextualSpacing/>
              <w:jc w:val="center"/>
              <w:rPr>
                <w:sz w:val="20"/>
              </w:rPr>
            </w:pPr>
            <w:r>
              <w:rPr>
                <w:sz w:val="20"/>
              </w:rPr>
              <w:t>FY 2013</w:t>
            </w:r>
          </w:p>
          <w:p w:rsidR="00484132" w:rsidRDefault="00484132" w:rsidP="007471A8">
            <w:pPr>
              <w:contextualSpacing/>
              <w:jc w:val="center"/>
              <w:rPr>
                <w:sz w:val="20"/>
              </w:rPr>
            </w:pPr>
            <w:r>
              <w:rPr>
                <w:sz w:val="20"/>
              </w:rPr>
              <w:t>Request</w:t>
            </w:r>
          </w:p>
          <w:p w:rsidR="00484132" w:rsidRDefault="00484132" w:rsidP="007471A8">
            <w:pPr>
              <w:contextualSpacing/>
              <w:jc w:val="center"/>
              <w:rPr>
                <w:sz w:val="20"/>
              </w:rPr>
            </w:pPr>
            <w:r>
              <w:rPr>
                <w:sz w:val="20"/>
              </w:rPr>
              <w:t>($000)</w:t>
            </w:r>
          </w:p>
        </w:tc>
        <w:tc>
          <w:tcPr>
            <w:tcW w:w="1890"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189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6C7C76">
        <w:trPr>
          <w:jc w:val="center"/>
        </w:trPr>
        <w:tc>
          <w:tcPr>
            <w:tcW w:w="1987" w:type="dxa"/>
          </w:tcPr>
          <w:p w:rsidR="00484132" w:rsidRDefault="00484132" w:rsidP="007471A8">
            <w:pPr>
              <w:contextualSpacing/>
              <w:rPr>
                <w:sz w:val="20"/>
              </w:rPr>
            </w:pPr>
            <w:r>
              <w:rPr>
                <w:sz w:val="20"/>
              </w:rPr>
              <w:t>Special Agent</w:t>
            </w:r>
          </w:p>
        </w:tc>
        <w:tc>
          <w:tcPr>
            <w:tcW w:w="1433" w:type="dxa"/>
            <w:vAlign w:val="center"/>
          </w:tcPr>
          <w:p w:rsidR="00484132" w:rsidRDefault="00484132" w:rsidP="007471A8">
            <w:pPr>
              <w:contextualSpacing/>
              <w:jc w:val="right"/>
              <w:rPr>
                <w:sz w:val="20"/>
              </w:rPr>
            </w:pPr>
            <w:r>
              <w:rPr>
                <w:sz w:val="20"/>
              </w:rPr>
              <w:t>117</w:t>
            </w:r>
          </w:p>
        </w:tc>
        <w:tc>
          <w:tcPr>
            <w:tcW w:w="1440" w:type="dxa"/>
            <w:vAlign w:val="center"/>
          </w:tcPr>
          <w:p w:rsidR="00484132" w:rsidRDefault="00484132" w:rsidP="007471A8">
            <w:pPr>
              <w:contextualSpacing/>
              <w:jc w:val="right"/>
              <w:rPr>
                <w:sz w:val="20"/>
              </w:rPr>
            </w:pPr>
            <w:r>
              <w:rPr>
                <w:sz w:val="20"/>
              </w:rPr>
              <w:t>1</w:t>
            </w:r>
          </w:p>
        </w:tc>
        <w:tc>
          <w:tcPr>
            <w:tcW w:w="1530" w:type="dxa"/>
            <w:vAlign w:val="center"/>
          </w:tcPr>
          <w:p w:rsidR="00484132" w:rsidRDefault="00484132" w:rsidP="007471A8">
            <w:pPr>
              <w:contextualSpacing/>
              <w:jc w:val="right"/>
              <w:rPr>
                <w:sz w:val="20"/>
              </w:rPr>
            </w:pPr>
            <w:r>
              <w:rPr>
                <w:sz w:val="20"/>
              </w:rPr>
              <w:t>($117)</w:t>
            </w:r>
          </w:p>
        </w:tc>
        <w:tc>
          <w:tcPr>
            <w:tcW w:w="1890" w:type="dxa"/>
            <w:vAlign w:val="center"/>
          </w:tcPr>
          <w:p w:rsidR="00484132" w:rsidRDefault="00484132" w:rsidP="007471A8">
            <w:pPr>
              <w:contextualSpacing/>
              <w:jc w:val="right"/>
              <w:rPr>
                <w:sz w:val="20"/>
              </w:rPr>
            </w:pPr>
            <w:r>
              <w:rPr>
                <w:sz w:val="20"/>
              </w:rPr>
              <w:t>$…</w:t>
            </w:r>
          </w:p>
        </w:tc>
        <w:tc>
          <w:tcPr>
            <w:tcW w:w="1890" w:type="dxa"/>
          </w:tcPr>
          <w:p w:rsidR="00484132" w:rsidRDefault="00484132" w:rsidP="007471A8">
            <w:pPr>
              <w:contextualSpacing/>
              <w:jc w:val="right"/>
              <w:rPr>
                <w:sz w:val="20"/>
              </w:rPr>
            </w:pPr>
            <w:r>
              <w:rPr>
                <w:sz w:val="20"/>
              </w:rPr>
              <w:t>$…</w:t>
            </w:r>
          </w:p>
        </w:tc>
      </w:tr>
      <w:tr w:rsidR="00484132" w:rsidTr="006C7C76">
        <w:trPr>
          <w:jc w:val="center"/>
        </w:trPr>
        <w:tc>
          <w:tcPr>
            <w:tcW w:w="1987" w:type="dxa"/>
          </w:tcPr>
          <w:p w:rsidR="00484132" w:rsidRDefault="00484132" w:rsidP="007471A8">
            <w:pPr>
              <w:contextualSpacing/>
              <w:rPr>
                <w:sz w:val="20"/>
              </w:rPr>
            </w:pPr>
            <w:r>
              <w:rPr>
                <w:sz w:val="20"/>
              </w:rPr>
              <w:t>Intelligence Analyst</w:t>
            </w:r>
          </w:p>
        </w:tc>
        <w:tc>
          <w:tcPr>
            <w:tcW w:w="1433" w:type="dxa"/>
            <w:vAlign w:val="center"/>
          </w:tcPr>
          <w:p w:rsidR="00484132" w:rsidRDefault="00484132" w:rsidP="007471A8">
            <w:pPr>
              <w:contextualSpacing/>
              <w:jc w:val="right"/>
              <w:rPr>
                <w:sz w:val="20"/>
              </w:rPr>
            </w:pPr>
            <w:r>
              <w:rPr>
                <w:sz w:val="20"/>
              </w:rPr>
              <w:t>102</w:t>
            </w:r>
          </w:p>
        </w:tc>
        <w:tc>
          <w:tcPr>
            <w:tcW w:w="1440" w:type="dxa"/>
            <w:vAlign w:val="center"/>
          </w:tcPr>
          <w:p w:rsidR="00484132" w:rsidRDefault="00484132" w:rsidP="007471A8">
            <w:pPr>
              <w:contextualSpacing/>
              <w:jc w:val="right"/>
              <w:rPr>
                <w:sz w:val="20"/>
              </w:rPr>
            </w:pPr>
            <w:r>
              <w:rPr>
                <w:sz w:val="20"/>
              </w:rPr>
              <w:t>13</w:t>
            </w:r>
          </w:p>
        </w:tc>
        <w:tc>
          <w:tcPr>
            <w:tcW w:w="1530" w:type="dxa"/>
            <w:vAlign w:val="center"/>
          </w:tcPr>
          <w:p w:rsidR="00484132" w:rsidRDefault="00484132" w:rsidP="007471A8">
            <w:pPr>
              <w:contextualSpacing/>
              <w:jc w:val="right"/>
              <w:rPr>
                <w:sz w:val="20"/>
              </w:rPr>
            </w:pPr>
            <w:r>
              <w:rPr>
                <w:sz w:val="20"/>
              </w:rPr>
              <w:t>(1,326)</w:t>
            </w:r>
          </w:p>
        </w:tc>
        <w:tc>
          <w:tcPr>
            <w:tcW w:w="1890" w:type="dxa"/>
            <w:vAlign w:val="center"/>
          </w:tcPr>
          <w:p w:rsidR="00484132" w:rsidRDefault="00484132" w:rsidP="007471A8">
            <w:pPr>
              <w:contextualSpacing/>
              <w:jc w:val="right"/>
              <w:rPr>
                <w:sz w:val="20"/>
              </w:rPr>
            </w:pPr>
            <w:r>
              <w:rPr>
                <w:sz w:val="20"/>
              </w:rPr>
              <w:t>…</w:t>
            </w:r>
          </w:p>
        </w:tc>
        <w:tc>
          <w:tcPr>
            <w:tcW w:w="1890" w:type="dxa"/>
          </w:tcPr>
          <w:p w:rsidR="00484132" w:rsidRDefault="00484132" w:rsidP="007471A8">
            <w:pPr>
              <w:contextualSpacing/>
              <w:jc w:val="right"/>
              <w:rPr>
                <w:sz w:val="20"/>
              </w:rPr>
            </w:pPr>
            <w:r>
              <w:rPr>
                <w:sz w:val="20"/>
              </w:rPr>
              <w:t>…</w:t>
            </w:r>
          </w:p>
        </w:tc>
      </w:tr>
      <w:tr w:rsidR="00484132" w:rsidTr="006C7C76">
        <w:trPr>
          <w:jc w:val="center"/>
        </w:trPr>
        <w:tc>
          <w:tcPr>
            <w:tcW w:w="1987" w:type="dxa"/>
          </w:tcPr>
          <w:p w:rsidR="00484132" w:rsidRDefault="00484132" w:rsidP="007471A8">
            <w:pPr>
              <w:contextualSpacing/>
              <w:rPr>
                <w:sz w:val="20"/>
              </w:rPr>
            </w:pPr>
            <w:r>
              <w:rPr>
                <w:sz w:val="20"/>
              </w:rPr>
              <w:t>Professional Support</w:t>
            </w:r>
          </w:p>
        </w:tc>
        <w:tc>
          <w:tcPr>
            <w:tcW w:w="1433" w:type="dxa"/>
            <w:vAlign w:val="center"/>
          </w:tcPr>
          <w:p w:rsidR="00484132" w:rsidRDefault="00484132" w:rsidP="007471A8">
            <w:pPr>
              <w:contextualSpacing/>
              <w:jc w:val="right"/>
              <w:rPr>
                <w:sz w:val="20"/>
              </w:rPr>
            </w:pPr>
            <w:r>
              <w:rPr>
                <w:sz w:val="20"/>
              </w:rPr>
              <w:t>83</w:t>
            </w:r>
          </w:p>
        </w:tc>
        <w:tc>
          <w:tcPr>
            <w:tcW w:w="1440" w:type="dxa"/>
            <w:vAlign w:val="center"/>
          </w:tcPr>
          <w:p w:rsidR="00484132" w:rsidRDefault="00484132" w:rsidP="007471A8">
            <w:pPr>
              <w:contextualSpacing/>
              <w:jc w:val="right"/>
              <w:rPr>
                <w:sz w:val="20"/>
              </w:rPr>
            </w:pPr>
            <w:r>
              <w:rPr>
                <w:sz w:val="20"/>
              </w:rPr>
              <w:t>1</w:t>
            </w:r>
          </w:p>
        </w:tc>
        <w:tc>
          <w:tcPr>
            <w:tcW w:w="1530" w:type="dxa"/>
            <w:vAlign w:val="center"/>
          </w:tcPr>
          <w:p w:rsidR="00484132" w:rsidRDefault="00484132" w:rsidP="007471A8">
            <w:pPr>
              <w:contextualSpacing/>
              <w:jc w:val="right"/>
              <w:rPr>
                <w:sz w:val="20"/>
              </w:rPr>
            </w:pPr>
            <w:r>
              <w:rPr>
                <w:sz w:val="20"/>
              </w:rPr>
              <w:t>(83)</w:t>
            </w:r>
          </w:p>
        </w:tc>
        <w:tc>
          <w:tcPr>
            <w:tcW w:w="1890" w:type="dxa"/>
            <w:vAlign w:val="center"/>
          </w:tcPr>
          <w:p w:rsidR="00484132" w:rsidRDefault="00484132" w:rsidP="007471A8">
            <w:pPr>
              <w:contextualSpacing/>
              <w:jc w:val="right"/>
              <w:rPr>
                <w:sz w:val="20"/>
              </w:rPr>
            </w:pPr>
            <w:r>
              <w:rPr>
                <w:sz w:val="20"/>
              </w:rPr>
              <w:t>…</w:t>
            </w:r>
          </w:p>
        </w:tc>
        <w:tc>
          <w:tcPr>
            <w:tcW w:w="1890" w:type="dxa"/>
          </w:tcPr>
          <w:p w:rsidR="00484132" w:rsidRDefault="00484132" w:rsidP="007471A8">
            <w:pPr>
              <w:contextualSpacing/>
              <w:jc w:val="right"/>
              <w:rPr>
                <w:sz w:val="20"/>
              </w:rPr>
            </w:pPr>
            <w:r>
              <w:rPr>
                <w:sz w:val="20"/>
              </w:rPr>
              <w:t>…</w:t>
            </w:r>
          </w:p>
        </w:tc>
      </w:tr>
      <w:tr w:rsidR="00484132" w:rsidTr="006C7C76">
        <w:trPr>
          <w:jc w:val="center"/>
        </w:trPr>
        <w:tc>
          <w:tcPr>
            <w:tcW w:w="1987" w:type="dxa"/>
          </w:tcPr>
          <w:p w:rsidR="00484132" w:rsidRDefault="00484132" w:rsidP="007471A8">
            <w:pPr>
              <w:contextualSpacing/>
              <w:rPr>
                <w:sz w:val="20"/>
              </w:rPr>
            </w:pPr>
            <w:r>
              <w:rPr>
                <w:sz w:val="20"/>
              </w:rPr>
              <w:t>Total Personnel</w:t>
            </w:r>
          </w:p>
        </w:tc>
        <w:tc>
          <w:tcPr>
            <w:tcW w:w="1433" w:type="dxa"/>
            <w:vAlign w:val="center"/>
          </w:tcPr>
          <w:p w:rsidR="00484132" w:rsidRDefault="00484132" w:rsidP="007471A8">
            <w:pPr>
              <w:contextualSpacing/>
              <w:jc w:val="right"/>
              <w:rPr>
                <w:sz w:val="20"/>
              </w:rPr>
            </w:pPr>
          </w:p>
        </w:tc>
        <w:tc>
          <w:tcPr>
            <w:tcW w:w="1440" w:type="dxa"/>
            <w:vAlign w:val="center"/>
          </w:tcPr>
          <w:p w:rsidR="00484132" w:rsidRDefault="00484132" w:rsidP="007471A8">
            <w:pPr>
              <w:contextualSpacing/>
              <w:jc w:val="right"/>
              <w:rPr>
                <w:sz w:val="20"/>
              </w:rPr>
            </w:pPr>
          </w:p>
        </w:tc>
        <w:tc>
          <w:tcPr>
            <w:tcW w:w="1530" w:type="dxa"/>
            <w:vAlign w:val="center"/>
          </w:tcPr>
          <w:p w:rsidR="00484132" w:rsidRDefault="00484132" w:rsidP="007471A8">
            <w:pPr>
              <w:contextualSpacing/>
              <w:jc w:val="right"/>
              <w:rPr>
                <w:sz w:val="20"/>
              </w:rPr>
            </w:pPr>
            <w:r>
              <w:rPr>
                <w:sz w:val="20"/>
              </w:rPr>
              <w:t>($1,526)</w:t>
            </w:r>
          </w:p>
        </w:tc>
        <w:tc>
          <w:tcPr>
            <w:tcW w:w="1890" w:type="dxa"/>
            <w:vAlign w:val="center"/>
          </w:tcPr>
          <w:p w:rsidR="00484132" w:rsidRDefault="00484132" w:rsidP="007471A8">
            <w:pPr>
              <w:contextualSpacing/>
              <w:jc w:val="right"/>
              <w:rPr>
                <w:sz w:val="20"/>
              </w:rPr>
            </w:pPr>
            <w:r>
              <w:rPr>
                <w:sz w:val="20"/>
              </w:rPr>
              <w:t>$…</w:t>
            </w:r>
          </w:p>
        </w:tc>
        <w:tc>
          <w:tcPr>
            <w:tcW w:w="1890" w:type="dxa"/>
          </w:tcPr>
          <w:p w:rsidR="00484132" w:rsidRDefault="00484132" w:rsidP="007471A8">
            <w:pPr>
              <w:contextualSpacing/>
              <w:jc w:val="right"/>
              <w:rPr>
                <w:sz w:val="20"/>
              </w:rPr>
            </w:pPr>
            <w:r>
              <w:rPr>
                <w:sz w:val="20"/>
              </w:rPr>
              <w:t>$…</w:t>
            </w:r>
          </w:p>
        </w:tc>
      </w:tr>
    </w:tbl>
    <w:p w:rsidR="00484132" w:rsidRDefault="00484132" w:rsidP="007471A8">
      <w:pPr>
        <w:contextualSpacing/>
        <w:rPr>
          <w:sz w:val="20"/>
        </w:rPr>
      </w:pPr>
    </w:p>
    <w:p w:rsidR="00484132" w:rsidRDefault="00484132" w:rsidP="007471A8">
      <w:pPr>
        <w:pStyle w:val="xl24"/>
        <w:spacing w:before="0" w:after="0"/>
        <w:contextualSpacing/>
        <w:rPr>
          <w:rFonts w:eastAsia="Times New Roman"/>
        </w:rPr>
      </w:pPr>
      <w:r>
        <w:rPr>
          <w:rFonts w:eastAsia="Times New Roman"/>
        </w:rPr>
        <w:t>Non-Personnel Reduction Cost Summary</w:t>
      </w:r>
    </w:p>
    <w:p w:rsidR="00484132" w:rsidRDefault="00484132" w:rsidP="007471A8">
      <w:pPr>
        <w:contextualSpacing/>
        <w:rPr>
          <w:sz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6"/>
        <w:gridCol w:w="1344"/>
        <w:gridCol w:w="1530"/>
        <w:gridCol w:w="1530"/>
        <w:gridCol w:w="1890"/>
        <w:gridCol w:w="1890"/>
      </w:tblGrid>
      <w:tr w:rsidR="00484132" w:rsidTr="006C7C76">
        <w:trPr>
          <w:jc w:val="center"/>
        </w:trPr>
        <w:tc>
          <w:tcPr>
            <w:tcW w:w="1896" w:type="dxa"/>
            <w:shd w:val="clear" w:color="auto" w:fill="D9D9D9" w:themeFill="background1" w:themeFillShade="D9"/>
            <w:vAlign w:val="center"/>
          </w:tcPr>
          <w:p w:rsidR="00484132" w:rsidRDefault="00484132" w:rsidP="007471A8">
            <w:pPr>
              <w:contextualSpacing/>
              <w:jc w:val="center"/>
              <w:rPr>
                <w:sz w:val="20"/>
              </w:rPr>
            </w:pPr>
            <w:r>
              <w:rPr>
                <w:sz w:val="20"/>
              </w:rPr>
              <w:t>Non-Personnel Item</w:t>
            </w:r>
          </w:p>
        </w:tc>
        <w:tc>
          <w:tcPr>
            <w:tcW w:w="1344" w:type="dxa"/>
            <w:vAlign w:val="center"/>
          </w:tcPr>
          <w:p w:rsidR="00484132" w:rsidRDefault="00484132" w:rsidP="007471A8">
            <w:pPr>
              <w:contextualSpacing/>
              <w:jc w:val="center"/>
              <w:rPr>
                <w:sz w:val="20"/>
              </w:rPr>
            </w:pPr>
            <w:r>
              <w:rPr>
                <w:sz w:val="20"/>
              </w:rPr>
              <w:t>Unit</w:t>
            </w:r>
          </w:p>
        </w:tc>
        <w:tc>
          <w:tcPr>
            <w:tcW w:w="1530" w:type="dxa"/>
            <w:vAlign w:val="center"/>
          </w:tcPr>
          <w:p w:rsidR="00484132" w:rsidRDefault="00484132" w:rsidP="007471A8">
            <w:pPr>
              <w:contextualSpacing/>
              <w:jc w:val="center"/>
              <w:rPr>
                <w:sz w:val="20"/>
              </w:rPr>
            </w:pPr>
            <w:r>
              <w:rPr>
                <w:sz w:val="20"/>
              </w:rPr>
              <w:t>Quantity</w:t>
            </w:r>
          </w:p>
        </w:tc>
        <w:tc>
          <w:tcPr>
            <w:tcW w:w="1530" w:type="dxa"/>
            <w:vAlign w:val="center"/>
          </w:tcPr>
          <w:p w:rsidR="00484132" w:rsidRDefault="00484132" w:rsidP="007471A8">
            <w:pPr>
              <w:contextualSpacing/>
              <w:jc w:val="center"/>
              <w:rPr>
                <w:sz w:val="20"/>
              </w:rPr>
            </w:pPr>
            <w:r>
              <w:rPr>
                <w:sz w:val="20"/>
              </w:rPr>
              <w:t>FY 2013</w:t>
            </w:r>
          </w:p>
          <w:p w:rsidR="00484132" w:rsidRDefault="00484132" w:rsidP="007471A8">
            <w:pPr>
              <w:contextualSpacing/>
              <w:jc w:val="center"/>
              <w:rPr>
                <w:sz w:val="20"/>
              </w:rPr>
            </w:pPr>
            <w:r>
              <w:rPr>
                <w:sz w:val="20"/>
              </w:rPr>
              <w:t>Request</w:t>
            </w:r>
          </w:p>
          <w:p w:rsidR="00484132" w:rsidRDefault="00484132" w:rsidP="007471A8">
            <w:pPr>
              <w:contextualSpacing/>
              <w:jc w:val="center"/>
              <w:rPr>
                <w:sz w:val="20"/>
              </w:rPr>
            </w:pPr>
            <w:r>
              <w:rPr>
                <w:sz w:val="20"/>
              </w:rPr>
              <w:t>($000)</w:t>
            </w:r>
          </w:p>
        </w:tc>
        <w:tc>
          <w:tcPr>
            <w:tcW w:w="1890"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189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6C7C76">
        <w:trPr>
          <w:jc w:val="center"/>
        </w:trPr>
        <w:tc>
          <w:tcPr>
            <w:tcW w:w="1896" w:type="dxa"/>
          </w:tcPr>
          <w:p w:rsidR="00484132" w:rsidRDefault="00484132" w:rsidP="007471A8">
            <w:pPr>
              <w:contextualSpacing/>
              <w:rPr>
                <w:sz w:val="20"/>
              </w:rPr>
            </w:pPr>
            <w:r>
              <w:rPr>
                <w:sz w:val="20"/>
              </w:rPr>
              <w:t>NGIC</w:t>
            </w:r>
          </w:p>
        </w:tc>
        <w:tc>
          <w:tcPr>
            <w:tcW w:w="1344" w:type="dxa"/>
            <w:vAlign w:val="center"/>
          </w:tcPr>
          <w:p w:rsidR="00484132" w:rsidRDefault="00484132" w:rsidP="007471A8">
            <w:pPr>
              <w:pStyle w:val="xl19"/>
              <w:spacing w:before="0" w:after="0"/>
              <w:contextualSpacing/>
              <w:jc w:val="right"/>
              <w:rPr>
                <w:rFonts w:eastAsia="Times New Roman"/>
                <w:sz w:val="20"/>
                <w:szCs w:val="24"/>
              </w:rPr>
            </w:pPr>
            <w:r>
              <w:rPr>
                <w:rFonts w:eastAsia="Times New Roman"/>
                <w:sz w:val="20"/>
                <w:szCs w:val="24"/>
              </w:rPr>
              <w:t>n/a</w:t>
            </w:r>
          </w:p>
        </w:tc>
        <w:tc>
          <w:tcPr>
            <w:tcW w:w="1530" w:type="dxa"/>
            <w:vAlign w:val="center"/>
          </w:tcPr>
          <w:p w:rsidR="00484132" w:rsidRDefault="00484132" w:rsidP="007471A8">
            <w:pPr>
              <w:contextualSpacing/>
              <w:jc w:val="right"/>
              <w:rPr>
                <w:sz w:val="20"/>
              </w:rPr>
            </w:pPr>
            <w:r>
              <w:rPr>
                <w:sz w:val="20"/>
              </w:rPr>
              <w:t>n/a</w:t>
            </w:r>
          </w:p>
        </w:tc>
        <w:tc>
          <w:tcPr>
            <w:tcW w:w="1530" w:type="dxa"/>
            <w:vAlign w:val="center"/>
          </w:tcPr>
          <w:p w:rsidR="00484132" w:rsidRDefault="00484132" w:rsidP="007471A8">
            <w:pPr>
              <w:contextualSpacing/>
              <w:jc w:val="right"/>
              <w:rPr>
                <w:sz w:val="20"/>
              </w:rPr>
            </w:pPr>
            <w:r>
              <w:rPr>
                <w:sz w:val="20"/>
              </w:rPr>
              <w:t>($6,300)</w:t>
            </w:r>
          </w:p>
        </w:tc>
        <w:tc>
          <w:tcPr>
            <w:tcW w:w="1890" w:type="dxa"/>
            <w:vAlign w:val="center"/>
          </w:tcPr>
          <w:p w:rsidR="00484132" w:rsidRDefault="00484132" w:rsidP="007471A8">
            <w:pPr>
              <w:contextualSpacing/>
              <w:jc w:val="right"/>
              <w:rPr>
                <w:sz w:val="20"/>
              </w:rPr>
            </w:pPr>
            <w:r>
              <w:rPr>
                <w:sz w:val="20"/>
              </w:rPr>
              <w:t>$…</w:t>
            </w:r>
          </w:p>
        </w:tc>
        <w:tc>
          <w:tcPr>
            <w:tcW w:w="1890" w:type="dxa"/>
          </w:tcPr>
          <w:p w:rsidR="00484132" w:rsidRDefault="00484132" w:rsidP="007471A8">
            <w:pPr>
              <w:contextualSpacing/>
              <w:jc w:val="right"/>
              <w:rPr>
                <w:sz w:val="20"/>
              </w:rPr>
            </w:pPr>
            <w:r>
              <w:rPr>
                <w:sz w:val="20"/>
              </w:rPr>
              <w:t>$…</w:t>
            </w:r>
          </w:p>
        </w:tc>
      </w:tr>
      <w:tr w:rsidR="00484132" w:rsidTr="006C7C76">
        <w:trPr>
          <w:jc w:val="center"/>
        </w:trPr>
        <w:tc>
          <w:tcPr>
            <w:tcW w:w="1896" w:type="dxa"/>
          </w:tcPr>
          <w:p w:rsidR="00484132" w:rsidRDefault="00484132" w:rsidP="007471A8">
            <w:pPr>
              <w:contextualSpacing/>
              <w:rPr>
                <w:sz w:val="20"/>
              </w:rPr>
            </w:pPr>
            <w:r>
              <w:rPr>
                <w:sz w:val="20"/>
              </w:rPr>
              <w:t>Total Non-Personnel</w:t>
            </w:r>
          </w:p>
        </w:tc>
        <w:tc>
          <w:tcPr>
            <w:tcW w:w="1344" w:type="dxa"/>
            <w:vAlign w:val="center"/>
          </w:tcPr>
          <w:p w:rsidR="00484132" w:rsidRDefault="00484132" w:rsidP="007471A8">
            <w:pPr>
              <w:pStyle w:val="xl19"/>
              <w:spacing w:before="0" w:after="0"/>
              <w:contextualSpacing/>
              <w:jc w:val="right"/>
              <w:rPr>
                <w:rFonts w:eastAsia="Times New Roman"/>
                <w:sz w:val="20"/>
                <w:szCs w:val="24"/>
              </w:rPr>
            </w:pPr>
          </w:p>
        </w:tc>
        <w:tc>
          <w:tcPr>
            <w:tcW w:w="1530" w:type="dxa"/>
            <w:vAlign w:val="center"/>
          </w:tcPr>
          <w:p w:rsidR="00484132" w:rsidRDefault="00484132" w:rsidP="007471A8">
            <w:pPr>
              <w:contextualSpacing/>
              <w:jc w:val="right"/>
              <w:rPr>
                <w:sz w:val="20"/>
              </w:rPr>
            </w:pPr>
          </w:p>
        </w:tc>
        <w:tc>
          <w:tcPr>
            <w:tcW w:w="1530" w:type="dxa"/>
            <w:vAlign w:val="center"/>
          </w:tcPr>
          <w:p w:rsidR="00484132" w:rsidRDefault="00484132" w:rsidP="007471A8">
            <w:pPr>
              <w:contextualSpacing/>
              <w:jc w:val="right"/>
              <w:rPr>
                <w:sz w:val="20"/>
              </w:rPr>
            </w:pPr>
            <w:r>
              <w:rPr>
                <w:sz w:val="20"/>
              </w:rPr>
              <w:t>($6,300)</w:t>
            </w:r>
          </w:p>
        </w:tc>
        <w:tc>
          <w:tcPr>
            <w:tcW w:w="1890" w:type="dxa"/>
            <w:vAlign w:val="center"/>
          </w:tcPr>
          <w:p w:rsidR="00484132" w:rsidRDefault="00484132" w:rsidP="007471A8">
            <w:pPr>
              <w:contextualSpacing/>
              <w:jc w:val="right"/>
              <w:rPr>
                <w:sz w:val="20"/>
              </w:rPr>
            </w:pPr>
            <w:r>
              <w:rPr>
                <w:sz w:val="20"/>
              </w:rPr>
              <w:t>$…</w:t>
            </w:r>
          </w:p>
        </w:tc>
        <w:tc>
          <w:tcPr>
            <w:tcW w:w="1890" w:type="dxa"/>
          </w:tcPr>
          <w:p w:rsidR="00484132" w:rsidRDefault="00484132" w:rsidP="007471A8">
            <w:pPr>
              <w:contextualSpacing/>
              <w:jc w:val="right"/>
              <w:rPr>
                <w:sz w:val="20"/>
              </w:rPr>
            </w:pPr>
            <w:r>
              <w:rPr>
                <w:sz w:val="20"/>
              </w:rPr>
              <w:t>$…</w:t>
            </w:r>
          </w:p>
        </w:tc>
      </w:tr>
    </w:tbl>
    <w:p w:rsidR="00484132" w:rsidRDefault="00484132" w:rsidP="007471A8">
      <w:pPr>
        <w:contextualSpacing/>
        <w:rPr>
          <w:sz w:val="20"/>
        </w:rPr>
      </w:pPr>
    </w:p>
    <w:p w:rsidR="00484132" w:rsidRDefault="00484132" w:rsidP="007471A8">
      <w:pPr>
        <w:pStyle w:val="xl24"/>
        <w:spacing w:before="0" w:after="0"/>
        <w:contextualSpacing/>
        <w:rPr>
          <w:rFonts w:eastAsia="Times New Roman"/>
          <w:szCs w:val="24"/>
        </w:rPr>
      </w:pPr>
      <w:r>
        <w:rPr>
          <w:rFonts w:eastAsia="Times New Roman"/>
          <w:szCs w:val="24"/>
        </w:rPr>
        <w:t>Total Request for this Item</w:t>
      </w:r>
    </w:p>
    <w:p w:rsidR="00484132" w:rsidRDefault="00484132" w:rsidP="007471A8">
      <w:pPr>
        <w:pStyle w:val="xl24"/>
        <w:spacing w:before="0" w:after="0"/>
        <w:contextualSpacing/>
        <w:rPr>
          <w:rFonts w:eastAsia="Times New Roman"/>
          <w:szCs w:val="24"/>
        </w:r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6"/>
        <w:gridCol w:w="613"/>
        <w:gridCol w:w="959"/>
        <w:gridCol w:w="646"/>
        <w:gridCol w:w="1132"/>
        <w:gridCol w:w="1177"/>
        <w:gridCol w:w="960"/>
        <w:gridCol w:w="1872"/>
        <w:gridCol w:w="1890"/>
      </w:tblGrid>
      <w:tr w:rsidR="00484132" w:rsidTr="006C7C76">
        <w:trPr>
          <w:trHeight w:val="658"/>
          <w:jc w:val="center"/>
        </w:trPr>
        <w:tc>
          <w:tcPr>
            <w:tcW w:w="1596" w:type="dxa"/>
            <w:shd w:val="clear" w:color="auto" w:fill="D9D9D9" w:themeFill="background1" w:themeFillShade="D9"/>
          </w:tcPr>
          <w:p w:rsidR="00484132" w:rsidRDefault="00484132" w:rsidP="007471A8">
            <w:pPr>
              <w:contextualSpacing/>
              <w:rPr>
                <w:sz w:val="20"/>
              </w:rPr>
            </w:pPr>
          </w:p>
        </w:tc>
        <w:tc>
          <w:tcPr>
            <w:tcW w:w="613" w:type="dxa"/>
            <w:vAlign w:val="center"/>
          </w:tcPr>
          <w:p w:rsidR="00484132" w:rsidRDefault="00484132" w:rsidP="007471A8">
            <w:pPr>
              <w:contextualSpacing/>
              <w:jc w:val="center"/>
              <w:rPr>
                <w:sz w:val="20"/>
              </w:rPr>
            </w:pPr>
            <w:r>
              <w:rPr>
                <w:sz w:val="20"/>
              </w:rPr>
              <w:t>Pos</w:t>
            </w:r>
          </w:p>
        </w:tc>
        <w:tc>
          <w:tcPr>
            <w:tcW w:w="959" w:type="dxa"/>
            <w:vAlign w:val="center"/>
          </w:tcPr>
          <w:p w:rsidR="00484132" w:rsidRDefault="00484132" w:rsidP="007471A8">
            <w:pPr>
              <w:contextualSpacing/>
              <w:jc w:val="center"/>
              <w:rPr>
                <w:sz w:val="20"/>
              </w:rPr>
            </w:pPr>
          </w:p>
          <w:p w:rsidR="00484132" w:rsidRDefault="00484132" w:rsidP="007471A8">
            <w:pPr>
              <w:contextualSpacing/>
              <w:jc w:val="center"/>
              <w:rPr>
                <w:sz w:val="20"/>
              </w:rPr>
            </w:pPr>
            <w:r>
              <w:rPr>
                <w:sz w:val="20"/>
              </w:rPr>
              <w:t>Agt</w:t>
            </w:r>
          </w:p>
          <w:p w:rsidR="00484132" w:rsidRDefault="00484132" w:rsidP="007471A8">
            <w:pPr>
              <w:contextualSpacing/>
              <w:jc w:val="center"/>
              <w:rPr>
                <w:sz w:val="20"/>
              </w:rPr>
            </w:pPr>
          </w:p>
        </w:tc>
        <w:tc>
          <w:tcPr>
            <w:tcW w:w="646" w:type="dxa"/>
            <w:vAlign w:val="center"/>
          </w:tcPr>
          <w:p w:rsidR="00484132" w:rsidRDefault="00484132" w:rsidP="007471A8">
            <w:pPr>
              <w:contextualSpacing/>
              <w:jc w:val="center"/>
              <w:rPr>
                <w:sz w:val="20"/>
              </w:rPr>
            </w:pPr>
            <w:r>
              <w:rPr>
                <w:sz w:val="20"/>
              </w:rPr>
              <w:t>FTE</w:t>
            </w:r>
          </w:p>
        </w:tc>
        <w:tc>
          <w:tcPr>
            <w:tcW w:w="1132" w:type="dxa"/>
            <w:vAlign w:val="center"/>
          </w:tcPr>
          <w:p w:rsidR="00484132" w:rsidRDefault="00484132" w:rsidP="007471A8">
            <w:pPr>
              <w:contextualSpacing/>
              <w:jc w:val="center"/>
              <w:rPr>
                <w:sz w:val="20"/>
              </w:rPr>
            </w:pPr>
            <w:r>
              <w:rPr>
                <w:sz w:val="20"/>
              </w:rPr>
              <w:t>Personnel</w:t>
            </w:r>
          </w:p>
          <w:p w:rsidR="00484132" w:rsidRDefault="00484132" w:rsidP="007471A8">
            <w:pPr>
              <w:contextualSpacing/>
              <w:jc w:val="center"/>
              <w:rPr>
                <w:sz w:val="20"/>
              </w:rPr>
            </w:pPr>
            <w:r>
              <w:rPr>
                <w:sz w:val="20"/>
              </w:rPr>
              <w:t>($000)</w:t>
            </w:r>
          </w:p>
        </w:tc>
        <w:tc>
          <w:tcPr>
            <w:tcW w:w="1177" w:type="dxa"/>
            <w:vAlign w:val="center"/>
          </w:tcPr>
          <w:p w:rsidR="00484132" w:rsidRDefault="00484132" w:rsidP="007471A8">
            <w:pPr>
              <w:contextualSpacing/>
              <w:jc w:val="center"/>
              <w:rPr>
                <w:sz w:val="20"/>
              </w:rPr>
            </w:pPr>
            <w:r>
              <w:rPr>
                <w:sz w:val="20"/>
              </w:rPr>
              <w:t>Non-Personnel</w:t>
            </w:r>
          </w:p>
          <w:p w:rsidR="00484132" w:rsidRDefault="00484132" w:rsidP="007471A8">
            <w:pPr>
              <w:contextualSpacing/>
              <w:jc w:val="center"/>
              <w:rPr>
                <w:sz w:val="20"/>
              </w:rPr>
            </w:pPr>
            <w:r>
              <w:rPr>
                <w:sz w:val="20"/>
              </w:rPr>
              <w:t>($000)</w:t>
            </w:r>
          </w:p>
        </w:tc>
        <w:tc>
          <w:tcPr>
            <w:tcW w:w="960" w:type="dxa"/>
            <w:vAlign w:val="center"/>
          </w:tcPr>
          <w:p w:rsidR="00484132" w:rsidRDefault="00484132" w:rsidP="007471A8">
            <w:pPr>
              <w:contextualSpacing/>
              <w:jc w:val="center"/>
              <w:rPr>
                <w:sz w:val="20"/>
              </w:rPr>
            </w:pPr>
            <w:r>
              <w:rPr>
                <w:sz w:val="20"/>
              </w:rPr>
              <w:t>Total</w:t>
            </w:r>
          </w:p>
          <w:p w:rsidR="00484132" w:rsidRDefault="00484132" w:rsidP="007471A8">
            <w:pPr>
              <w:contextualSpacing/>
              <w:jc w:val="center"/>
              <w:rPr>
                <w:sz w:val="20"/>
              </w:rPr>
            </w:pPr>
            <w:r>
              <w:rPr>
                <w:sz w:val="20"/>
              </w:rPr>
              <w:t>($000)</w:t>
            </w:r>
          </w:p>
        </w:tc>
        <w:tc>
          <w:tcPr>
            <w:tcW w:w="1872"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189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6C7C76">
        <w:trPr>
          <w:trHeight w:val="215"/>
          <w:jc w:val="center"/>
        </w:trPr>
        <w:tc>
          <w:tcPr>
            <w:tcW w:w="1596" w:type="dxa"/>
          </w:tcPr>
          <w:p w:rsidR="00484132" w:rsidRDefault="00484132" w:rsidP="007471A8">
            <w:pPr>
              <w:contextualSpacing/>
              <w:rPr>
                <w:sz w:val="20"/>
              </w:rPr>
            </w:pPr>
            <w:r>
              <w:rPr>
                <w:sz w:val="20"/>
              </w:rPr>
              <w:t>Current Services</w:t>
            </w:r>
          </w:p>
        </w:tc>
        <w:tc>
          <w:tcPr>
            <w:tcW w:w="613" w:type="dxa"/>
            <w:vAlign w:val="center"/>
          </w:tcPr>
          <w:p w:rsidR="00484132" w:rsidRDefault="00484132" w:rsidP="007471A8">
            <w:pPr>
              <w:contextualSpacing/>
              <w:jc w:val="center"/>
              <w:rPr>
                <w:sz w:val="20"/>
              </w:rPr>
            </w:pPr>
            <w:r>
              <w:rPr>
                <w:sz w:val="20"/>
              </w:rPr>
              <w:t>15</w:t>
            </w:r>
          </w:p>
        </w:tc>
        <w:tc>
          <w:tcPr>
            <w:tcW w:w="959" w:type="dxa"/>
            <w:vAlign w:val="center"/>
          </w:tcPr>
          <w:p w:rsidR="00484132" w:rsidRDefault="00484132" w:rsidP="007471A8">
            <w:pPr>
              <w:contextualSpacing/>
              <w:jc w:val="center"/>
              <w:rPr>
                <w:sz w:val="20"/>
              </w:rPr>
            </w:pPr>
            <w:r>
              <w:rPr>
                <w:sz w:val="20"/>
              </w:rPr>
              <w:t>1</w:t>
            </w:r>
          </w:p>
        </w:tc>
        <w:tc>
          <w:tcPr>
            <w:tcW w:w="646" w:type="dxa"/>
            <w:vAlign w:val="center"/>
          </w:tcPr>
          <w:p w:rsidR="00484132" w:rsidRDefault="00484132" w:rsidP="007471A8">
            <w:pPr>
              <w:contextualSpacing/>
              <w:jc w:val="center"/>
              <w:rPr>
                <w:sz w:val="20"/>
              </w:rPr>
            </w:pPr>
            <w:r>
              <w:rPr>
                <w:sz w:val="20"/>
              </w:rPr>
              <w:t>15</w:t>
            </w:r>
          </w:p>
        </w:tc>
        <w:tc>
          <w:tcPr>
            <w:tcW w:w="1132" w:type="dxa"/>
            <w:vAlign w:val="center"/>
          </w:tcPr>
          <w:p w:rsidR="00484132" w:rsidRDefault="00484132" w:rsidP="007471A8">
            <w:pPr>
              <w:contextualSpacing/>
              <w:jc w:val="right"/>
              <w:rPr>
                <w:sz w:val="20"/>
              </w:rPr>
            </w:pPr>
            <w:r>
              <w:rPr>
                <w:sz w:val="20"/>
              </w:rPr>
              <w:t>$1,526</w:t>
            </w:r>
          </w:p>
        </w:tc>
        <w:tc>
          <w:tcPr>
            <w:tcW w:w="1177" w:type="dxa"/>
            <w:vAlign w:val="center"/>
          </w:tcPr>
          <w:p w:rsidR="00484132" w:rsidRDefault="00484132" w:rsidP="007471A8">
            <w:pPr>
              <w:contextualSpacing/>
              <w:jc w:val="right"/>
              <w:rPr>
                <w:sz w:val="20"/>
              </w:rPr>
            </w:pPr>
            <w:r>
              <w:rPr>
                <w:sz w:val="20"/>
              </w:rPr>
              <w:t>$6,300</w:t>
            </w:r>
          </w:p>
        </w:tc>
        <w:tc>
          <w:tcPr>
            <w:tcW w:w="960" w:type="dxa"/>
            <w:vAlign w:val="center"/>
          </w:tcPr>
          <w:p w:rsidR="00484132" w:rsidRDefault="00484132" w:rsidP="007471A8">
            <w:pPr>
              <w:contextualSpacing/>
              <w:jc w:val="right"/>
              <w:rPr>
                <w:sz w:val="20"/>
              </w:rPr>
            </w:pPr>
            <w:r>
              <w:rPr>
                <w:sz w:val="20"/>
              </w:rPr>
              <w:t>$7,826</w:t>
            </w:r>
          </w:p>
        </w:tc>
        <w:tc>
          <w:tcPr>
            <w:tcW w:w="1872" w:type="dxa"/>
            <w:vAlign w:val="center"/>
          </w:tcPr>
          <w:p w:rsidR="00484132" w:rsidRDefault="00484132" w:rsidP="007471A8">
            <w:pPr>
              <w:contextualSpacing/>
              <w:jc w:val="right"/>
              <w:rPr>
                <w:sz w:val="20"/>
              </w:rPr>
            </w:pPr>
            <w:r>
              <w:rPr>
                <w:sz w:val="20"/>
              </w:rPr>
              <w:t>$…</w:t>
            </w:r>
          </w:p>
        </w:tc>
        <w:tc>
          <w:tcPr>
            <w:tcW w:w="1890" w:type="dxa"/>
            <w:vAlign w:val="center"/>
          </w:tcPr>
          <w:p w:rsidR="00484132" w:rsidRDefault="00484132" w:rsidP="007471A8">
            <w:pPr>
              <w:contextualSpacing/>
              <w:jc w:val="right"/>
              <w:rPr>
                <w:sz w:val="20"/>
              </w:rPr>
            </w:pPr>
            <w:r>
              <w:rPr>
                <w:sz w:val="20"/>
              </w:rPr>
              <w:t>$…</w:t>
            </w:r>
          </w:p>
        </w:tc>
      </w:tr>
      <w:tr w:rsidR="00484132" w:rsidTr="006C7C76">
        <w:trPr>
          <w:trHeight w:val="215"/>
          <w:jc w:val="center"/>
        </w:trPr>
        <w:tc>
          <w:tcPr>
            <w:tcW w:w="1596" w:type="dxa"/>
          </w:tcPr>
          <w:p w:rsidR="00484132" w:rsidRDefault="00484132" w:rsidP="007471A8">
            <w:pPr>
              <w:contextualSpacing/>
              <w:rPr>
                <w:sz w:val="20"/>
              </w:rPr>
            </w:pPr>
            <w:r>
              <w:rPr>
                <w:sz w:val="20"/>
              </w:rPr>
              <w:t>Decreases</w:t>
            </w:r>
          </w:p>
        </w:tc>
        <w:tc>
          <w:tcPr>
            <w:tcW w:w="613" w:type="dxa"/>
            <w:vAlign w:val="center"/>
          </w:tcPr>
          <w:p w:rsidR="00484132" w:rsidRDefault="00484132" w:rsidP="007471A8">
            <w:pPr>
              <w:contextualSpacing/>
              <w:jc w:val="center"/>
              <w:rPr>
                <w:sz w:val="20"/>
              </w:rPr>
            </w:pPr>
            <w:r>
              <w:rPr>
                <w:sz w:val="20"/>
              </w:rPr>
              <w:t>(15)</w:t>
            </w:r>
          </w:p>
        </w:tc>
        <w:tc>
          <w:tcPr>
            <w:tcW w:w="959" w:type="dxa"/>
            <w:vAlign w:val="center"/>
          </w:tcPr>
          <w:p w:rsidR="00484132" w:rsidRDefault="00484132" w:rsidP="007471A8">
            <w:pPr>
              <w:contextualSpacing/>
              <w:jc w:val="center"/>
              <w:rPr>
                <w:sz w:val="20"/>
              </w:rPr>
            </w:pPr>
            <w:r>
              <w:rPr>
                <w:sz w:val="20"/>
              </w:rPr>
              <w:t>(1)</w:t>
            </w:r>
          </w:p>
        </w:tc>
        <w:tc>
          <w:tcPr>
            <w:tcW w:w="646" w:type="dxa"/>
            <w:vAlign w:val="center"/>
          </w:tcPr>
          <w:p w:rsidR="00484132" w:rsidRDefault="00484132" w:rsidP="007471A8">
            <w:pPr>
              <w:contextualSpacing/>
              <w:jc w:val="center"/>
              <w:rPr>
                <w:sz w:val="20"/>
              </w:rPr>
            </w:pPr>
            <w:r>
              <w:rPr>
                <w:sz w:val="20"/>
              </w:rPr>
              <w:t>(15)</w:t>
            </w:r>
          </w:p>
        </w:tc>
        <w:tc>
          <w:tcPr>
            <w:tcW w:w="1132" w:type="dxa"/>
            <w:vAlign w:val="center"/>
          </w:tcPr>
          <w:p w:rsidR="00484132" w:rsidRDefault="00484132" w:rsidP="007471A8">
            <w:pPr>
              <w:contextualSpacing/>
              <w:jc w:val="right"/>
              <w:rPr>
                <w:sz w:val="20"/>
              </w:rPr>
            </w:pPr>
            <w:r>
              <w:rPr>
                <w:sz w:val="20"/>
              </w:rPr>
              <w:t>(1,526)</w:t>
            </w:r>
          </w:p>
        </w:tc>
        <w:tc>
          <w:tcPr>
            <w:tcW w:w="1177" w:type="dxa"/>
            <w:vAlign w:val="center"/>
          </w:tcPr>
          <w:p w:rsidR="00484132" w:rsidRDefault="00484132" w:rsidP="007471A8">
            <w:pPr>
              <w:contextualSpacing/>
              <w:jc w:val="right"/>
              <w:rPr>
                <w:sz w:val="20"/>
              </w:rPr>
            </w:pPr>
            <w:r>
              <w:rPr>
                <w:sz w:val="20"/>
              </w:rPr>
              <w:t>(6,300)</w:t>
            </w:r>
          </w:p>
        </w:tc>
        <w:tc>
          <w:tcPr>
            <w:tcW w:w="960" w:type="dxa"/>
            <w:vAlign w:val="center"/>
          </w:tcPr>
          <w:p w:rsidR="00484132" w:rsidRDefault="00484132" w:rsidP="007471A8">
            <w:pPr>
              <w:contextualSpacing/>
              <w:jc w:val="right"/>
              <w:rPr>
                <w:sz w:val="20"/>
              </w:rPr>
            </w:pPr>
            <w:r>
              <w:rPr>
                <w:sz w:val="20"/>
              </w:rPr>
              <w:t>(7,826)</w:t>
            </w:r>
          </w:p>
        </w:tc>
        <w:tc>
          <w:tcPr>
            <w:tcW w:w="1872" w:type="dxa"/>
            <w:vAlign w:val="center"/>
          </w:tcPr>
          <w:p w:rsidR="00484132" w:rsidRDefault="00484132" w:rsidP="007471A8">
            <w:pPr>
              <w:contextualSpacing/>
              <w:jc w:val="right"/>
              <w:rPr>
                <w:sz w:val="20"/>
              </w:rPr>
            </w:pPr>
            <w:r>
              <w:rPr>
                <w:sz w:val="20"/>
              </w:rPr>
              <w:t>…</w:t>
            </w:r>
          </w:p>
        </w:tc>
        <w:tc>
          <w:tcPr>
            <w:tcW w:w="1890" w:type="dxa"/>
            <w:vAlign w:val="center"/>
          </w:tcPr>
          <w:p w:rsidR="00484132" w:rsidRDefault="00484132" w:rsidP="007471A8">
            <w:pPr>
              <w:contextualSpacing/>
              <w:jc w:val="right"/>
              <w:rPr>
                <w:sz w:val="20"/>
              </w:rPr>
            </w:pPr>
            <w:r>
              <w:rPr>
                <w:sz w:val="20"/>
              </w:rPr>
              <w:t>…</w:t>
            </w:r>
          </w:p>
        </w:tc>
      </w:tr>
      <w:tr w:rsidR="00484132" w:rsidTr="006C7C76">
        <w:trPr>
          <w:trHeight w:val="215"/>
          <w:jc w:val="center"/>
        </w:trPr>
        <w:tc>
          <w:tcPr>
            <w:tcW w:w="1596" w:type="dxa"/>
          </w:tcPr>
          <w:p w:rsidR="00484132" w:rsidRDefault="00484132" w:rsidP="007471A8">
            <w:pPr>
              <w:contextualSpacing/>
              <w:rPr>
                <w:sz w:val="20"/>
              </w:rPr>
            </w:pPr>
            <w:r>
              <w:rPr>
                <w:sz w:val="20"/>
              </w:rPr>
              <w:t>Grand Total</w:t>
            </w:r>
          </w:p>
        </w:tc>
        <w:tc>
          <w:tcPr>
            <w:tcW w:w="613" w:type="dxa"/>
            <w:vAlign w:val="center"/>
          </w:tcPr>
          <w:p w:rsidR="00484132" w:rsidRDefault="00484132" w:rsidP="007471A8">
            <w:pPr>
              <w:contextualSpacing/>
              <w:jc w:val="center"/>
              <w:rPr>
                <w:sz w:val="20"/>
              </w:rPr>
            </w:pPr>
            <w:r>
              <w:rPr>
                <w:sz w:val="20"/>
              </w:rPr>
              <w:t>…</w:t>
            </w:r>
          </w:p>
        </w:tc>
        <w:tc>
          <w:tcPr>
            <w:tcW w:w="959" w:type="dxa"/>
            <w:vAlign w:val="center"/>
          </w:tcPr>
          <w:p w:rsidR="00484132" w:rsidRDefault="00484132" w:rsidP="007471A8">
            <w:pPr>
              <w:contextualSpacing/>
              <w:jc w:val="center"/>
              <w:rPr>
                <w:sz w:val="20"/>
              </w:rPr>
            </w:pPr>
            <w:r>
              <w:rPr>
                <w:sz w:val="20"/>
              </w:rPr>
              <w:t>…</w:t>
            </w:r>
          </w:p>
        </w:tc>
        <w:tc>
          <w:tcPr>
            <w:tcW w:w="646" w:type="dxa"/>
            <w:vAlign w:val="center"/>
          </w:tcPr>
          <w:p w:rsidR="00484132" w:rsidRDefault="00484132" w:rsidP="007471A8">
            <w:pPr>
              <w:contextualSpacing/>
              <w:jc w:val="center"/>
              <w:rPr>
                <w:sz w:val="20"/>
              </w:rPr>
            </w:pPr>
            <w:r>
              <w:rPr>
                <w:sz w:val="20"/>
              </w:rPr>
              <w:t>…</w:t>
            </w:r>
          </w:p>
        </w:tc>
        <w:tc>
          <w:tcPr>
            <w:tcW w:w="1132" w:type="dxa"/>
            <w:vAlign w:val="center"/>
          </w:tcPr>
          <w:p w:rsidR="00484132" w:rsidRDefault="00484132" w:rsidP="007471A8">
            <w:pPr>
              <w:contextualSpacing/>
              <w:jc w:val="right"/>
              <w:rPr>
                <w:sz w:val="20"/>
              </w:rPr>
            </w:pPr>
            <w:r>
              <w:rPr>
                <w:sz w:val="20"/>
              </w:rPr>
              <w:t>$…</w:t>
            </w:r>
          </w:p>
        </w:tc>
        <w:tc>
          <w:tcPr>
            <w:tcW w:w="1177" w:type="dxa"/>
            <w:vAlign w:val="center"/>
          </w:tcPr>
          <w:p w:rsidR="00484132" w:rsidRDefault="00484132" w:rsidP="007471A8">
            <w:pPr>
              <w:contextualSpacing/>
              <w:jc w:val="right"/>
              <w:rPr>
                <w:sz w:val="20"/>
              </w:rPr>
            </w:pPr>
            <w:r>
              <w:rPr>
                <w:sz w:val="20"/>
              </w:rPr>
              <w:t>$…</w:t>
            </w:r>
          </w:p>
        </w:tc>
        <w:tc>
          <w:tcPr>
            <w:tcW w:w="960" w:type="dxa"/>
            <w:vAlign w:val="center"/>
          </w:tcPr>
          <w:p w:rsidR="00484132" w:rsidRDefault="00484132" w:rsidP="007471A8">
            <w:pPr>
              <w:contextualSpacing/>
              <w:jc w:val="right"/>
              <w:rPr>
                <w:sz w:val="20"/>
              </w:rPr>
            </w:pPr>
            <w:r>
              <w:rPr>
                <w:sz w:val="20"/>
              </w:rPr>
              <w:t>$…</w:t>
            </w:r>
          </w:p>
        </w:tc>
        <w:tc>
          <w:tcPr>
            <w:tcW w:w="1872" w:type="dxa"/>
            <w:vAlign w:val="center"/>
          </w:tcPr>
          <w:p w:rsidR="00484132" w:rsidRDefault="00484132" w:rsidP="007471A8">
            <w:pPr>
              <w:contextualSpacing/>
              <w:jc w:val="right"/>
              <w:rPr>
                <w:sz w:val="20"/>
              </w:rPr>
            </w:pPr>
            <w:r>
              <w:rPr>
                <w:sz w:val="20"/>
              </w:rPr>
              <w:t>$…</w:t>
            </w:r>
          </w:p>
        </w:tc>
        <w:tc>
          <w:tcPr>
            <w:tcW w:w="1890" w:type="dxa"/>
            <w:vAlign w:val="center"/>
          </w:tcPr>
          <w:p w:rsidR="00484132" w:rsidRDefault="00484132" w:rsidP="007471A8">
            <w:pPr>
              <w:contextualSpacing/>
              <w:jc w:val="right"/>
              <w:rPr>
                <w:sz w:val="20"/>
              </w:rPr>
            </w:pPr>
            <w:r>
              <w:rPr>
                <w:sz w:val="20"/>
              </w:rPr>
              <w:t>$…</w:t>
            </w:r>
          </w:p>
        </w:tc>
      </w:tr>
    </w:tbl>
    <w:p w:rsidR="00D020D3" w:rsidRDefault="00D020D3" w:rsidP="007471A8">
      <w:pPr>
        <w:tabs>
          <w:tab w:val="left" w:pos="3690"/>
        </w:tabs>
        <w:contextualSpacing/>
        <w:rPr>
          <w:b/>
        </w:rPr>
      </w:pPr>
    </w:p>
    <w:p w:rsidR="00D020D3" w:rsidRDefault="00D020D3" w:rsidP="007471A8">
      <w:pPr>
        <w:contextualSpacing/>
        <w:rPr>
          <w:b/>
        </w:rPr>
      </w:pPr>
      <w:r>
        <w:rPr>
          <w:b/>
        </w:rPr>
        <w:br w:type="page"/>
      </w:r>
    </w:p>
    <w:p w:rsidR="00484132" w:rsidRDefault="00484132" w:rsidP="004E63AB">
      <w:pPr>
        <w:tabs>
          <w:tab w:val="left" w:pos="3845"/>
        </w:tabs>
        <w:contextualSpacing/>
        <w:rPr>
          <w:b/>
        </w:rPr>
      </w:pPr>
      <w:bookmarkStart w:id="20" w:name="Relocation_Program"/>
      <w:bookmarkEnd w:id="20"/>
      <w:r w:rsidRPr="00265935">
        <w:rPr>
          <w:b/>
        </w:rPr>
        <w:lastRenderedPageBreak/>
        <w:t xml:space="preserve">Item Name: </w:t>
      </w:r>
      <w:r w:rsidR="004E63AB">
        <w:rPr>
          <w:b/>
        </w:rPr>
        <w:tab/>
      </w:r>
      <w:r>
        <w:rPr>
          <w:b/>
          <w:u w:val="single"/>
        </w:rPr>
        <w:t>Relocation Program</w:t>
      </w:r>
    </w:p>
    <w:p w:rsidR="00484132" w:rsidRPr="00717A1F" w:rsidRDefault="00484132" w:rsidP="004E63AB">
      <w:pPr>
        <w:tabs>
          <w:tab w:val="left" w:pos="3845"/>
        </w:tabs>
        <w:contextualSpacing/>
        <w:rPr>
          <w:u w:val="single"/>
        </w:rPr>
      </w:pPr>
      <w:r>
        <w:t>Budget Decision Unit(s):</w:t>
      </w:r>
      <w:r w:rsidR="004E63AB">
        <w:tab/>
      </w:r>
      <w:r w:rsidRPr="00717A1F">
        <w:rPr>
          <w:u w:val="single"/>
        </w:rPr>
        <w:t>All</w:t>
      </w:r>
    </w:p>
    <w:p w:rsidR="00484132" w:rsidRDefault="00484132" w:rsidP="004E63AB">
      <w:pPr>
        <w:tabs>
          <w:tab w:val="left" w:pos="3845"/>
        </w:tabs>
        <w:contextualSpacing/>
      </w:pPr>
      <w:r>
        <w:t>Strategic Goal(s) &amp; Objective(s):</w:t>
      </w:r>
      <w:r w:rsidR="00495068">
        <w:tab/>
      </w:r>
      <w:r>
        <w:t>1.1, 1.2, 1.4, 2.1, 2.2, 2.3, 2.4, 2.5, 2.6</w:t>
      </w:r>
    </w:p>
    <w:p w:rsidR="00484132" w:rsidRPr="00717A1F" w:rsidRDefault="00484132" w:rsidP="004E63AB">
      <w:pPr>
        <w:tabs>
          <w:tab w:val="left" w:pos="3845"/>
        </w:tabs>
        <w:contextualSpacing/>
        <w:rPr>
          <w:u w:val="single"/>
        </w:rPr>
      </w:pPr>
      <w:r>
        <w:t>Organizational Program:</w:t>
      </w:r>
      <w:r w:rsidR="004E63AB">
        <w:tab/>
      </w:r>
      <w:r>
        <w:rPr>
          <w:u w:val="single"/>
        </w:rPr>
        <w:t>Human Resources</w:t>
      </w:r>
    </w:p>
    <w:p w:rsidR="00484132" w:rsidRDefault="00484132" w:rsidP="007471A8">
      <w:pPr>
        <w:contextualSpacing/>
        <w:rPr>
          <w:u w:val="single"/>
        </w:rPr>
      </w:pPr>
    </w:p>
    <w:p w:rsidR="00484132" w:rsidRDefault="00484132" w:rsidP="007471A8">
      <w:pPr>
        <w:contextualSpacing/>
      </w:pPr>
      <w:r>
        <w:t xml:space="preserve">Program Reduction:  Positions </w:t>
      </w:r>
      <w:r>
        <w:rPr>
          <w:u w:val="single"/>
        </w:rPr>
        <w:t>0</w:t>
      </w:r>
      <w:r w:rsidRPr="003A6A63">
        <w:t xml:space="preserve"> </w:t>
      </w:r>
      <w:r>
        <w:t xml:space="preserve">Agt </w:t>
      </w:r>
      <w:r>
        <w:rPr>
          <w:u w:val="single"/>
        </w:rPr>
        <w:t>0</w:t>
      </w:r>
      <w:r>
        <w:t xml:space="preserve"> FTE </w:t>
      </w:r>
      <w:r>
        <w:rPr>
          <w:u w:val="single"/>
        </w:rPr>
        <w:t>0</w:t>
      </w:r>
      <w:r w:rsidR="003A6A63">
        <w:t xml:space="preserve"> </w:t>
      </w:r>
      <w:r>
        <w:t xml:space="preserve">Dollars </w:t>
      </w:r>
      <w:r w:rsidRPr="0008642F">
        <w:rPr>
          <w:u w:val="single"/>
        </w:rPr>
        <w:t>($</w:t>
      </w:r>
      <w:r>
        <w:rPr>
          <w:u w:val="single"/>
        </w:rPr>
        <w:t>5,000,</w:t>
      </w:r>
      <w:r w:rsidRPr="005056BA">
        <w:rPr>
          <w:u w:val="single"/>
        </w:rPr>
        <w:t>000)</w:t>
      </w:r>
      <w:r w:rsidRPr="00842C48">
        <w:t xml:space="preserve"> (all non-personnel)</w:t>
      </w:r>
    </w:p>
    <w:p w:rsidR="00484132" w:rsidRDefault="00484132" w:rsidP="007471A8">
      <w:pPr>
        <w:contextualSpacing/>
      </w:pPr>
    </w:p>
    <w:p w:rsidR="00484132" w:rsidRDefault="00484132" w:rsidP="007471A8">
      <w:pPr>
        <w:contextualSpacing/>
        <w:rPr>
          <w:u w:val="single"/>
        </w:rPr>
      </w:pPr>
      <w:r w:rsidRPr="007C0343">
        <w:rPr>
          <w:u w:val="single"/>
        </w:rPr>
        <w:t>Description of Item</w:t>
      </w:r>
      <w:r>
        <w:rPr>
          <w:u w:val="single"/>
        </w:rPr>
        <w:t xml:space="preserve"> </w:t>
      </w:r>
    </w:p>
    <w:p w:rsidR="00484132" w:rsidRPr="00FA7D56" w:rsidRDefault="00860A69" w:rsidP="007471A8">
      <w:pPr>
        <w:contextualSpacing/>
      </w:pPr>
      <w:r>
        <w:t>T</w:t>
      </w:r>
      <w:r w:rsidR="00484132">
        <w:t xml:space="preserve">he Budget proposes to reduce $5,000,000 (all non-personnel) to the FBI’s Employee Relocation Program.  </w:t>
      </w:r>
      <w:r w:rsidR="00484132" w:rsidRPr="00FA7D56">
        <w:t xml:space="preserve">The </w:t>
      </w:r>
      <w:r w:rsidR="00484132">
        <w:t>Employee Relocation Program</w:t>
      </w:r>
      <w:r w:rsidR="00484132" w:rsidRPr="00FA7D56">
        <w:t xml:space="preserve"> </w:t>
      </w:r>
      <w:r w:rsidR="00484132">
        <w:t>strategically relocates staff</w:t>
      </w:r>
      <w:r w:rsidR="00484132" w:rsidRPr="00FA7D56">
        <w:t xml:space="preserve"> to meet the organization</w:t>
      </w:r>
      <w:r w:rsidR="00484132">
        <w:t>al</w:t>
      </w:r>
      <w:r w:rsidR="00484132" w:rsidRPr="00FA7D56">
        <w:t xml:space="preserve"> needs of the FBI</w:t>
      </w:r>
      <w:r w:rsidR="00484132">
        <w:t xml:space="preserve"> by ensuring FBI field offices and programs are optimally staffed to carry out the FBI’s mission requirements</w:t>
      </w:r>
      <w:r w:rsidR="00484132" w:rsidRPr="00FA7D56">
        <w:t>.</w:t>
      </w:r>
      <w:r w:rsidR="00484132">
        <w:t xml:space="preserve">  </w:t>
      </w:r>
    </w:p>
    <w:p w:rsidR="00484132" w:rsidRDefault="00484132" w:rsidP="007471A8">
      <w:pPr>
        <w:contextualSpacing/>
      </w:pPr>
    </w:p>
    <w:p w:rsidR="00484132" w:rsidRPr="00B22A60" w:rsidRDefault="00484132" w:rsidP="007471A8">
      <w:pPr>
        <w:contextualSpacing/>
      </w:pPr>
      <w:r w:rsidRPr="007C0343">
        <w:rPr>
          <w:u w:val="single"/>
        </w:rPr>
        <w:t xml:space="preserve">Impact on </w:t>
      </w:r>
      <w:r w:rsidRPr="00B9283E">
        <w:rPr>
          <w:u w:val="single"/>
        </w:rPr>
        <w:t>Performance</w:t>
      </w:r>
      <w:r w:rsidRPr="007C0343">
        <w:tab/>
      </w:r>
    </w:p>
    <w:p w:rsidR="00D020D3" w:rsidRDefault="00860A69" w:rsidP="007471A8">
      <w:pPr>
        <w:contextualSpacing/>
      </w:pPr>
      <w:r>
        <w:t>The FBI will attempt to minimize the impact by prioritizing agent relocations for mission critical programs.</w:t>
      </w:r>
      <w:r w:rsidR="00D020D3">
        <w:br w:type="page"/>
      </w:r>
    </w:p>
    <w:p w:rsidR="00484132" w:rsidRDefault="00484132" w:rsidP="007471A8">
      <w:pPr>
        <w:contextualSpacing/>
        <w:jc w:val="center"/>
        <w:rPr>
          <w:b/>
          <w:bCs/>
          <w:color w:val="000000"/>
        </w:rPr>
      </w:pPr>
      <w:r w:rsidRPr="002E00BD">
        <w:rPr>
          <w:b/>
          <w:bCs/>
          <w:color w:val="000000"/>
        </w:rPr>
        <w:lastRenderedPageBreak/>
        <w:t>Funding</w:t>
      </w:r>
    </w:p>
    <w:p w:rsidR="00484132" w:rsidRPr="002E00BD" w:rsidRDefault="00484132" w:rsidP="007471A8">
      <w:pPr>
        <w:pStyle w:val="xl24"/>
        <w:spacing w:before="0" w:after="0"/>
        <w:contextualSpacing/>
        <w:rPr>
          <w:color w:val="000000"/>
          <w:szCs w:val="24"/>
        </w:rPr>
      </w:pPr>
      <w:r w:rsidRPr="002E00BD">
        <w:rPr>
          <w:color w:val="000000"/>
          <w:szCs w:val="24"/>
        </w:rPr>
        <w:t>Base Funding</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16"/>
        <w:gridCol w:w="572"/>
        <w:gridCol w:w="966"/>
        <w:gridCol w:w="506"/>
        <w:gridCol w:w="516"/>
        <w:gridCol w:w="572"/>
        <w:gridCol w:w="966"/>
        <w:gridCol w:w="506"/>
        <w:gridCol w:w="516"/>
        <w:gridCol w:w="572"/>
        <w:gridCol w:w="966"/>
      </w:tblGrid>
      <w:tr w:rsidR="00484132" w:rsidRPr="002E00BD" w:rsidTr="006C7C76">
        <w:trPr>
          <w:trHeight w:val="255"/>
          <w:jc w:val="center"/>
        </w:trPr>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1</w:t>
            </w:r>
            <w:r w:rsidRPr="008C3073">
              <w:rPr>
                <w:sz w:val="20"/>
                <w:szCs w:val="20"/>
              </w:rPr>
              <w:t xml:space="preserve"> 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2</w:t>
            </w:r>
            <w:r w:rsidRPr="008C3073">
              <w:rPr>
                <w:sz w:val="20"/>
                <w:szCs w:val="20"/>
              </w:rPr>
              <w:t xml:space="preserve"> </w:t>
            </w:r>
            <w:r w:rsidR="00860A69">
              <w:rPr>
                <w:sz w:val="20"/>
                <w:szCs w:val="20"/>
              </w:rPr>
              <w:t xml:space="preserve"> Enacted</w:t>
            </w:r>
          </w:p>
        </w:tc>
        <w:tc>
          <w:tcPr>
            <w:tcW w:w="0" w:type="auto"/>
            <w:gridSpan w:val="4"/>
            <w:shd w:val="clear" w:color="auto" w:fill="D9D9D9" w:themeFill="background1" w:themeFillShade="D9"/>
            <w:vAlign w:val="center"/>
          </w:tcPr>
          <w:p w:rsidR="00484132" w:rsidRPr="008C3073" w:rsidRDefault="00484132" w:rsidP="007471A8">
            <w:pPr>
              <w:contextualSpacing/>
              <w:jc w:val="center"/>
              <w:rPr>
                <w:sz w:val="20"/>
                <w:szCs w:val="20"/>
              </w:rPr>
            </w:pPr>
            <w:r w:rsidRPr="008C3073">
              <w:rPr>
                <w:sz w:val="20"/>
                <w:szCs w:val="20"/>
              </w:rPr>
              <w:t>FY 201</w:t>
            </w:r>
            <w:r>
              <w:rPr>
                <w:sz w:val="20"/>
                <w:szCs w:val="20"/>
              </w:rPr>
              <w:t>3</w:t>
            </w:r>
            <w:r w:rsidRPr="008C3073">
              <w:rPr>
                <w:sz w:val="20"/>
                <w:szCs w:val="20"/>
              </w:rPr>
              <w:t xml:space="preserve"> Current Services</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Pos</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Agt</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FTE</w:t>
            </w:r>
          </w:p>
        </w:tc>
        <w:tc>
          <w:tcPr>
            <w:tcW w:w="0" w:type="auto"/>
            <w:vAlign w:val="center"/>
          </w:tcPr>
          <w:p w:rsidR="00484132" w:rsidRPr="0002015A" w:rsidRDefault="00484132" w:rsidP="007471A8">
            <w:pPr>
              <w:contextualSpacing/>
              <w:jc w:val="center"/>
              <w:rPr>
                <w:color w:val="000000"/>
                <w:sz w:val="20"/>
                <w:szCs w:val="20"/>
              </w:rPr>
            </w:pPr>
            <w:r w:rsidRPr="0002015A">
              <w:rPr>
                <w:color w:val="000000"/>
                <w:sz w:val="20"/>
                <w:szCs w:val="20"/>
              </w:rPr>
              <w:t>($000)</w:t>
            </w:r>
          </w:p>
        </w:tc>
      </w:tr>
      <w:tr w:rsidR="00484132" w:rsidRPr="002E00BD" w:rsidTr="006C7C76">
        <w:trPr>
          <w:trHeight w:val="255"/>
          <w:jc w:val="center"/>
        </w:trPr>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18</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2</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18</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$126,024</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26</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5</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26</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$121,981</w:t>
            </w:r>
          </w:p>
        </w:tc>
        <w:tc>
          <w:tcPr>
            <w:tcW w:w="0" w:type="auto"/>
            <w:vAlign w:val="center"/>
          </w:tcPr>
          <w:p w:rsidR="00484132" w:rsidRPr="0002015A" w:rsidRDefault="00484132" w:rsidP="007471A8">
            <w:pPr>
              <w:contextualSpacing/>
              <w:jc w:val="center"/>
              <w:rPr>
                <w:color w:val="000000"/>
                <w:sz w:val="20"/>
                <w:szCs w:val="20"/>
              </w:rPr>
            </w:pPr>
            <w:r>
              <w:rPr>
                <w:color w:val="000000"/>
                <w:sz w:val="20"/>
                <w:szCs w:val="20"/>
              </w:rPr>
              <w:t>26</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5</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26</w:t>
            </w:r>
          </w:p>
        </w:tc>
        <w:tc>
          <w:tcPr>
            <w:tcW w:w="0" w:type="auto"/>
            <w:vAlign w:val="center"/>
          </w:tcPr>
          <w:p w:rsidR="00484132" w:rsidRPr="0002015A" w:rsidRDefault="00484132" w:rsidP="007471A8">
            <w:pPr>
              <w:contextualSpacing/>
              <w:jc w:val="right"/>
              <w:rPr>
                <w:color w:val="000000"/>
                <w:sz w:val="20"/>
                <w:szCs w:val="20"/>
              </w:rPr>
            </w:pPr>
            <w:r>
              <w:rPr>
                <w:color w:val="000000"/>
                <w:sz w:val="20"/>
                <w:szCs w:val="20"/>
              </w:rPr>
              <w:t>$118,520</w:t>
            </w:r>
          </w:p>
        </w:tc>
      </w:tr>
    </w:tbl>
    <w:p w:rsidR="00484132" w:rsidRPr="002E00BD" w:rsidRDefault="00484132" w:rsidP="007471A8">
      <w:pPr>
        <w:pStyle w:val="BodyText"/>
        <w:contextualSpacing/>
        <w:rPr>
          <w:color w:val="000000"/>
          <w:u w:val="single"/>
        </w:rPr>
      </w:pPr>
    </w:p>
    <w:p w:rsidR="00484132" w:rsidRPr="002E00BD" w:rsidRDefault="00484132" w:rsidP="007471A8">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484132" w:rsidRPr="002E00BD" w:rsidRDefault="00484132" w:rsidP="007471A8">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756"/>
        <w:gridCol w:w="1056"/>
        <w:gridCol w:w="1116"/>
        <w:gridCol w:w="1875"/>
        <w:gridCol w:w="1875"/>
      </w:tblGrid>
      <w:tr w:rsidR="00484132" w:rsidRPr="002E00BD" w:rsidTr="006C7C76">
        <w:trPr>
          <w:jc w:val="center"/>
        </w:trPr>
        <w:tc>
          <w:tcPr>
            <w:tcW w:w="2178" w:type="dxa"/>
            <w:shd w:val="clear" w:color="auto" w:fill="D9D9D9" w:themeFill="background1" w:themeFillShade="D9"/>
            <w:vAlign w:val="center"/>
          </w:tcPr>
          <w:p w:rsidR="00484132" w:rsidRPr="0002015A" w:rsidRDefault="00484132" w:rsidP="007471A8">
            <w:pPr>
              <w:contextualSpacing/>
              <w:jc w:val="center"/>
              <w:rPr>
                <w:color w:val="000000"/>
                <w:sz w:val="20"/>
                <w:szCs w:val="20"/>
              </w:rPr>
            </w:pPr>
            <w:r w:rsidRPr="0002015A">
              <w:rPr>
                <w:color w:val="000000"/>
                <w:sz w:val="20"/>
                <w:szCs w:val="20"/>
              </w:rPr>
              <w:t>Non-Personnel Item</w:t>
            </w:r>
          </w:p>
        </w:tc>
        <w:tc>
          <w:tcPr>
            <w:tcW w:w="756" w:type="dxa"/>
            <w:vAlign w:val="center"/>
          </w:tcPr>
          <w:p w:rsidR="00484132" w:rsidRPr="0002015A" w:rsidRDefault="00484132" w:rsidP="007471A8">
            <w:pPr>
              <w:contextualSpacing/>
              <w:jc w:val="center"/>
              <w:rPr>
                <w:color w:val="000000"/>
                <w:sz w:val="20"/>
                <w:szCs w:val="20"/>
              </w:rPr>
            </w:pPr>
            <w:r w:rsidRPr="0002015A">
              <w:rPr>
                <w:color w:val="000000"/>
                <w:sz w:val="20"/>
                <w:szCs w:val="20"/>
              </w:rPr>
              <w:t>Unit Cost</w:t>
            </w:r>
          </w:p>
        </w:tc>
        <w:tc>
          <w:tcPr>
            <w:tcW w:w="1056" w:type="dxa"/>
            <w:vAlign w:val="center"/>
          </w:tcPr>
          <w:p w:rsidR="00484132" w:rsidRPr="0002015A" w:rsidRDefault="00484132" w:rsidP="007471A8">
            <w:pPr>
              <w:contextualSpacing/>
              <w:jc w:val="center"/>
              <w:rPr>
                <w:color w:val="000000"/>
                <w:sz w:val="20"/>
                <w:szCs w:val="20"/>
              </w:rPr>
            </w:pPr>
            <w:r w:rsidRPr="0002015A">
              <w:rPr>
                <w:color w:val="000000"/>
                <w:sz w:val="20"/>
                <w:szCs w:val="20"/>
              </w:rPr>
              <w:t>Quantity</w:t>
            </w:r>
          </w:p>
        </w:tc>
        <w:tc>
          <w:tcPr>
            <w:tcW w:w="1116" w:type="dxa"/>
            <w:vAlign w:val="center"/>
          </w:tcPr>
          <w:p w:rsidR="00484132" w:rsidRPr="0002015A" w:rsidRDefault="00484132" w:rsidP="007471A8">
            <w:pPr>
              <w:contextualSpacing/>
              <w:jc w:val="center"/>
              <w:rPr>
                <w:color w:val="000000"/>
                <w:sz w:val="20"/>
                <w:szCs w:val="20"/>
              </w:rPr>
            </w:pPr>
            <w:r>
              <w:rPr>
                <w:color w:val="000000"/>
                <w:sz w:val="20"/>
                <w:szCs w:val="20"/>
              </w:rPr>
              <w:t>FY 2013</w:t>
            </w:r>
            <w:r w:rsidRPr="0002015A">
              <w:rPr>
                <w:color w:val="000000"/>
                <w:sz w:val="20"/>
                <w:szCs w:val="20"/>
              </w:rPr>
              <w:t xml:space="preserve"> Request</w:t>
            </w:r>
          </w:p>
          <w:p w:rsidR="00484132" w:rsidRPr="0002015A" w:rsidRDefault="00484132" w:rsidP="007471A8">
            <w:pPr>
              <w:contextualSpacing/>
              <w:jc w:val="center"/>
              <w:rPr>
                <w:color w:val="000000"/>
                <w:sz w:val="20"/>
                <w:szCs w:val="20"/>
              </w:rPr>
            </w:pPr>
            <w:r w:rsidRPr="0002015A">
              <w:rPr>
                <w:color w:val="000000"/>
                <w:sz w:val="20"/>
                <w:szCs w:val="20"/>
              </w:rPr>
              <w:t>($000)</w:t>
            </w:r>
          </w:p>
        </w:tc>
        <w:tc>
          <w:tcPr>
            <w:tcW w:w="1875" w:type="dxa"/>
            <w:vAlign w:val="center"/>
          </w:tcPr>
          <w:p w:rsidR="00484132" w:rsidRPr="00641D5F" w:rsidRDefault="00484132" w:rsidP="007471A8">
            <w:pPr>
              <w:contextualSpacing/>
              <w:jc w:val="center"/>
              <w:rPr>
                <w:sz w:val="20"/>
                <w:szCs w:val="20"/>
              </w:rPr>
            </w:pPr>
            <w:r w:rsidRPr="00641D5F">
              <w:rPr>
                <w:sz w:val="20"/>
                <w:szCs w:val="20"/>
              </w:rPr>
              <w:t>FY 201</w:t>
            </w:r>
            <w:r>
              <w:rPr>
                <w:sz w:val="20"/>
                <w:szCs w:val="20"/>
              </w:rPr>
              <w:t>4</w:t>
            </w:r>
            <w:r w:rsidRPr="00641D5F">
              <w:rPr>
                <w:sz w:val="20"/>
                <w:szCs w:val="20"/>
              </w:rPr>
              <w:t xml:space="preserve"> Net Annualization (change from 201</w:t>
            </w:r>
            <w:r>
              <w:rPr>
                <w:sz w:val="20"/>
                <w:szCs w:val="20"/>
              </w:rPr>
              <w:t>3</w:t>
            </w:r>
            <w:r w:rsidRPr="00641D5F">
              <w:rPr>
                <w:sz w:val="20"/>
                <w:szCs w:val="20"/>
              </w:rPr>
              <w:t>)</w:t>
            </w:r>
          </w:p>
          <w:p w:rsidR="00484132" w:rsidRPr="0002015A" w:rsidRDefault="00484132" w:rsidP="007471A8">
            <w:pPr>
              <w:contextualSpacing/>
              <w:jc w:val="center"/>
              <w:rPr>
                <w:color w:val="000000"/>
                <w:sz w:val="20"/>
                <w:szCs w:val="20"/>
              </w:rPr>
            </w:pPr>
            <w:r w:rsidRPr="00641D5F">
              <w:rPr>
                <w:sz w:val="20"/>
                <w:szCs w:val="20"/>
              </w:rPr>
              <w:t xml:space="preserve"> ($000)</w:t>
            </w:r>
          </w:p>
        </w:tc>
        <w:tc>
          <w:tcPr>
            <w:tcW w:w="1875" w:type="dxa"/>
          </w:tcPr>
          <w:p w:rsidR="00484132" w:rsidRPr="00641D5F" w:rsidRDefault="00484132" w:rsidP="007471A8">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484132" w:rsidRPr="00641D5F" w:rsidRDefault="00484132" w:rsidP="007471A8">
            <w:pPr>
              <w:contextualSpacing/>
              <w:jc w:val="center"/>
              <w:rPr>
                <w:sz w:val="20"/>
                <w:szCs w:val="20"/>
              </w:rPr>
            </w:pPr>
            <w:r w:rsidRPr="00641D5F">
              <w:rPr>
                <w:sz w:val="20"/>
                <w:szCs w:val="20"/>
              </w:rPr>
              <w:t xml:space="preserve"> ($000)</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Pr>
                <w:color w:val="000000"/>
                <w:sz w:val="20"/>
                <w:szCs w:val="20"/>
              </w:rPr>
              <w:t>Relocation Program</w:t>
            </w:r>
          </w:p>
        </w:tc>
        <w:tc>
          <w:tcPr>
            <w:tcW w:w="7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056" w:type="dxa"/>
            <w:vAlign w:val="center"/>
          </w:tcPr>
          <w:p w:rsidR="00484132" w:rsidRPr="0002015A" w:rsidRDefault="00484132" w:rsidP="007471A8">
            <w:pPr>
              <w:contextualSpacing/>
              <w:jc w:val="right"/>
              <w:rPr>
                <w:color w:val="000000"/>
                <w:sz w:val="20"/>
                <w:szCs w:val="20"/>
              </w:rPr>
            </w:pPr>
            <w:r w:rsidRPr="0002015A">
              <w:rPr>
                <w:color w:val="000000"/>
                <w:sz w:val="20"/>
                <w:szCs w:val="20"/>
              </w:rPr>
              <w:t>n/a</w:t>
            </w: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($5,000)</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r w:rsidR="00484132" w:rsidRPr="002E00BD" w:rsidTr="006C7C76">
        <w:trPr>
          <w:jc w:val="center"/>
        </w:trPr>
        <w:tc>
          <w:tcPr>
            <w:tcW w:w="2178" w:type="dxa"/>
          </w:tcPr>
          <w:p w:rsidR="00484132" w:rsidRPr="0002015A" w:rsidRDefault="00484132" w:rsidP="007471A8">
            <w:pPr>
              <w:contextualSpacing/>
              <w:rPr>
                <w:color w:val="000000"/>
                <w:sz w:val="20"/>
                <w:szCs w:val="20"/>
              </w:rPr>
            </w:pPr>
            <w:r w:rsidRPr="0002015A">
              <w:rPr>
                <w:color w:val="000000"/>
                <w:sz w:val="20"/>
                <w:szCs w:val="20"/>
              </w:rPr>
              <w:t>Total Non-Personnel</w:t>
            </w:r>
          </w:p>
        </w:tc>
        <w:tc>
          <w:tcPr>
            <w:tcW w:w="756" w:type="dxa"/>
            <w:vAlign w:val="center"/>
          </w:tcPr>
          <w:p w:rsidR="00484132" w:rsidRPr="0002015A" w:rsidRDefault="00484132" w:rsidP="007471A8">
            <w:pPr>
              <w:contextualSpacing/>
              <w:jc w:val="right"/>
              <w:rPr>
                <w:color w:val="000000"/>
                <w:sz w:val="20"/>
                <w:szCs w:val="20"/>
              </w:rPr>
            </w:pPr>
          </w:p>
        </w:tc>
        <w:tc>
          <w:tcPr>
            <w:tcW w:w="1056" w:type="dxa"/>
            <w:vAlign w:val="center"/>
          </w:tcPr>
          <w:p w:rsidR="00484132" w:rsidRPr="0002015A" w:rsidRDefault="00484132" w:rsidP="007471A8">
            <w:pPr>
              <w:contextualSpacing/>
              <w:jc w:val="right"/>
              <w:rPr>
                <w:color w:val="000000"/>
                <w:sz w:val="20"/>
                <w:szCs w:val="20"/>
              </w:rPr>
            </w:pPr>
          </w:p>
        </w:tc>
        <w:tc>
          <w:tcPr>
            <w:tcW w:w="1116" w:type="dxa"/>
            <w:vAlign w:val="center"/>
          </w:tcPr>
          <w:p w:rsidR="00484132" w:rsidRPr="0002015A" w:rsidRDefault="00484132" w:rsidP="007471A8">
            <w:pPr>
              <w:contextualSpacing/>
              <w:jc w:val="right"/>
              <w:rPr>
                <w:color w:val="000000"/>
                <w:sz w:val="20"/>
                <w:szCs w:val="20"/>
              </w:rPr>
            </w:pPr>
            <w:r>
              <w:rPr>
                <w:color w:val="000000"/>
                <w:sz w:val="20"/>
                <w:szCs w:val="20"/>
              </w:rPr>
              <w:t>($5,000)</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c>
          <w:tcPr>
            <w:tcW w:w="1875" w:type="dxa"/>
            <w:vAlign w:val="center"/>
          </w:tcPr>
          <w:p w:rsidR="00484132" w:rsidRPr="0002015A" w:rsidRDefault="00484132" w:rsidP="007471A8">
            <w:pPr>
              <w:contextualSpacing/>
              <w:jc w:val="right"/>
              <w:rPr>
                <w:color w:val="000000"/>
                <w:sz w:val="20"/>
                <w:szCs w:val="20"/>
              </w:rPr>
            </w:pPr>
            <w:r w:rsidRPr="0002015A">
              <w:rPr>
                <w:color w:val="000000"/>
                <w:sz w:val="20"/>
                <w:szCs w:val="20"/>
              </w:rPr>
              <w:t>$…</w:t>
            </w:r>
          </w:p>
        </w:tc>
      </w:tr>
    </w:tbl>
    <w:p w:rsidR="00484132" w:rsidRPr="002E00BD" w:rsidRDefault="00484132" w:rsidP="007471A8">
      <w:pPr>
        <w:pStyle w:val="xl24"/>
        <w:spacing w:before="0" w:after="0"/>
        <w:contextualSpacing/>
        <w:rPr>
          <w:color w:val="000000"/>
          <w:szCs w:val="24"/>
        </w:rPr>
      </w:pPr>
    </w:p>
    <w:p w:rsidR="00484132" w:rsidRDefault="00484132" w:rsidP="007471A8">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484132" w:rsidRPr="00E61321" w:rsidRDefault="00484132" w:rsidP="007471A8">
      <w:pPr>
        <w:pStyle w:val="xl24"/>
        <w:spacing w:before="0" w:after="0"/>
        <w:contextualSpacing/>
        <w:rPr>
          <w:color w:val="000000"/>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540"/>
        <w:gridCol w:w="630"/>
        <w:gridCol w:w="574"/>
        <w:gridCol w:w="1132"/>
        <w:gridCol w:w="1177"/>
        <w:gridCol w:w="1167"/>
        <w:gridCol w:w="1890"/>
        <w:gridCol w:w="2070"/>
      </w:tblGrid>
      <w:tr w:rsidR="00484132" w:rsidTr="00C45BA3">
        <w:trPr>
          <w:trHeight w:val="658"/>
          <w:jc w:val="center"/>
        </w:trPr>
        <w:tc>
          <w:tcPr>
            <w:tcW w:w="1593" w:type="dxa"/>
            <w:shd w:val="clear" w:color="auto" w:fill="D9D9D9" w:themeFill="background1" w:themeFillShade="D9"/>
          </w:tcPr>
          <w:p w:rsidR="00484132" w:rsidRDefault="00484132" w:rsidP="007471A8">
            <w:pPr>
              <w:contextualSpacing/>
              <w:rPr>
                <w:sz w:val="20"/>
              </w:rPr>
            </w:pPr>
          </w:p>
        </w:tc>
        <w:tc>
          <w:tcPr>
            <w:tcW w:w="540" w:type="dxa"/>
            <w:vAlign w:val="center"/>
          </w:tcPr>
          <w:p w:rsidR="00484132" w:rsidRDefault="00484132" w:rsidP="007471A8">
            <w:pPr>
              <w:contextualSpacing/>
              <w:jc w:val="center"/>
              <w:rPr>
                <w:sz w:val="20"/>
              </w:rPr>
            </w:pPr>
            <w:r>
              <w:rPr>
                <w:sz w:val="20"/>
              </w:rPr>
              <w:t>Pos</w:t>
            </w:r>
          </w:p>
        </w:tc>
        <w:tc>
          <w:tcPr>
            <w:tcW w:w="630" w:type="dxa"/>
            <w:vAlign w:val="center"/>
          </w:tcPr>
          <w:p w:rsidR="00484132" w:rsidRDefault="00484132" w:rsidP="007471A8">
            <w:pPr>
              <w:contextualSpacing/>
              <w:jc w:val="center"/>
              <w:rPr>
                <w:sz w:val="20"/>
              </w:rPr>
            </w:pPr>
          </w:p>
          <w:p w:rsidR="00484132" w:rsidRDefault="00484132" w:rsidP="007471A8">
            <w:pPr>
              <w:contextualSpacing/>
              <w:jc w:val="center"/>
              <w:rPr>
                <w:sz w:val="20"/>
              </w:rPr>
            </w:pPr>
            <w:r>
              <w:rPr>
                <w:sz w:val="20"/>
              </w:rPr>
              <w:t>Agt</w:t>
            </w:r>
          </w:p>
          <w:p w:rsidR="00484132" w:rsidRDefault="00484132" w:rsidP="007471A8">
            <w:pPr>
              <w:contextualSpacing/>
              <w:jc w:val="center"/>
              <w:rPr>
                <w:sz w:val="20"/>
              </w:rPr>
            </w:pPr>
          </w:p>
        </w:tc>
        <w:tc>
          <w:tcPr>
            <w:tcW w:w="574" w:type="dxa"/>
            <w:vAlign w:val="center"/>
          </w:tcPr>
          <w:p w:rsidR="00484132" w:rsidRDefault="00484132" w:rsidP="007471A8">
            <w:pPr>
              <w:contextualSpacing/>
              <w:jc w:val="center"/>
              <w:rPr>
                <w:sz w:val="20"/>
              </w:rPr>
            </w:pPr>
            <w:r>
              <w:rPr>
                <w:sz w:val="20"/>
              </w:rPr>
              <w:t>FTE</w:t>
            </w:r>
          </w:p>
        </w:tc>
        <w:tc>
          <w:tcPr>
            <w:tcW w:w="1132" w:type="dxa"/>
            <w:vAlign w:val="center"/>
          </w:tcPr>
          <w:p w:rsidR="00484132" w:rsidRDefault="00484132" w:rsidP="007471A8">
            <w:pPr>
              <w:contextualSpacing/>
              <w:jc w:val="center"/>
              <w:rPr>
                <w:sz w:val="20"/>
              </w:rPr>
            </w:pPr>
            <w:r>
              <w:rPr>
                <w:sz w:val="20"/>
              </w:rPr>
              <w:t>Personnel</w:t>
            </w:r>
          </w:p>
          <w:p w:rsidR="00484132" w:rsidRDefault="00484132" w:rsidP="007471A8">
            <w:pPr>
              <w:contextualSpacing/>
              <w:jc w:val="center"/>
              <w:rPr>
                <w:sz w:val="20"/>
              </w:rPr>
            </w:pPr>
            <w:r>
              <w:rPr>
                <w:sz w:val="20"/>
              </w:rPr>
              <w:t>($000)</w:t>
            </w:r>
          </w:p>
        </w:tc>
        <w:tc>
          <w:tcPr>
            <w:tcW w:w="1177" w:type="dxa"/>
            <w:vAlign w:val="center"/>
          </w:tcPr>
          <w:p w:rsidR="00484132" w:rsidRDefault="00484132" w:rsidP="007471A8">
            <w:pPr>
              <w:contextualSpacing/>
              <w:jc w:val="center"/>
              <w:rPr>
                <w:sz w:val="20"/>
              </w:rPr>
            </w:pPr>
            <w:r>
              <w:rPr>
                <w:sz w:val="20"/>
              </w:rPr>
              <w:t>Non-Personnel</w:t>
            </w:r>
          </w:p>
          <w:p w:rsidR="00484132" w:rsidRDefault="00484132" w:rsidP="007471A8">
            <w:pPr>
              <w:contextualSpacing/>
              <w:jc w:val="center"/>
              <w:rPr>
                <w:sz w:val="20"/>
              </w:rPr>
            </w:pPr>
            <w:r>
              <w:rPr>
                <w:sz w:val="20"/>
              </w:rPr>
              <w:t>($000)</w:t>
            </w:r>
          </w:p>
        </w:tc>
        <w:tc>
          <w:tcPr>
            <w:tcW w:w="1167" w:type="dxa"/>
            <w:vAlign w:val="center"/>
          </w:tcPr>
          <w:p w:rsidR="00484132" w:rsidRDefault="00484132" w:rsidP="007471A8">
            <w:pPr>
              <w:contextualSpacing/>
              <w:jc w:val="center"/>
              <w:rPr>
                <w:sz w:val="20"/>
              </w:rPr>
            </w:pPr>
            <w:r>
              <w:rPr>
                <w:sz w:val="20"/>
              </w:rPr>
              <w:t>Total</w:t>
            </w:r>
          </w:p>
          <w:p w:rsidR="00484132" w:rsidRDefault="00484132" w:rsidP="007471A8">
            <w:pPr>
              <w:contextualSpacing/>
              <w:jc w:val="center"/>
              <w:rPr>
                <w:sz w:val="20"/>
              </w:rPr>
            </w:pPr>
            <w:r>
              <w:rPr>
                <w:sz w:val="20"/>
              </w:rPr>
              <w:t>($000)</w:t>
            </w:r>
          </w:p>
        </w:tc>
        <w:tc>
          <w:tcPr>
            <w:tcW w:w="1890" w:type="dxa"/>
            <w:vAlign w:val="center"/>
          </w:tcPr>
          <w:p w:rsidR="00484132" w:rsidRDefault="00484132" w:rsidP="007471A8">
            <w:pPr>
              <w:contextualSpacing/>
              <w:jc w:val="center"/>
              <w:rPr>
                <w:sz w:val="20"/>
              </w:rPr>
            </w:pPr>
            <w:r>
              <w:rPr>
                <w:sz w:val="20"/>
              </w:rPr>
              <w:t>FY 2014 Net</w:t>
            </w:r>
          </w:p>
          <w:p w:rsidR="00484132" w:rsidRDefault="00484132" w:rsidP="007471A8">
            <w:pPr>
              <w:contextualSpacing/>
              <w:jc w:val="center"/>
              <w:rPr>
                <w:sz w:val="20"/>
              </w:rPr>
            </w:pPr>
            <w:r>
              <w:rPr>
                <w:sz w:val="20"/>
              </w:rPr>
              <w:t>Annualization (change from 2013)</w:t>
            </w:r>
          </w:p>
          <w:p w:rsidR="00484132" w:rsidRDefault="00484132" w:rsidP="007471A8">
            <w:pPr>
              <w:contextualSpacing/>
              <w:jc w:val="center"/>
              <w:rPr>
                <w:sz w:val="20"/>
              </w:rPr>
            </w:pPr>
            <w:r>
              <w:rPr>
                <w:sz w:val="20"/>
              </w:rPr>
              <w:t>($000)</w:t>
            </w:r>
          </w:p>
        </w:tc>
        <w:tc>
          <w:tcPr>
            <w:tcW w:w="2070" w:type="dxa"/>
          </w:tcPr>
          <w:p w:rsidR="00484132" w:rsidRDefault="00484132" w:rsidP="007471A8">
            <w:pPr>
              <w:contextualSpacing/>
              <w:jc w:val="center"/>
              <w:rPr>
                <w:sz w:val="20"/>
              </w:rPr>
            </w:pPr>
            <w:r>
              <w:rPr>
                <w:sz w:val="20"/>
              </w:rPr>
              <w:t>FY 2015 Net</w:t>
            </w:r>
          </w:p>
          <w:p w:rsidR="00484132" w:rsidRDefault="00484132" w:rsidP="007471A8">
            <w:pPr>
              <w:contextualSpacing/>
              <w:jc w:val="center"/>
              <w:rPr>
                <w:sz w:val="20"/>
              </w:rPr>
            </w:pPr>
            <w:r>
              <w:rPr>
                <w:sz w:val="20"/>
              </w:rPr>
              <w:t>Annualization (change from 2014)</w:t>
            </w:r>
          </w:p>
          <w:p w:rsidR="00484132" w:rsidRDefault="00484132" w:rsidP="007471A8">
            <w:pPr>
              <w:contextualSpacing/>
              <w:jc w:val="center"/>
              <w:rPr>
                <w:sz w:val="20"/>
              </w:rPr>
            </w:pPr>
            <w:r>
              <w:rPr>
                <w:sz w:val="20"/>
              </w:rPr>
              <w:t>($000)</w:t>
            </w:r>
          </w:p>
        </w:tc>
      </w:tr>
      <w:tr w:rsidR="00484132" w:rsidTr="00C45BA3">
        <w:trPr>
          <w:trHeight w:val="215"/>
          <w:jc w:val="center"/>
        </w:trPr>
        <w:tc>
          <w:tcPr>
            <w:tcW w:w="1593" w:type="dxa"/>
          </w:tcPr>
          <w:p w:rsidR="00484132" w:rsidRDefault="00484132" w:rsidP="007471A8">
            <w:pPr>
              <w:contextualSpacing/>
              <w:rPr>
                <w:sz w:val="20"/>
              </w:rPr>
            </w:pPr>
            <w:r>
              <w:rPr>
                <w:sz w:val="20"/>
              </w:rPr>
              <w:t>Current Services</w:t>
            </w:r>
          </w:p>
        </w:tc>
        <w:tc>
          <w:tcPr>
            <w:tcW w:w="540" w:type="dxa"/>
            <w:vAlign w:val="center"/>
          </w:tcPr>
          <w:p w:rsidR="00484132" w:rsidRDefault="00484132" w:rsidP="007471A8">
            <w:pPr>
              <w:contextualSpacing/>
              <w:jc w:val="right"/>
              <w:rPr>
                <w:sz w:val="20"/>
              </w:rPr>
            </w:pPr>
            <w:r>
              <w:rPr>
                <w:sz w:val="20"/>
              </w:rPr>
              <w:t>26</w:t>
            </w:r>
          </w:p>
        </w:tc>
        <w:tc>
          <w:tcPr>
            <w:tcW w:w="630" w:type="dxa"/>
            <w:vAlign w:val="center"/>
          </w:tcPr>
          <w:p w:rsidR="00484132" w:rsidRDefault="00484132" w:rsidP="007471A8">
            <w:pPr>
              <w:contextualSpacing/>
              <w:jc w:val="right"/>
              <w:rPr>
                <w:sz w:val="20"/>
              </w:rPr>
            </w:pPr>
            <w:r>
              <w:rPr>
                <w:sz w:val="20"/>
              </w:rPr>
              <w:t>5</w:t>
            </w:r>
          </w:p>
        </w:tc>
        <w:tc>
          <w:tcPr>
            <w:tcW w:w="574" w:type="dxa"/>
            <w:vAlign w:val="center"/>
          </w:tcPr>
          <w:p w:rsidR="00484132" w:rsidRDefault="00484132" w:rsidP="007471A8">
            <w:pPr>
              <w:contextualSpacing/>
              <w:jc w:val="right"/>
              <w:rPr>
                <w:sz w:val="20"/>
              </w:rPr>
            </w:pPr>
            <w:r>
              <w:rPr>
                <w:sz w:val="20"/>
              </w:rPr>
              <w:t>26</w:t>
            </w:r>
          </w:p>
        </w:tc>
        <w:tc>
          <w:tcPr>
            <w:tcW w:w="1132" w:type="dxa"/>
            <w:vAlign w:val="center"/>
          </w:tcPr>
          <w:p w:rsidR="00484132" w:rsidRDefault="00484132" w:rsidP="007471A8">
            <w:pPr>
              <w:contextualSpacing/>
              <w:jc w:val="right"/>
              <w:rPr>
                <w:sz w:val="20"/>
              </w:rPr>
            </w:pPr>
            <w:r>
              <w:rPr>
                <w:sz w:val="20"/>
              </w:rPr>
              <w:t>$30,043</w:t>
            </w:r>
          </w:p>
        </w:tc>
        <w:tc>
          <w:tcPr>
            <w:tcW w:w="1177" w:type="dxa"/>
            <w:vAlign w:val="center"/>
          </w:tcPr>
          <w:p w:rsidR="00484132" w:rsidRDefault="00484132" w:rsidP="007471A8">
            <w:pPr>
              <w:contextualSpacing/>
              <w:jc w:val="right"/>
              <w:rPr>
                <w:sz w:val="20"/>
              </w:rPr>
            </w:pPr>
            <w:r>
              <w:rPr>
                <w:color w:val="000000"/>
                <w:sz w:val="20"/>
                <w:szCs w:val="20"/>
              </w:rPr>
              <w:t>$88,477</w:t>
            </w:r>
          </w:p>
        </w:tc>
        <w:tc>
          <w:tcPr>
            <w:tcW w:w="1167" w:type="dxa"/>
            <w:vAlign w:val="center"/>
          </w:tcPr>
          <w:p w:rsidR="00484132" w:rsidRPr="0002015A" w:rsidRDefault="00484132" w:rsidP="007471A8">
            <w:pPr>
              <w:contextualSpacing/>
              <w:jc w:val="right"/>
              <w:rPr>
                <w:color w:val="000000"/>
                <w:sz w:val="20"/>
                <w:szCs w:val="20"/>
              </w:rPr>
            </w:pPr>
            <w:r>
              <w:rPr>
                <w:color w:val="000000"/>
                <w:sz w:val="20"/>
                <w:szCs w:val="20"/>
              </w:rPr>
              <w:t>$118,520</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Decreases</w:t>
            </w:r>
          </w:p>
        </w:tc>
        <w:tc>
          <w:tcPr>
            <w:tcW w:w="540" w:type="dxa"/>
            <w:vAlign w:val="center"/>
          </w:tcPr>
          <w:p w:rsidR="00484132" w:rsidRDefault="00484132" w:rsidP="007471A8">
            <w:pPr>
              <w:contextualSpacing/>
              <w:jc w:val="right"/>
              <w:rPr>
                <w:sz w:val="20"/>
              </w:rPr>
            </w:pPr>
            <w:r>
              <w:rPr>
                <w:sz w:val="20"/>
              </w:rPr>
              <w:t>…</w:t>
            </w:r>
          </w:p>
        </w:tc>
        <w:tc>
          <w:tcPr>
            <w:tcW w:w="630" w:type="dxa"/>
            <w:vAlign w:val="center"/>
          </w:tcPr>
          <w:p w:rsidR="00484132" w:rsidRDefault="00484132" w:rsidP="007471A8">
            <w:pPr>
              <w:contextualSpacing/>
              <w:jc w:val="right"/>
              <w:rPr>
                <w:sz w:val="20"/>
              </w:rPr>
            </w:pPr>
            <w:r>
              <w:rPr>
                <w:sz w:val="20"/>
              </w:rPr>
              <w:t>…</w:t>
            </w:r>
          </w:p>
        </w:tc>
        <w:tc>
          <w:tcPr>
            <w:tcW w:w="574" w:type="dxa"/>
            <w:vAlign w:val="center"/>
          </w:tcPr>
          <w:p w:rsidR="00484132" w:rsidRDefault="00484132" w:rsidP="007471A8">
            <w:pPr>
              <w:contextualSpacing/>
              <w:jc w:val="right"/>
              <w:rPr>
                <w:sz w:val="20"/>
              </w:rPr>
            </w:pPr>
            <w:r>
              <w:rPr>
                <w:sz w:val="20"/>
              </w:rPr>
              <w:t>…</w:t>
            </w:r>
          </w:p>
        </w:tc>
        <w:tc>
          <w:tcPr>
            <w:tcW w:w="1132" w:type="dxa"/>
            <w:vAlign w:val="center"/>
          </w:tcPr>
          <w:p w:rsidR="00484132" w:rsidRDefault="00484132" w:rsidP="007471A8">
            <w:pPr>
              <w:contextualSpacing/>
              <w:jc w:val="right"/>
              <w:rPr>
                <w:sz w:val="20"/>
              </w:rPr>
            </w:pPr>
            <w:r>
              <w:rPr>
                <w:sz w:val="20"/>
              </w:rPr>
              <w:t>…</w:t>
            </w:r>
          </w:p>
        </w:tc>
        <w:tc>
          <w:tcPr>
            <w:tcW w:w="1177" w:type="dxa"/>
            <w:vAlign w:val="center"/>
          </w:tcPr>
          <w:p w:rsidR="00484132" w:rsidRDefault="00484132" w:rsidP="007471A8">
            <w:pPr>
              <w:contextualSpacing/>
              <w:jc w:val="right"/>
              <w:rPr>
                <w:sz w:val="20"/>
              </w:rPr>
            </w:pPr>
            <w:r>
              <w:rPr>
                <w:color w:val="000000"/>
                <w:sz w:val="20"/>
                <w:szCs w:val="20"/>
              </w:rPr>
              <w:t>(5,000</w:t>
            </w:r>
            <w:r w:rsidRPr="0002015A">
              <w:rPr>
                <w:color w:val="000000"/>
                <w:sz w:val="20"/>
                <w:szCs w:val="20"/>
              </w:rPr>
              <w:t>)</w:t>
            </w:r>
          </w:p>
        </w:tc>
        <w:tc>
          <w:tcPr>
            <w:tcW w:w="1167" w:type="dxa"/>
          </w:tcPr>
          <w:p w:rsidR="00484132" w:rsidRDefault="00484132" w:rsidP="007471A8">
            <w:pPr>
              <w:contextualSpacing/>
              <w:jc w:val="right"/>
              <w:rPr>
                <w:sz w:val="20"/>
              </w:rPr>
            </w:pPr>
            <w:r>
              <w:rPr>
                <w:color w:val="000000"/>
                <w:sz w:val="20"/>
                <w:szCs w:val="20"/>
              </w:rPr>
              <w:t>(5,000</w:t>
            </w:r>
            <w:r w:rsidRPr="0002015A">
              <w:rPr>
                <w:color w:val="000000"/>
                <w:sz w:val="20"/>
                <w:szCs w:val="20"/>
              </w:rPr>
              <w:t>)</w:t>
            </w:r>
          </w:p>
        </w:tc>
        <w:tc>
          <w:tcPr>
            <w:tcW w:w="1890" w:type="dxa"/>
            <w:vAlign w:val="center"/>
          </w:tcPr>
          <w:p w:rsidR="00484132" w:rsidRDefault="00484132" w:rsidP="007471A8">
            <w:pPr>
              <w:contextualSpacing/>
              <w:jc w:val="right"/>
              <w:rPr>
                <w:sz w:val="20"/>
              </w:rPr>
            </w:pPr>
            <w:r>
              <w:rPr>
                <w:sz w:val="20"/>
              </w:rPr>
              <w:t>…</w:t>
            </w:r>
          </w:p>
        </w:tc>
        <w:tc>
          <w:tcPr>
            <w:tcW w:w="2070" w:type="dxa"/>
          </w:tcPr>
          <w:p w:rsidR="00484132" w:rsidRDefault="00484132" w:rsidP="007471A8">
            <w:pPr>
              <w:contextualSpacing/>
              <w:jc w:val="right"/>
              <w:rPr>
                <w:sz w:val="20"/>
              </w:rPr>
            </w:pPr>
            <w:r>
              <w:rPr>
                <w:sz w:val="20"/>
              </w:rPr>
              <w:t>…</w:t>
            </w:r>
          </w:p>
        </w:tc>
      </w:tr>
      <w:tr w:rsidR="00484132" w:rsidTr="00C45BA3">
        <w:trPr>
          <w:trHeight w:val="215"/>
          <w:jc w:val="center"/>
        </w:trPr>
        <w:tc>
          <w:tcPr>
            <w:tcW w:w="1593" w:type="dxa"/>
          </w:tcPr>
          <w:p w:rsidR="00484132" w:rsidRDefault="00484132" w:rsidP="007471A8">
            <w:pPr>
              <w:contextualSpacing/>
              <w:rPr>
                <w:sz w:val="20"/>
              </w:rPr>
            </w:pPr>
            <w:r>
              <w:rPr>
                <w:sz w:val="20"/>
              </w:rPr>
              <w:t>Grand Total</w:t>
            </w:r>
          </w:p>
        </w:tc>
        <w:tc>
          <w:tcPr>
            <w:tcW w:w="540" w:type="dxa"/>
            <w:vAlign w:val="center"/>
          </w:tcPr>
          <w:p w:rsidR="00484132" w:rsidRDefault="00484132" w:rsidP="007471A8">
            <w:pPr>
              <w:contextualSpacing/>
              <w:jc w:val="right"/>
              <w:rPr>
                <w:sz w:val="20"/>
              </w:rPr>
            </w:pPr>
            <w:r>
              <w:rPr>
                <w:sz w:val="20"/>
              </w:rPr>
              <w:t>26</w:t>
            </w:r>
          </w:p>
        </w:tc>
        <w:tc>
          <w:tcPr>
            <w:tcW w:w="630" w:type="dxa"/>
            <w:vAlign w:val="center"/>
          </w:tcPr>
          <w:p w:rsidR="00484132" w:rsidRDefault="00484132" w:rsidP="007471A8">
            <w:pPr>
              <w:contextualSpacing/>
              <w:jc w:val="right"/>
              <w:rPr>
                <w:sz w:val="20"/>
              </w:rPr>
            </w:pPr>
            <w:r>
              <w:rPr>
                <w:sz w:val="20"/>
              </w:rPr>
              <w:t>5</w:t>
            </w:r>
          </w:p>
        </w:tc>
        <w:tc>
          <w:tcPr>
            <w:tcW w:w="574" w:type="dxa"/>
            <w:vAlign w:val="center"/>
          </w:tcPr>
          <w:p w:rsidR="00484132" w:rsidRDefault="00484132" w:rsidP="007471A8">
            <w:pPr>
              <w:contextualSpacing/>
              <w:jc w:val="right"/>
              <w:rPr>
                <w:sz w:val="20"/>
              </w:rPr>
            </w:pPr>
            <w:r>
              <w:rPr>
                <w:sz w:val="20"/>
              </w:rPr>
              <w:t>26</w:t>
            </w:r>
          </w:p>
        </w:tc>
        <w:tc>
          <w:tcPr>
            <w:tcW w:w="1132" w:type="dxa"/>
            <w:vAlign w:val="center"/>
          </w:tcPr>
          <w:p w:rsidR="00484132" w:rsidRDefault="00484132" w:rsidP="007471A8">
            <w:pPr>
              <w:contextualSpacing/>
              <w:jc w:val="right"/>
              <w:rPr>
                <w:sz w:val="20"/>
              </w:rPr>
            </w:pPr>
            <w:r>
              <w:rPr>
                <w:sz w:val="20"/>
              </w:rPr>
              <w:t>$30,043</w:t>
            </w:r>
          </w:p>
        </w:tc>
        <w:tc>
          <w:tcPr>
            <w:tcW w:w="1177" w:type="dxa"/>
            <w:vAlign w:val="center"/>
          </w:tcPr>
          <w:p w:rsidR="00484132" w:rsidRDefault="00484132" w:rsidP="007471A8">
            <w:pPr>
              <w:contextualSpacing/>
              <w:jc w:val="right"/>
              <w:rPr>
                <w:sz w:val="20"/>
              </w:rPr>
            </w:pPr>
            <w:r>
              <w:rPr>
                <w:color w:val="000000"/>
                <w:sz w:val="20"/>
                <w:szCs w:val="20"/>
              </w:rPr>
              <w:t>$83,477</w:t>
            </w:r>
          </w:p>
        </w:tc>
        <w:tc>
          <w:tcPr>
            <w:tcW w:w="1167" w:type="dxa"/>
            <w:vAlign w:val="center"/>
          </w:tcPr>
          <w:p w:rsidR="00484132" w:rsidRDefault="00484132" w:rsidP="007471A8">
            <w:pPr>
              <w:contextualSpacing/>
              <w:jc w:val="right"/>
              <w:rPr>
                <w:sz w:val="20"/>
              </w:rPr>
            </w:pPr>
            <w:r>
              <w:rPr>
                <w:color w:val="000000"/>
                <w:sz w:val="20"/>
                <w:szCs w:val="20"/>
              </w:rPr>
              <w:t>$113,520</w:t>
            </w:r>
          </w:p>
        </w:tc>
        <w:tc>
          <w:tcPr>
            <w:tcW w:w="1890" w:type="dxa"/>
            <w:vAlign w:val="center"/>
          </w:tcPr>
          <w:p w:rsidR="00484132" w:rsidRDefault="00484132" w:rsidP="007471A8">
            <w:pPr>
              <w:contextualSpacing/>
              <w:jc w:val="right"/>
              <w:rPr>
                <w:sz w:val="20"/>
              </w:rPr>
            </w:pPr>
            <w:r w:rsidRPr="0002015A">
              <w:rPr>
                <w:color w:val="000000"/>
                <w:sz w:val="20"/>
                <w:szCs w:val="20"/>
              </w:rPr>
              <w:t>$…</w:t>
            </w:r>
          </w:p>
        </w:tc>
        <w:tc>
          <w:tcPr>
            <w:tcW w:w="2070" w:type="dxa"/>
          </w:tcPr>
          <w:p w:rsidR="00484132" w:rsidRDefault="00484132" w:rsidP="007471A8">
            <w:pPr>
              <w:contextualSpacing/>
              <w:jc w:val="right"/>
              <w:rPr>
                <w:sz w:val="20"/>
              </w:rPr>
            </w:pPr>
            <w:r w:rsidRPr="0002015A">
              <w:rPr>
                <w:color w:val="000000"/>
                <w:sz w:val="20"/>
                <w:szCs w:val="20"/>
              </w:rPr>
              <w:t>$…</w:t>
            </w:r>
          </w:p>
        </w:tc>
      </w:tr>
    </w:tbl>
    <w:p w:rsidR="00D020D3" w:rsidRDefault="00D020D3" w:rsidP="007471A8">
      <w:pPr>
        <w:pStyle w:val="BodyText"/>
        <w:contextualSpacing/>
        <w:rPr>
          <w:rFonts w:cs="Arial"/>
          <w:b/>
          <w:bCs/>
          <w:sz w:val="28"/>
          <w:szCs w:val="28"/>
        </w:rPr>
        <w:sectPr w:rsidR="00D020D3" w:rsidSect="007471A8">
          <w:footerReference w:type="even" r:id="rId66"/>
          <w:footerReference w:type="default" r:id="rId67"/>
          <w:pgSz w:w="12240" w:h="15840" w:code="1"/>
          <w:pgMar w:top="1080" w:right="1080" w:bottom="1080" w:left="1080" w:header="432" w:footer="432" w:gutter="0"/>
          <w:pgNumType w:start="1"/>
          <w:cols w:space="720"/>
          <w:docGrid w:linePitch="326"/>
        </w:sectPr>
      </w:pPr>
    </w:p>
    <w:p w:rsidR="00C7235A" w:rsidRDefault="002A47C8" w:rsidP="007471A8">
      <w:pPr>
        <w:pStyle w:val="BodyText"/>
        <w:contextualSpacing/>
        <w:rPr>
          <w:rFonts w:cs="Arial"/>
          <w:b/>
          <w:bCs/>
          <w:sz w:val="28"/>
          <w:szCs w:val="28"/>
        </w:rPr>
      </w:pPr>
      <w:bookmarkStart w:id="21" w:name="CNST_Approps_Lanugage"/>
      <w:bookmarkEnd w:id="21"/>
      <w:r>
        <w:rPr>
          <w:rFonts w:cs="Arial"/>
          <w:b/>
          <w:bCs/>
          <w:sz w:val="28"/>
          <w:szCs w:val="28"/>
        </w:rPr>
        <w:lastRenderedPageBreak/>
        <w:t>VIII.</w:t>
      </w:r>
      <w:r w:rsidR="00C7235A">
        <w:rPr>
          <w:rFonts w:cs="Arial"/>
          <w:b/>
          <w:bCs/>
          <w:sz w:val="28"/>
          <w:szCs w:val="28"/>
        </w:rPr>
        <w:t xml:space="preserve"> Construction</w:t>
      </w:r>
      <w:r>
        <w:rPr>
          <w:rFonts w:cs="Arial"/>
          <w:b/>
          <w:bCs/>
          <w:sz w:val="28"/>
          <w:szCs w:val="28"/>
        </w:rPr>
        <w:t xml:space="preserve"> </w:t>
      </w:r>
    </w:p>
    <w:p w:rsidR="00C7235A" w:rsidRDefault="00C7235A" w:rsidP="007471A8">
      <w:pPr>
        <w:pStyle w:val="BodyText"/>
        <w:contextualSpacing/>
        <w:rPr>
          <w:rFonts w:cs="Arial"/>
          <w:b/>
          <w:bCs/>
          <w:sz w:val="28"/>
          <w:szCs w:val="28"/>
        </w:rPr>
      </w:pPr>
    </w:p>
    <w:p w:rsidR="002A47C8" w:rsidRPr="00C7235A" w:rsidRDefault="00C7235A" w:rsidP="007471A8">
      <w:pPr>
        <w:pStyle w:val="BodyText"/>
        <w:contextualSpacing/>
        <w:rPr>
          <w:rFonts w:cs="Arial"/>
          <w:b/>
          <w:bCs/>
          <w:szCs w:val="24"/>
        </w:rPr>
      </w:pPr>
      <w:r w:rsidRPr="00C7235A">
        <w:rPr>
          <w:rFonts w:cs="Arial"/>
          <w:b/>
          <w:bCs/>
          <w:szCs w:val="24"/>
        </w:rPr>
        <w:t xml:space="preserve">A: </w:t>
      </w:r>
      <w:r w:rsidR="002A47C8" w:rsidRPr="00C7235A">
        <w:rPr>
          <w:rFonts w:cs="Arial"/>
          <w:b/>
          <w:bCs/>
          <w:szCs w:val="24"/>
        </w:rPr>
        <w:t>Appropriations Language and Analysis of Appropriations Language</w:t>
      </w:r>
    </w:p>
    <w:p w:rsidR="002A47C8" w:rsidRDefault="002A47C8" w:rsidP="007471A8">
      <w:pPr>
        <w:pStyle w:val="BodyText"/>
        <w:contextualSpacing/>
        <w:rPr>
          <w:rFonts w:cs="Arial"/>
          <w:b/>
          <w:bCs/>
          <w:sz w:val="28"/>
          <w:szCs w:val="28"/>
        </w:rPr>
      </w:pPr>
    </w:p>
    <w:p w:rsidR="002A47C8" w:rsidRPr="00A06230" w:rsidRDefault="002A47C8" w:rsidP="007471A8">
      <w:pPr>
        <w:pStyle w:val="BodyText"/>
        <w:contextualSpacing/>
        <w:rPr>
          <w:rFonts w:cs="Arial"/>
          <w:b/>
          <w:bCs/>
        </w:rPr>
      </w:pPr>
      <w:r>
        <w:rPr>
          <w:rFonts w:cs="Arial"/>
          <w:b/>
          <w:bCs/>
        </w:rPr>
        <w:t>Appropriations Language for Construction</w:t>
      </w:r>
    </w:p>
    <w:p w:rsidR="002A47C8" w:rsidRDefault="002A47C8" w:rsidP="007471A8">
      <w:pPr>
        <w:pStyle w:val="BodyText"/>
        <w:contextualSpacing/>
        <w:rPr>
          <w:rFonts w:cs="Arial"/>
          <w:b/>
          <w:bCs/>
        </w:rPr>
      </w:pPr>
    </w:p>
    <w:p w:rsidR="002A47C8" w:rsidRPr="009C031E" w:rsidRDefault="002A47C8" w:rsidP="007471A8">
      <w:pPr>
        <w:pStyle w:val="BodyText"/>
        <w:contextualSpacing/>
        <w:rPr>
          <w:rFonts w:cs="Arial"/>
          <w:bCs/>
          <w:i/>
        </w:rPr>
      </w:pPr>
      <w:r>
        <w:rPr>
          <w:rFonts w:cs="Arial"/>
          <w:bCs/>
        </w:rPr>
        <w:t xml:space="preserve">For necessary expenses, to include the cost of equipment, furniture, and information technology requirements, related to construction or acquisition of buildings, facilities and sites by purchase, or as otherwise authorized by law; conversion, modification and extension of Federally-owned buildings; preliminary planning and design of projects; and operation and maintenance of secure work environment facilities and secure networking capabilities; [$80,982,000] </w:t>
      </w:r>
      <w:r>
        <w:rPr>
          <w:rFonts w:cs="Arial"/>
          <w:bCs/>
          <w:i/>
        </w:rPr>
        <w:t>$80,982,000</w:t>
      </w:r>
      <w:r>
        <w:rPr>
          <w:rFonts w:cs="Arial"/>
          <w:bCs/>
        </w:rPr>
        <w:t xml:space="preserve">, to remain available until expended.  </w:t>
      </w:r>
      <w:proofErr w:type="gramStart"/>
      <w:r>
        <w:rPr>
          <w:rFonts w:cs="Arial"/>
          <w:bCs/>
          <w:i/>
        </w:rPr>
        <w:t>(Department of Justice Appropriations Act, 2012.)</w:t>
      </w:r>
      <w:proofErr w:type="gramEnd"/>
    </w:p>
    <w:p w:rsidR="002A47C8" w:rsidRPr="009C031E" w:rsidRDefault="002A47C8" w:rsidP="007471A8">
      <w:pPr>
        <w:pStyle w:val="BodyText"/>
        <w:contextualSpacing/>
        <w:rPr>
          <w:rFonts w:cs="Arial"/>
          <w:bCs/>
        </w:rPr>
      </w:pPr>
    </w:p>
    <w:p w:rsidR="002A47C8" w:rsidRDefault="002A47C8" w:rsidP="007471A8">
      <w:pPr>
        <w:pStyle w:val="BodyText"/>
        <w:contextualSpacing/>
        <w:rPr>
          <w:rFonts w:cs="Arial"/>
          <w:b/>
          <w:bCs/>
        </w:rPr>
      </w:pPr>
      <w:r>
        <w:rPr>
          <w:rFonts w:cs="Arial"/>
          <w:b/>
          <w:bCs/>
        </w:rPr>
        <w:t>Analysis of Appropriations Language</w:t>
      </w:r>
    </w:p>
    <w:p w:rsidR="002A47C8" w:rsidRDefault="002A47C8" w:rsidP="007471A8">
      <w:pPr>
        <w:pStyle w:val="BodyText"/>
        <w:contextualSpacing/>
        <w:rPr>
          <w:rFonts w:cs="Arial"/>
          <w:bCs/>
          <w:i/>
        </w:rPr>
      </w:pPr>
    </w:p>
    <w:p w:rsidR="002A47C8" w:rsidRPr="009C031E" w:rsidRDefault="002A47C8" w:rsidP="007471A8">
      <w:pPr>
        <w:pStyle w:val="BodyText"/>
        <w:contextualSpacing/>
        <w:rPr>
          <w:rFonts w:cs="Arial"/>
          <w:bCs/>
        </w:rPr>
      </w:pPr>
      <w:r>
        <w:rPr>
          <w:rFonts w:cs="Arial"/>
          <w:bCs/>
        </w:rPr>
        <w:t>No substantive changes proposed.</w:t>
      </w:r>
    </w:p>
    <w:p w:rsidR="00B27D64" w:rsidRPr="001525BF" w:rsidRDefault="00B27D64" w:rsidP="001525BF">
      <w:pPr>
        <w:tabs>
          <w:tab w:val="left" w:leader="dot" w:pos="7920"/>
          <w:tab w:val="right" w:pos="8640"/>
        </w:tabs>
        <w:ind w:left="360"/>
        <w:rPr>
          <w:b/>
          <w:bCs/>
        </w:rPr>
      </w:pPr>
    </w:p>
    <w:sectPr w:rsidR="00B27D64" w:rsidRPr="001525BF" w:rsidSect="007471A8">
      <w:footerReference w:type="default" r:id="rId68"/>
      <w:pgSz w:w="12240" w:h="15840" w:code="1"/>
      <w:pgMar w:top="1080" w:right="1080" w:bottom="1080" w:left="1080" w:header="432" w:footer="432"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262" w:rsidRDefault="00561262">
      <w:r>
        <w:separator/>
      </w:r>
    </w:p>
  </w:endnote>
  <w:endnote w:type="continuationSeparator" w:id="0">
    <w:p w:rsidR="00561262" w:rsidRDefault="005612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9D1CB8" w:rsidRDefault="00561262">
    <w:pPr>
      <w:pStyle w:val="Footer"/>
      <w:rPr>
        <w:rFonts w:ascii="Times New Roman" w:hAnsi="Times New Roman"/>
        <w:sz w:val="24"/>
        <w:szCs w:val="24"/>
      </w:rPr>
    </w:pPr>
    <w:r w:rsidRPr="009D1CB8">
      <w:rPr>
        <w:rFonts w:ascii="Times New Roman" w:hAnsi="Times New Roman"/>
        <w:sz w:val="24"/>
        <w:szCs w:val="24"/>
      </w:rPr>
      <w:ptab w:relativeTo="margin" w:alignment="right" w:leader="none"/>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0906AA" w:rsidRDefault="00561262" w:rsidP="000906AA">
    <w:pPr>
      <w:pStyle w:val="Footer"/>
      <w:rPr>
        <w:szCs w:val="24"/>
      </w:rPr>
    </w:pPr>
    <w:r w:rsidRPr="000906AA">
      <w:rPr>
        <w:szCs w:val="24"/>
      </w:rPr>
      <w:ptab w:relativeTo="margin" w:alignment="center" w:leader="none"/>
    </w:r>
    <w:r w:rsidRPr="000906AA">
      <w:rPr>
        <w:szCs w:val="24"/>
      </w:rPr>
      <w:ptab w:relativeTo="margin" w:alignment="right" w:leader="none"/>
    </w:r>
    <w:r w:rsidRPr="000906AA">
      <w:rPr>
        <w:rFonts w:ascii="Times New Roman" w:hAnsi="Times New Roman"/>
        <w:sz w:val="24"/>
        <w:szCs w:val="24"/>
      </w:rPr>
      <w:t>4-</w:t>
    </w:r>
    <w:r w:rsidR="00C5224D" w:rsidRPr="000906AA">
      <w:rPr>
        <w:rFonts w:ascii="Times New Roman" w:hAnsi="Times New Roman"/>
        <w:sz w:val="24"/>
        <w:szCs w:val="24"/>
      </w:rPr>
      <w:fldChar w:fldCharType="begin"/>
    </w:r>
    <w:r w:rsidRPr="000906AA">
      <w:rPr>
        <w:rFonts w:ascii="Times New Roman" w:hAnsi="Times New Roman"/>
        <w:sz w:val="24"/>
        <w:szCs w:val="24"/>
      </w:rPr>
      <w:instrText xml:space="preserve"> PAGE   \* MERGEFORMAT </w:instrText>
    </w:r>
    <w:r w:rsidR="00C5224D" w:rsidRPr="000906AA">
      <w:rPr>
        <w:rFonts w:ascii="Times New Roman" w:hAnsi="Times New Roman"/>
        <w:sz w:val="24"/>
        <w:szCs w:val="24"/>
      </w:rPr>
      <w:fldChar w:fldCharType="separate"/>
    </w:r>
    <w:r w:rsidR="004E17F1">
      <w:rPr>
        <w:rFonts w:ascii="Times New Roman" w:hAnsi="Times New Roman"/>
        <w:noProof/>
        <w:sz w:val="24"/>
        <w:szCs w:val="24"/>
      </w:rPr>
      <w:t>17</w:t>
    </w:r>
    <w:r w:rsidR="00C5224D" w:rsidRPr="000906AA">
      <w:rPr>
        <w:rFonts w:ascii="Times New Roman" w:hAnsi="Times New Roman"/>
        <w:sz w:val="24"/>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5C1F9A" w:rsidRDefault="00561262" w:rsidP="009552BF">
    <w:pPr>
      <w:pStyle w:val="Footer"/>
      <w:jc w:val="center"/>
      <w:rPr>
        <w:rFonts w:ascii="Times New Roman" w:hAnsi="Times New Roman"/>
        <w:sz w:val="24"/>
        <w:szCs w:val="24"/>
      </w:rPr>
    </w:pPr>
    <w:r w:rsidRPr="005663C4">
      <w:rPr>
        <w:rFonts w:ascii="Times New Roman" w:hAnsi="Times New Roman"/>
        <w:sz w:val="24"/>
        <w:szCs w:val="24"/>
      </w:rPr>
      <w:ptab w:relativeTo="margin" w:alignment="center" w:leader="none"/>
    </w:r>
    <w:r w:rsidRPr="005663C4">
      <w:rPr>
        <w:rFonts w:ascii="Times New Roman" w:hAnsi="Times New Roman"/>
        <w:sz w:val="24"/>
        <w:szCs w:val="24"/>
      </w:rPr>
      <w:ptab w:relativeTo="margin" w:alignment="right" w:leader="none"/>
    </w:r>
    <w:r>
      <w:rPr>
        <w:rFonts w:ascii="Times New Roman" w:hAnsi="Times New Roman"/>
        <w:sz w:val="24"/>
        <w:szCs w:val="24"/>
      </w:rPr>
      <w:t>4-</w:t>
    </w:r>
    <w:r w:rsidR="00C5224D" w:rsidRPr="005663C4">
      <w:rPr>
        <w:rFonts w:ascii="Times New Roman" w:hAnsi="Times New Roman"/>
        <w:sz w:val="24"/>
        <w:szCs w:val="24"/>
      </w:rPr>
      <w:fldChar w:fldCharType="begin"/>
    </w:r>
    <w:r w:rsidRPr="005663C4">
      <w:rPr>
        <w:rFonts w:ascii="Times New Roman" w:hAnsi="Times New Roman"/>
        <w:sz w:val="24"/>
        <w:szCs w:val="24"/>
      </w:rPr>
      <w:instrText xml:space="preserve"> PAGE   \* MERGEFORMAT </w:instrText>
    </w:r>
    <w:r w:rsidR="00C5224D" w:rsidRPr="005663C4">
      <w:rPr>
        <w:rFonts w:ascii="Times New Roman" w:hAnsi="Times New Roman"/>
        <w:sz w:val="24"/>
        <w:szCs w:val="24"/>
      </w:rPr>
      <w:fldChar w:fldCharType="separate"/>
    </w:r>
    <w:r w:rsidR="004E17F1">
      <w:rPr>
        <w:rFonts w:ascii="Times New Roman" w:hAnsi="Times New Roman"/>
        <w:noProof/>
        <w:sz w:val="24"/>
        <w:szCs w:val="24"/>
      </w:rPr>
      <w:t>19</w:t>
    </w:r>
    <w:r w:rsidR="00C5224D" w:rsidRPr="005663C4">
      <w:rPr>
        <w:rFonts w:ascii="Times New Roman" w:hAnsi="Times New Roman"/>
        <w:sz w:val="24"/>
        <w:szCs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E04265" w:rsidRDefault="00561262">
    <w:pPr>
      <w:pStyle w:val="Footer"/>
      <w:rPr>
        <w:rFonts w:ascii="Times New Roman" w:hAnsi="Times New Roman"/>
        <w:sz w:val="24"/>
        <w:szCs w:val="24"/>
      </w:rPr>
    </w:pPr>
    <w:r>
      <w:rPr>
        <w:rFonts w:ascii="Times New Roman" w:hAnsi="Times New Roman"/>
        <w:sz w:val="24"/>
        <w:szCs w:val="24"/>
      </w:rPr>
      <w:t>4-</w:t>
    </w:r>
    <w:r w:rsidR="00C5224D" w:rsidRPr="009217D6">
      <w:rPr>
        <w:rFonts w:ascii="Times New Roman" w:hAnsi="Times New Roman"/>
        <w:sz w:val="24"/>
        <w:szCs w:val="24"/>
      </w:rPr>
      <w:fldChar w:fldCharType="begin"/>
    </w:r>
    <w:r w:rsidRPr="009217D6">
      <w:rPr>
        <w:rFonts w:ascii="Times New Roman" w:hAnsi="Times New Roman"/>
        <w:sz w:val="24"/>
        <w:szCs w:val="24"/>
      </w:rPr>
      <w:instrText xml:space="preserve"> PAGE   \* MERGEFORMAT </w:instrText>
    </w:r>
    <w:r w:rsidR="00C5224D" w:rsidRPr="009217D6">
      <w:rPr>
        <w:rFonts w:ascii="Times New Roman" w:hAnsi="Times New Roman"/>
        <w:sz w:val="24"/>
        <w:szCs w:val="24"/>
      </w:rPr>
      <w:fldChar w:fldCharType="separate"/>
    </w:r>
    <w:r w:rsidR="004E17F1">
      <w:rPr>
        <w:rFonts w:ascii="Times New Roman" w:hAnsi="Times New Roman"/>
        <w:noProof/>
        <w:sz w:val="24"/>
        <w:szCs w:val="24"/>
      </w:rPr>
      <w:t>60</w:t>
    </w:r>
    <w:r w:rsidR="00C5224D" w:rsidRPr="009217D6">
      <w:rPr>
        <w:rFonts w:ascii="Times New Roman" w:hAnsi="Times New Roman"/>
        <w:sz w:val="24"/>
        <w:szCs w:val="24"/>
      </w:rPr>
      <w:fldChar w:fldCharType="end"/>
    </w:r>
    <w:r w:rsidRPr="00E04265">
      <w:rPr>
        <w:rFonts w:ascii="Times New Roman" w:hAnsi="Times New Roman"/>
        <w:sz w:val="24"/>
        <w:szCs w:val="24"/>
      </w:rPr>
      <w:ptab w:relativeTo="margin" w:alignment="center" w:leader="none"/>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9D1CB8" w:rsidRDefault="00561262" w:rsidP="00837FD7">
    <w:pPr>
      <w:pStyle w:val="Footer"/>
      <w:jc w:val="both"/>
      <w:rPr>
        <w:rFonts w:ascii="Times New Roman" w:hAnsi="Times New Roman"/>
        <w:sz w:val="24"/>
        <w:szCs w:val="24"/>
      </w:rPr>
    </w:pPr>
    <w:r w:rsidRPr="009217D6">
      <w:rPr>
        <w:rFonts w:ascii="Times New Roman" w:hAnsi="Times New Roman"/>
        <w:sz w:val="24"/>
        <w:szCs w:val="24"/>
      </w:rPr>
      <w:ptab w:relativeTo="margin" w:alignment="right" w:leader="none"/>
    </w:r>
    <w:r>
      <w:rPr>
        <w:rFonts w:ascii="Times New Roman" w:hAnsi="Times New Roman"/>
        <w:sz w:val="24"/>
        <w:szCs w:val="24"/>
      </w:rPr>
      <w:t>4-</w:t>
    </w:r>
    <w:r w:rsidR="00C5224D" w:rsidRPr="009217D6">
      <w:rPr>
        <w:rFonts w:ascii="Times New Roman" w:hAnsi="Times New Roman"/>
        <w:sz w:val="24"/>
        <w:szCs w:val="24"/>
      </w:rPr>
      <w:fldChar w:fldCharType="begin"/>
    </w:r>
    <w:r w:rsidRPr="009217D6">
      <w:rPr>
        <w:rFonts w:ascii="Times New Roman" w:hAnsi="Times New Roman"/>
        <w:sz w:val="24"/>
        <w:szCs w:val="24"/>
      </w:rPr>
      <w:instrText xml:space="preserve"> PAGE   \* MERGEFORMAT </w:instrText>
    </w:r>
    <w:r w:rsidR="00C5224D" w:rsidRPr="009217D6">
      <w:rPr>
        <w:rFonts w:ascii="Times New Roman" w:hAnsi="Times New Roman"/>
        <w:sz w:val="24"/>
        <w:szCs w:val="24"/>
      </w:rPr>
      <w:fldChar w:fldCharType="separate"/>
    </w:r>
    <w:r w:rsidR="004E17F1">
      <w:rPr>
        <w:rFonts w:ascii="Times New Roman" w:hAnsi="Times New Roman"/>
        <w:noProof/>
        <w:sz w:val="24"/>
        <w:szCs w:val="24"/>
      </w:rPr>
      <w:t>59</w:t>
    </w:r>
    <w:r w:rsidR="00C5224D" w:rsidRPr="009217D6">
      <w:rPr>
        <w:rFonts w:ascii="Times New Roman" w:hAnsi="Times New Roman"/>
        <w:sz w:val="24"/>
        <w:szCs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Default="00561262">
    <w:pPr>
      <w:pStyle w:val="Footer"/>
      <w:rPr>
        <w:rFonts w:ascii="Times New Roman" w:hAnsi="Times New Roman"/>
        <w:sz w:val="24"/>
        <w:szCs w:val="24"/>
      </w:rPr>
    </w:pPr>
    <w:r>
      <w:rPr>
        <w:rFonts w:ascii="Times New Roman" w:hAnsi="Times New Roman"/>
        <w:sz w:val="24"/>
        <w:szCs w:val="24"/>
      </w:rPr>
      <w:t>5-</w:t>
    </w:r>
    <w:r w:rsidR="00C5224D" w:rsidRPr="00310D57">
      <w:rPr>
        <w:rFonts w:ascii="Times New Roman" w:hAnsi="Times New Roman"/>
        <w:sz w:val="24"/>
        <w:szCs w:val="24"/>
      </w:rPr>
      <w:fldChar w:fldCharType="begin"/>
    </w:r>
    <w:r w:rsidRPr="00310D57">
      <w:rPr>
        <w:rFonts w:ascii="Times New Roman" w:hAnsi="Times New Roman"/>
        <w:sz w:val="24"/>
        <w:szCs w:val="24"/>
      </w:rPr>
      <w:instrText xml:space="preserve"> PAGE   \* MERGEFORMAT </w:instrText>
    </w:r>
    <w:r w:rsidR="00C5224D" w:rsidRPr="00310D57">
      <w:rPr>
        <w:rFonts w:ascii="Times New Roman" w:hAnsi="Times New Roman"/>
        <w:sz w:val="24"/>
        <w:szCs w:val="24"/>
      </w:rPr>
      <w:fldChar w:fldCharType="separate"/>
    </w:r>
    <w:r w:rsidR="004E17F1">
      <w:rPr>
        <w:rFonts w:ascii="Times New Roman" w:hAnsi="Times New Roman"/>
        <w:noProof/>
        <w:sz w:val="24"/>
        <w:szCs w:val="24"/>
      </w:rPr>
      <w:t>6</w:t>
    </w:r>
    <w:r w:rsidR="00C5224D" w:rsidRPr="00310D57">
      <w:rPr>
        <w:rFonts w:ascii="Times New Roman" w:hAnsi="Times New Roman"/>
        <w:sz w:val="24"/>
        <w:szCs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9D1CB8" w:rsidRDefault="00561262" w:rsidP="00837FD7">
    <w:pPr>
      <w:pStyle w:val="Footer"/>
      <w:jc w:val="both"/>
      <w:rPr>
        <w:rFonts w:ascii="Times New Roman" w:hAnsi="Times New Roman"/>
        <w:sz w:val="24"/>
        <w:szCs w:val="24"/>
      </w:rPr>
    </w:pPr>
    <w:r w:rsidRPr="009217D6">
      <w:rPr>
        <w:rFonts w:ascii="Times New Roman" w:hAnsi="Times New Roman"/>
        <w:sz w:val="24"/>
        <w:szCs w:val="24"/>
      </w:rPr>
      <w:ptab w:relativeTo="margin" w:alignment="right" w:leader="none"/>
    </w:r>
    <w:r>
      <w:rPr>
        <w:rFonts w:ascii="Times New Roman" w:hAnsi="Times New Roman"/>
        <w:sz w:val="24"/>
        <w:szCs w:val="24"/>
      </w:rPr>
      <w:t>5-</w:t>
    </w:r>
    <w:r w:rsidR="00C5224D" w:rsidRPr="00310D57">
      <w:rPr>
        <w:rFonts w:ascii="Times New Roman" w:hAnsi="Times New Roman"/>
        <w:sz w:val="24"/>
        <w:szCs w:val="24"/>
      </w:rPr>
      <w:fldChar w:fldCharType="begin"/>
    </w:r>
    <w:r w:rsidRPr="00310D57">
      <w:rPr>
        <w:rFonts w:ascii="Times New Roman" w:hAnsi="Times New Roman"/>
        <w:sz w:val="24"/>
        <w:szCs w:val="24"/>
      </w:rPr>
      <w:instrText xml:space="preserve"> PAGE   \* MERGEFORMAT </w:instrText>
    </w:r>
    <w:r w:rsidR="00C5224D" w:rsidRPr="00310D57">
      <w:rPr>
        <w:rFonts w:ascii="Times New Roman" w:hAnsi="Times New Roman"/>
        <w:sz w:val="24"/>
        <w:szCs w:val="24"/>
      </w:rPr>
      <w:fldChar w:fldCharType="separate"/>
    </w:r>
    <w:r w:rsidR="004E17F1">
      <w:rPr>
        <w:rFonts w:ascii="Times New Roman" w:hAnsi="Times New Roman"/>
        <w:noProof/>
        <w:sz w:val="24"/>
        <w:szCs w:val="24"/>
      </w:rPr>
      <w:t>7</w:t>
    </w:r>
    <w:r w:rsidR="00C5224D" w:rsidRPr="00310D57">
      <w:rPr>
        <w:rFonts w:ascii="Times New Roman" w:hAnsi="Times New Roman"/>
        <w:sz w:val="24"/>
        <w:szCs w:val="2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5A2338" w:rsidRDefault="00561262">
    <w:pPr>
      <w:pStyle w:val="Footer"/>
      <w:rPr>
        <w:rFonts w:ascii="Times New Roman" w:hAnsi="Times New Roman"/>
        <w:sz w:val="24"/>
        <w:szCs w:val="24"/>
      </w:rPr>
    </w:pPr>
    <w:r>
      <w:rPr>
        <w:rFonts w:ascii="Times New Roman" w:hAnsi="Times New Roman"/>
        <w:sz w:val="24"/>
        <w:szCs w:val="24"/>
      </w:rPr>
      <w:t>6-</w:t>
    </w:r>
    <w:r w:rsidR="00C5224D" w:rsidRPr="00310D57">
      <w:rPr>
        <w:rFonts w:ascii="Times New Roman" w:hAnsi="Times New Roman"/>
        <w:sz w:val="24"/>
        <w:szCs w:val="24"/>
      </w:rPr>
      <w:fldChar w:fldCharType="begin"/>
    </w:r>
    <w:r w:rsidRPr="00310D57">
      <w:rPr>
        <w:rFonts w:ascii="Times New Roman" w:hAnsi="Times New Roman"/>
        <w:sz w:val="24"/>
        <w:szCs w:val="24"/>
      </w:rPr>
      <w:instrText xml:space="preserve"> PAGE   \* MERGEFORMAT </w:instrText>
    </w:r>
    <w:r w:rsidR="00C5224D" w:rsidRPr="00310D57">
      <w:rPr>
        <w:rFonts w:ascii="Times New Roman" w:hAnsi="Times New Roman"/>
        <w:sz w:val="24"/>
        <w:szCs w:val="24"/>
      </w:rPr>
      <w:fldChar w:fldCharType="separate"/>
    </w:r>
    <w:r w:rsidR="004E17F1">
      <w:rPr>
        <w:rFonts w:ascii="Times New Roman" w:hAnsi="Times New Roman"/>
        <w:noProof/>
        <w:sz w:val="24"/>
        <w:szCs w:val="24"/>
      </w:rPr>
      <w:t>14</w:t>
    </w:r>
    <w:r w:rsidR="00C5224D" w:rsidRPr="00310D57">
      <w:rPr>
        <w:rFonts w:ascii="Times New Roman" w:hAnsi="Times New Roman"/>
        <w:sz w:val="24"/>
        <w:szCs w:val="24"/>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9D1CB8" w:rsidRDefault="00561262" w:rsidP="00837FD7">
    <w:pPr>
      <w:pStyle w:val="Footer"/>
      <w:jc w:val="both"/>
      <w:rPr>
        <w:rFonts w:ascii="Times New Roman" w:hAnsi="Times New Roman"/>
        <w:sz w:val="24"/>
        <w:szCs w:val="24"/>
      </w:rPr>
    </w:pPr>
    <w:r w:rsidRPr="009D1CB8">
      <w:rPr>
        <w:rFonts w:ascii="Times New Roman" w:hAnsi="Times New Roman"/>
        <w:sz w:val="24"/>
        <w:szCs w:val="24"/>
      </w:rPr>
      <w:ptab w:relativeTo="margin" w:alignment="right" w:leader="none"/>
    </w:r>
    <w:r>
      <w:rPr>
        <w:rFonts w:ascii="Times New Roman" w:hAnsi="Times New Roman"/>
        <w:sz w:val="24"/>
        <w:szCs w:val="24"/>
      </w:rPr>
      <w:t>6</w:t>
    </w:r>
    <w:r w:rsidRPr="009D1CB8">
      <w:rPr>
        <w:rFonts w:ascii="Times New Roman" w:hAnsi="Times New Roman"/>
        <w:sz w:val="24"/>
        <w:szCs w:val="24"/>
      </w:rPr>
      <w:t>-</w:t>
    </w:r>
    <w:r w:rsidR="00C5224D" w:rsidRPr="009D1CB8">
      <w:rPr>
        <w:rFonts w:ascii="Times New Roman" w:hAnsi="Times New Roman"/>
        <w:sz w:val="24"/>
        <w:szCs w:val="24"/>
      </w:rPr>
      <w:fldChar w:fldCharType="begin"/>
    </w:r>
    <w:r w:rsidRPr="009D1CB8">
      <w:rPr>
        <w:rFonts w:ascii="Times New Roman" w:hAnsi="Times New Roman"/>
        <w:sz w:val="24"/>
        <w:szCs w:val="24"/>
      </w:rPr>
      <w:instrText xml:space="preserve"> PAGE   \* MERGEFORMAT </w:instrText>
    </w:r>
    <w:r w:rsidR="00C5224D" w:rsidRPr="009D1CB8">
      <w:rPr>
        <w:rFonts w:ascii="Times New Roman" w:hAnsi="Times New Roman"/>
        <w:sz w:val="24"/>
        <w:szCs w:val="24"/>
      </w:rPr>
      <w:fldChar w:fldCharType="separate"/>
    </w:r>
    <w:r w:rsidR="004E17F1">
      <w:rPr>
        <w:rFonts w:ascii="Times New Roman" w:hAnsi="Times New Roman"/>
        <w:noProof/>
        <w:sz w:val="24"/>
        <w:szCs w:val="24"/>
      </w:rPr>
      <w:t>13</w:t>
    </w:r>
    <w:r w:rsidR="00C5224D" w:rsidRPr="009D1CB8">
      <w:rPr>
        <w:rFonts w:ascii="Times New Roman" w:hAnsi="Times New Roman"/>
        <w:sz w:val="24"/>
        <w:szCs w:val="24"/>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9D1CB8" w:rsidRDefault="00561262" w:rsidP="00837FD7">
    <w:pPr>
      <w:pStyle w:val="Footer"/>
      <w:jc w:val="both"/>
      <w:rPr>
        <w:rFonts w:ascii="Times New Roman" w:hAnsi="Times New Roman"/>
        <w:sz w:val="24"/>
        <w:szCs w:val="24"/>
      </w:rPr>
    </w:pPr>
    <w:r w:rsidRPr="009D1CB8">
      <w:rPr>
        <w:rFonts w:ascii="Times New Roman" w:hAnsi="Times New Roman"/>
        <w:sz w:val="24"/>
        <w:szCs w:val="24"/>
      </w:rPr>
      <w:ptab w:relativeTo="margin" w:alignment="right" w:leader="none"/>
    </w:r>
    <w:r>
      <w:rPr>
        <w:rFonts w:ascii="Times New Roman" w:hAnsi="Times New Roman"/>
        <w:sz w:val="24"/>
        <w:szCs w:val="24"/>
      </w:rPr>
      <w:t>8</w:t>
    </w:r>
    <w:r w:rsidRPr="009D1CB8">
      <w:rPr>
        <w:rFonts w:ascii="Times New Roman" w:hAnsi="Times New Roman"/>
        <w:sz w:val="24"/>
        <w:szCs w:val="24"/>
      </w:rPr>
      <w:t>-</w:t>
    </w:r>
    <w:r w:rsidR="00C5224D" w:rsidRPr="009D1CB8">
      <w:rPr>
        <w:rFonts w:ascii="Times New Roman" w:hAnsi="Times New Roman"/>
        <w:sz w:val="24"/>
        <w:szCs w:val="24"/>
      </w:rPr>
      <w:fldChar w:fldCharType="begin"/>
    </w:r>
    <w:r w:rsidRPr="009D1CB8">
      <w:rPr>
        <w:rFonts w:ascii="Times New Roman" w:hAnsi="Times New Roman"/>
        <w:sz w:val="24"/>
        <w:szCs w:val="24"/>
      </w:rPr>
      <w:instrText xml:space="preserve"> PAGE   \* MERGEFORMAT </w:instrText>
    </w:r>
    <w:r w:rsidR="00C5224D" w:rsidRPr="009D1CB8">
      <w:rPr>
        <w:rFonts w:ascii="Times New Roman" w:hAnsi="Times New Roman"/>
        <w:sz w:val="24"/>
        <w:szCs w:val="24"/>
      </w:rPr>
      <w:fldChar w:fldCharType="separate"/>
    </w:r>
    <w:r w:rsidR="004E17F1">
      <w:rPr>
        <w:rFonts w:ascii="Times New Roman" w:hAnsi="Times New Roman"/>
        <w:noProof/>
        <w:sz w:val="24"/>
        <w:szCs w:val="24"/>
      </w:rPr>
      <w:t>1</w:t>
    </w:r>
    <w:r w:rsidR="00C5224D" w:rsidRPr="009D1CB8">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5A2338" w:rsidRDefault="00561262">
    <w:pPr>
      <w:pStyle w:val="Footer"/>
      <w:rPr>
        <w:rFonts w:ascii="Times New Roman" w:hAnsi="Times New Roman"/>
        <w:sz w:val="24"/>
        <w:szCs w:val="24"/>
      </w:rPr>
    </w:pPr>
    <w:r w:rsidRPr="005A2338">
      <w:rPr>
        <w:rFonts w:ascii="Times New Roman" w:hAnsi="Times New Roman"/>
        <w:sz w:val="24"/>
        <w:szCs w:val="24"/>
      </w:rPr>
      <w:t>1-</w:t>
    </w:r>
    <w:r w:rsidR="00C5224D" w:rsidRPr="005A2338">
      <w:rPr>
        <w:rFonts w:ascii="Times New Roman" w:hAnsi="Times New Roman"/>
        <w:sz w:val="24"/>
        <w:szCs w:val="24"/>
      </w:rPr>
      <w:fldChar w:fldCharType="begin"/>
    </w:r>
    <w:r w:rsidRPr="005A2338">
      <w:rPr>
        <w:rFonts w:ascii="Times New Roman" w:hAnsi="Times New Roman"/>
        <w:sz w:val="24"/>
        <w:szCs w:val="24"/>
      </w:rPr>
      <w:instrText xml:space="preserve"> PAGE   \* MERGEFORMAT </w:instrText>
    </w:r>
    <w:r w:rsidR="00C5224D" w:rsidRPr="005A2338">
      <w:rPr>
        <w:rFonts w:ascii="Times New Roman" w:hAnsi="Times New Roman"/>
        <w:sz w:val="24"/>
        <w:szCs w:val="24"/>
      </w:rPr>
      <w:fldChar w:fldCharType="separate"/>
    </w:r>
    <w:r w:rsidR="004E17F1">
      <w:rPr>
        <w:rFonts w:ascii="Times New Roman" w:hAnsi="Times New Roman"/>
        <w:noProof/>
        <w:sz w:val="24"/>
        <w:szCs w:val="24"/>
      </w:rPr>
      <w:t>4</w:t>
    </w:r>
    <w:r w:rsidR="00C5224D" w:rsidRPr="005A2338">
      <w:rPr>
        <w:rFonts w:ascii="Times New Roman" w:hAnsi="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9D1CB8" w:rsidRDefault="00561262">
    <w:pPr>
      <w:pStyle w:val="Footer"/>
      <w:rPr>
        <w:rFonts w:ascii="Times New Roman" w:hAnsi="Times New Roman"/>
        <w:sz w:val="24"/>
        <w:szCs w:val="24"/>
      </w:rPr>
    </w:pPr>
    <w:r w:rsidRPr="009D1CB8">
      <w:rPr>
        <w:rFonts w:ascii="Times New Roman" w:hAnsi="Times New Roman"/>
        <w:sz w:val="24"/>
        <w:szCs w:val="24"/>
      </w:rPr>
      <w:ptab w:relativeTo="margin" w:alignment="right" w:leader="none"/>
    </w:r>
    <w:r w:rsidRPr="009D1CB8">
      <w:rPr>
        <w:rFonts w:ascii="Times New Roman" w:hAnsi="Times New Roman"/>
        <w:sz w:val="24"/>
        <w:szCs w:val="24"/>
      </w:rPr>
      <w:t>1-</w:t>
    </w:r>
    <w:r w:rsidR="00C5224D" w:rsidRPr="009D1CB8">
      <w:rPr>
        <w:rFonts w:ascii="Times New Roman" w:hAnsi="Times New Roman"/>
        <w:sz w:val="24"/>
        <w:szCs w:val="24"/>
      </w:rPr>
      <w:fldChar w:fldCharType="begin"/>
    </w:r>
    <w:r w:rsidRPr="009D1CB8">
      <w:rPr>
        <w:rFonts w:ascii="Times New Roman" w:hAnsi="Times New Roman"/>
        <w:sz w:val="24"/>
        <w:szCs w:val="24"/>
      </w:rPr>
      <w:instrText xml:space="preserve"> PAGE   \* MERGEFORMAT </w:instrText>
    </w:r>
    <w:r w:rsidR="00C5224D" w:rsidRPr="009D1CB8">
      <w:rPr>
        <w:rFonts w:ascii="Times New Roman" w:hAnsi="Times New Roman"/>
        <w:sz w:val="24"/>
        <w:szCs w:val="24"/>
      </w:rPr>
      <w:fldChar w:fldCharType="separate"/>
    </w:r>
    <w:r w:rsidR="004E17F1">
      <w:rPr>
        <w:rFonts w:ascii="Times New Roman" w:hAnsi="Times New Roman"/>
        <w:noProof/>
        <w:sz w:val="24"/>
        <w:szCs w:val="24"/>
      </w:rPr>
      <w:t>3</w:t>
    </w:r>
    <w:r w:rsidR="00C5224D" w:rsidRPr="009D1CB8">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9D1CB8" w:rsidRDefault="00561262">
    <w:pPr>
      <w:pStyle w:val="Footer"/>
      <w:rPr>
        <w:rFonts w:ascii="Times New Roman" w:hAnsi="Times New Roman"/>
        <w:sz w:val="24"/>
        <w:szCs w:val="24"/>
      </w:rPr>
    </w:pPr>
    <w:r w:rsidRPr="009D1CB8">
      <w:rPr>
        <w:rFonts w:ascii="Times New Roman" w:hAnsi="Times New Roman"/>
        <w:sz w:val="24"/>
        <w:szCs w:val="24"/>
      </w:rPr>
      <w:ptab w:relativeTo="margin" w:alignment="right" w:leader="none"/>
    </w:r>
    <w:r>
      <w:rPr>
        <w:rFonts w:ascii="Times New Roman" w:hAnsi="Times New Roman"/>
        <w:sz w:val="24"/>
        <w:szCs w:val="24"/>
      </w:rPr>
      <w:t>2</w:t>
    </w:r>
    <w:r w:rsidRPr="009D1CB8">
      <w:rPr>
        <w:rFonts w:ascii="Times New Roman" w:hAnsi="Times New Roman"/>
        <w:sz w:val="24"/>
        <w:szCs w:val="24"/>
      </w:rPr>
      <w:t>-</w:t>
    </w:r>
    <w:r w:rsidR="00C5224D" w:rsidRPr="009D1CB8">
      <w:rPr>
        <w:rFonts w:ascii="Times New Roman" w:hAnsi="Times New Roman"/>
        <w:sz w:val="24"/>
        <w:szCs w:val="24"/>
      </w:rPr>
      <w:fldChar w:fldCharType="begin"/>
    </w:r>
    <w:r w:rsidRPr="009D1CB8">
      <w:rPr>
        <w:rFonts w:ascii="Times New Roman" w:hAnsi="Times New Roman"/>
        <w:sz w:val="24"/>
        <w:szCs w:val="24"/>
      </w:rPr>
      <w:instrText xml:space="preserve"> PAGE   \* MERGEFORMAT </w:instrText>
    </w:r>
    <w:r w:rsidR="00C5224D" w:rsidRPr="009D1CB8">
      <w:rPr>
        <w:rFonts w:ascii="Times New Roman" w:hAnsi="Times New Roman"/>
        <w:sz w:val="24"/>
        <w:szCs w:val="24"/>
      </w:rPr>
      <w:fldChar w:fldCharType="separate"/>
    </w:r>
    <w:r w:rsidR="004E17F1">
      <w:rPr>
        <w:rFonts w:ascii="Times New Roman" w:hAnsi="Times New Roman"/>
        <w:noProof/>
        <w:sz w:val="24"/>
        <w:szCs w:val="24"/>
      </w:rPr>
      <w:t>1</w:t>
    </w:r>
    <w:r w:rsidR="00C5224D" w:rsidRPr="009D1CB8">
      <w:rPr>
        <w:rFonts w:ascii="Times New Roman" w:hAnsi="Times New Roman"/>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E04265" w:rsidRDefault="00561262">
    <w:pPr>
      <w:pStyle w:val="Footer"/>
      <w:rPr>
        <w:rFonts w:ascii="Times New Roman" w:hAnsi="Times New Roman"/>
        <w:sz w:val="24"/>
        <w:szCs w:val="24"/>
      </w:rPr>
    </w:pPr>
    <w:r>
      <w:rPr>
        <w:rFonts w:ascii="Times New Roman" w:hAnsi="Times New Roman"/>
        <w:sz w:val="24"/>
        <w:szCs w:val="24"/>
      </w:rPr>
      <w:t>3</w:t>
    </w:r>
    <w:r w:rsidRPr="00E04265">
      <w:rPr>
        <w:rFonts w:ascii="Times New Roman" w:hAnsi="Times New Roman"/>
        <w:sz w:val="24"/>
        <w:szCs w:val="24"/>
      </w:rPr>
      <w:t>-</w:t>
    </w:r>
    <w:r w:rsidR="00C5224D" w:rsidRPr="00E04265">
      <w:rPr>
        <w:rFonts w:ascii="Times New Roman" w:hAnsi="Times New Roman"/>
        <w:sz w:val="24"/>
        <w:szCs w:val="24"/>
      </w:rPr>
      <w:fldChar w:fldCharType="begin"/>
    </w:r>
    <w:r w:rsidRPr="00E04265">
      <w:rPr>
        <w:rFonts w:ascii="Times New Roman" w:hAnsi="Times New Roman"/>
        <w:sz w:val="24"/>
        <w:szCs w:val="24"/>
      </w:rPr>
      <w:instrText xml:space="preserve"> PAGE   \* MERGEFORMAT </w:instrText>
    </w:r>
    <w:r w:rsidR="00C5224D" w:rsidRPr="00E04265">
      <w:rPr>
        <w:rFonts w:ascii="Times New Roman" w:hAnsi="Times New Roman"/>
        <w:sz w:val="24"/>
        <w:szCs w:val="24"/>
      </w:rPr>
      <w:fldChar w:fldCharType="separate"/>
    </w:r>
    <w:r>
      <w:rPr>
        <w:rFonts w:ascii="Times New Roman" w:hAnsi="Times New Roman"/>
        <w:noProof/>
        <w:sz w:val="24"/>
        <w:szCs w:val="24"/>
      </w:rPr>
      <w:t>2</w:t>
    </w:r>
    <w:r w:rsidR="00C5224D" w:rsidRPr="00E04265">
      <w:rPr>
        <w:rFonts w:ascii="Times New Roman" w:hAnsi="Times New Roman"/>
        <w:sz w:val="24"/>
        <w:szCs w:val="24"/>
      </w:rPr>
      <w:fldChar w:fldCharType="end"/>
    </w:r>
    <w:r w:rsidRPr="00E04265">
      <w:rPr>
        <w:rFonts w:ascii="Times New Roman" w:hAnsi="Times New Roman"/>
        <w:sz w:val="24"/>
        <w:szCs w:val="24"/>
      </w:rPr>
      <w:ptab w:relativeTo="margin" w:alignment="center" w:leader="none"/>
    </w:r>
    <w:r w:rsidRPr="00E04265">
      <w:rPr>
        <w:rFonts w:ascii="Times New Roman" w:hAnsi="Times New Roman"/>
        <w:sz w:val="24"/>
        <w:szCs w:val="24"/>
      </w:rPr>
      <w:ptab w:relativeTo="margin" w:alignment="right" w:leader="none"/>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7D7C0F" w:rsidRDefault="00561262" w:rsidP="009552BF">
    <w:pPr>
      <w:pStyle w:val="Footer"/>
      <w:jc w:val="center"/>
      <w:rPr>
        <w:rFonts w:ascii="CG Times" w:hAnsi="CG Times"/>
        <w:sz w:val="24"/>
        <w:szCs w:val="24"/>
      </w:rPr>
    </w:pPr>
    <w:r w:rsidRPr="00480F4A">
      <w:rPr>
        <w:rFonts w:ascii="Times New Roman" w:hAnsi="Times New Roman"/>
        <w:sz w:val="24"/>
        <w:szCs w:val="24"/>
      </w:rPr>
      <w:ptab w:relativeTo="margin" w:alignment="center" w:leader="none"/>
    </w:r>
    <w:r w:rsidRPr="00480F4A">
      <w:rPr>
        <w:rFonts w:ascii="Times New Roman" w:hAnsi="Times New Roman"/>
        <w:sz w:val="24"/>
        <w:szCs w:val="24"/>
      </w:rPr>
      <w:ptab w:relativeTo="margin" w:alignment="right" w:leader="none"/>
    </w:r>
    <w:r>
      <w:rPr>
        <w:rFonts w:ascii="Times New Roman" w:hAnsi="Times New Roman"/>
        <w:sz w:val="24"/>
        <w:szCs w:val="24"/>
      </w:rPr>
      <w:t>3</w:t>
    </w:r>
    <w:r>
      <w:rPr>
        <w:rFonts w:ascii="CG Times" w:hAnsi="CG Times"/>
        <w:sz w:val="24"/>
        <w:szCs w:val="24"/>
      </w:rPr>
      <w:t>-</w:t>
    </w:r>
    <w:r w:rsidR="00C5224D" w:rsidRPr="00E04265">
      <w:rPr>
        <w:rFonts w:ascii="CG Times" w:hAnsi="CG Times"/>
        <w:sz w:val="24"/>
        <w:szCs w:val="24"/>
      </w:rPr>
      <w:fldChar w:fldCharType="begin"/>
    </w:r>
    <w:r w:rsidRPr="00E04265">
      <w:rPr>
        <w:rFonts w:ascii="CG Times" w:hAnsi="CG Times"/>
        <w:sz w:val="24"/>
        <w:szCs w:val="24"/>
      </w:rPr>
      <w:instrText xml:space="preserve"> PAGE   \* MERGEFORMAT </w:instrText>
    </w:r>
    <w:r w:rsidR="00C5224D" w:rsidRPr="00E04265">
      <w:rPr>
        <w:rFonts w:ascii="CG Times" w:hAnsi="CG Times"/>
        <w:sz w:val="24"/>
        <w:szCs w:val="24"/>
      </w:rPr>
      <w:fldChar w:fldCharType="separate"/>
    </w:r>
    <w:r w:rsidR="004E17F1">
      <w:rPr>
        <w:rFonts w:ascii="CG Times" w:hAnsi="CG Times"/>
        <w:noProof/>
        <w:sz w:val="24"/>
        <w:szCs w:val="24"/>
      </w:rPr>
      <w:t>1</w:t>
    </w:r>
    <w:r w:rsidR="00C5224D" w:rsidRPr="00E04265">
      <w:rPr>
        <w:rFonts w:ascii="CG Times" w:hAnsi="CG Times"/>
        <w:sz w:val="24"/>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E04265" w:rsidRDefault="00561262">
    <w:pPr>
      <w:pStyle w:val="Footer"/>
      <w:rPr>
        <w:rFonts w:ascii="Times New Roman" w:hAnsi="Times New Roman"/>
        <w:sz w:val="24"/>
        <w:szCs w:val="24"/>
      </w:rPr>
    </w:pPr>
    <w:r>
      <w:rPr>
        <w:rFonts w:ascii="Times New Roman" w:hAnsi="Times New Roman"/>
        <w:sz w:val="24"/>
        <w:szCs w:val="24"/>
      </w:rPr>
      <w:t>4</w:t>
    </w:r>
    <w:r w:rsidRPr="00E04265">
      <w:rPr>
        <w:rFonts w:ascii="Times New Roman" w:hAnsi="Times New Roman"/>
        <w:sz w:val="24"/>
        <w:szCs w:val="24"/>
      </w:rPr>
      <w:t>-</w:t>
    </w:r>
    <w:r w:rsidR="00C5224D" w:rsidRPr="00E04265">
      <w:rPr>
        <w:rFonts w:ascii="Times New Roman" w:hAnsi="Times New Roman"/>
        <w:sz w:val="24"/>
        <w:szCs w:val="24"/>
      </w:rPr>
      <w:fldChar w:fldCharType="begin"/>
    </w:r>
    <w:r w:rsidRPr="00E04265">
      <w:rPr>
        <w:rFonts w:ascii="Times New Roman" w:hAnsi="Times New Roman"/>
        <w:sz w:val="24"/>
        <w:szCs w:val="24"/>
      </w:rPr>
      <w:instrText xml:space="preserve"> PAGE   \* MERGEFORMAT </w:instrText>
    </w:r>
    <w:r w:rsidR="00C5224D" w:rsidRPr="00E04265">
      <w:rPr>
        <w:rFonts w:ascii="Times New Roman" w:hAnsi="Times New Roman"/>
        <w:sz w:val="24"/>
        <w:szCs w:val="24"/>
      </w:rPr>
      <w:fldChar w:fldCharType="separate"/>
    </w:r>
    <w:r w:rsidR="004E17F1">
      <w:rPr>
        <w:rFonts w:ascii="Times New Roman" w:hAnsi="Times New Roman"/>
        <w:noProof/>
        <w:sz w:val="24"/>
        <w:szCs w:val="24"/>
      </w:rPr>
      <w:t>2</w:t>
    </w:r>
    <w:r w:rsidR="00C5224D" w:rsidRPr="00E04265">
      <w:rPr>
        <w:rFonts w:ascii="Times New Roman" w:hAnsi="Times New Roman"/>
        <w:sz w:val="24"/>
        <w:szCs w:val="24"/>
      </w:rPr>
      <w:fldChar w:fldCharType="end"/>
    </w:r>
    <w:r w:rsidRPr="00E04265">
      <w:rPr>
        <w:rFonts w:ascii="Times New Roman" w:hAnsi="Times New Roman"/>
        <w:sz w:val="24"/>
        <w:szCs w:val="24"/>
      </w:rPr>
      <w:ptab w:relativeTo="margin" w:alignment="center" w:leader="none"/>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7D7C0F" w:rsidRDefault="00561262" w:rsidP="009552BF">
    <w:pPr>
      <w:pStyle w:val="Footer"/>
      <w:jc w:val="center"/>
      <w:rPr>
        <w:rFonts w:ascii="CG Times" w:hAnsi="CG Times"/>
        <w:sz w:val="24"/>
        <w:szCs w:val="24"/>
      </w:rPr>
    </w:pPr>
    <w:r w:rsidRPr="00480F4A">
      <w:rPr>
        <w:rFonts w:ascii="Times New Roman" w:hAnsi="Times New Roman"/>
        <w:sz w:val="24"/>
        <w:szCs w:val="24"/>
      </w:rPr>
      <w:ptab w:relativeTo="margin" w:alignment="center" w:leader="none"/>
    </w:r>
    <w:r w:rsidRPr="00480F4A">
      <w:rPr>
        <w:rFonts w:ascii="Times New Roman" w:hAnsi="Times New Roman"/>
        <w:sz w:val="24"/>
        <w:szCs w:val="24"/>
      </w:rPr>
      <w:ptab w:relativeTo="margin" w:alignment="right" w:leader="none"/>
    </w:r>
    <w:r>
      <w:rPr>
        <w:rFonts w:ascii="Times New Roman" w:hAnsi="Times New Roman"/>
        <w:sz w:val="24"/>
        <w:szCs w:val="24"/>
      </w:rPr>
      <w:t>4</w:t>
    </w:r>
    <w:r>
      <w:rPr>
        <w:rFonts w:ascii="CG Times" w:hAnsi="CG Times"/>
        <w:sz w:val="24"/>
        <w:szCs w:val="24"/>
      </w:rPr>
      <w:t>-</w:t>
    </w:r>
    <w:r w:rsidR="00C5224D" w:rsidRPr="00E04265">
      <w:rPr>
        <w:rFonts w:ascii="CG Times" w:hAnsi="CG Times"/>
        <w:sz w:val="24"/>
        <w:szCs w:val="24"/>
      </w:rPr>
      <w:fldChar w:fldCharType="begin"/>
    </w:r>
    <w:r w:rsidRPr="00E04265">
      <w:rPr>
        <w:rFonts w:ascii="CG Times" w:hAnsi="CG Times"/>
        <w:sz w:val="24"/>
        <w:szCs w:val="24"/>
      </w:rPr>
      <w:instrText xml:space="preserve"> PAGE   \* MERGEFORMAT </w:instrText>
    </w:r>
    <w:r w:rsidR="00C5224D" w:rsidRPr="00E04265">
      <w:rPr>
        <w:rFonts w:ascii="CG Times" w:hAnsi="CG Times"/>
        <w:sz w:val="24"/>
        <w:szCs w:val="24"/>
      </w:rPr>
      <w:fldChar w:fldCharType="separate"/>
    </w:r>
    <w:r w:rsidR="004E17F1">
      <w:rPr>
        <w:rFonts w:ascii="CG Times" w:hAnsi="CG Times"/>
        <w:noProof/>
        <w:sz w:val="24"/>
        <w:szCs w:val="24"/>
      </w:rPr>
      <w:t>3</w:t>
    </w:r>
    <w:r w:rsidR="00C5224D" w:rsidRPr="00E04265">
      <w:rPr>
        <w:rFonts w:ascii="CG Times" w:hAnsi="CG Times"/>
        <w:sz w:val="24"/>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2D7291" w:rsidRDefault="00561262" w:rsidP="00415A34">
    <w:pPr>
      <w:pStyle w:val="Footer"/>
      <w:tabs>
        <w:tab w:val="clear" w:pos="432"/>
        <w:tab w:val="clear" w:pos="4320"/>
        <w:tab w:val="clear" w:pos="6210"/>
        <w:tab w:val="clear" w:pos="6930"/>
        <w:tab w:val="clear" w:pos="8190"/>
        <w:tab w:val="clear" w:pos="8640"/>
        <w:tab w:val="clear" w:pos="8820"/>
        <w:tab w:val="clear" w:pos="9810"/>
        <w:tab w:val="center" w:pos="5040"/>
        <w:tab w:val="right" w:pos="10080"/>
      </w:tabs>
      <w:rPr>
        <w:rFonts w:ascii="Times New Roman" w:hAnsi="Times New Roman"/>
        <w:sz w:val="24"/>
        <w:szCs w:val="24"/>
      </w:rPr>
    </w:pPr>
    <w:r w:rsidRPr="002D7291">
      <w:rPr>
        <w:rFonts w:ascii="Times New Roman" w:hAnsi="Times New Roman"/>
        <w:sz w:val="24"/>
        <w:szCs w:val="24"/>
      </w:rPr>
      <w:t>4-</w:t>
    </w:r>
    <w:r w:rsidR="00C5224D" w:rsidRPr="002D7291">
      <w:rPr>
        <w:rFonts w:ascii="Times New Roman" w:hAnsi="Times New Roman"/>
        <w:sz w:val="24"/>
        <w:szCs w:val="24"/>
      </w:rPr>
      <w:fldChar w:fldCharType="begin"/>
    </w:r>
    <w:r w:rsidRPr="002D7291">
      <w:rPr>
        <w:rFonts w:ascii="Times New Roman" w:hAnsi="Times New Roman"/>
        <w:sz w:val="24"/>
        <w:szCs w:val="24"/>
      </w:rPr>
      <w:instrText xml:space="preserve"> PAGE   \* MERGEFORMAT </w:instrText>
    </w:r>
    <w:r w:rsidR="00C5224D" w:rsidRPr="002D7291">
      <w:rPr>
        <w:rFonts w:ascii="Times New Roman" w:hAnsi="Times New Roman"/>
        <w:sz w:val="24"/>
        <w:szCs w:val="24"/>
      </w:rPr>
      <w:fldChar w:fldCharType="separate"/>
    </w:r>
    <w:r w:rsidR="004E17F1">
      <w:rPr>
        <w:rFonts w:ascii="Times New Roman" w:hAnsi="Times New Roman"/>
        <w:noProof/>
        <w:sz w:val="24"/>
        <w:szCs w:val="24"/>
      </w:rPr>
      <w:t>16</w:t>
    </w:r>
    <w:r w:rsidR="00C5224D" w:rsidRPr="002D7291">
      <w:rPr>
        <w:rFonts w:ascii="Times New Roman" w:hAnsi="Times New Roman"/>
        <w:sz w:val="24"/>
        <w:szCs w:val="24"/>
      </w:rPr>
      <w:fldChar w:fldCharType="end"/>
    </w:r>
    <w:r>
      <w:rPr>
        <w:rFonts w:ascii="Times New Roman" w:hAnsi="Times New Roman"/>
        <w:sz w:val="24"/>
        <w:szCs w:val="24"/>
      </w:rPr>
      <w:tab/>
    </w:r>
    <w:r w:rsidRPr="002D7291">
      <w:rPr>
        <w:rFonts w:ascii="Times New Roman" w:hAnsi="Times New Roman"/>
        <w:sz w:val="24"/>
        <w:szCs w:val="2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262" w:rsidRDefault="00561262">
      <w:r>
        <w:separator/>
      </w:r>
    </w:p>
  </w:footnote>
  <w:footnote w:type="continuationSeparator" w:id="0">
    <w:p w:rsidR="00561262" w:rsidRDefault="00561262">
      <w:r>
        <w:continuationSeparator/>
      </w:r>
    </w:p>
  </w:footnote>
  <w:footnote w:id="1">
    <w:p w:rsidR="00561262" w:rsidRDefault="00561262" w:rsidP="00A424D3">
      <w:pPr>
        <w:pStyle w:val="FootnoteText"/>
      </w:pPr>
      <w:r w:rsidRPr="00AA4255">
        <w:rPr>
          <w:rStyle w:val="FootnoteReference"/>
          <w:rFonts w:eastAsia="SimSun"/>
        </w:rPr>
        <w:footnoteRef/>
      </w:r>
      <w:r w:rsidRPr="00AA4255">
        <w:t xml:space="preserve"> Please note that while the </w:t>
      </w:r>
      <w:smartTag w:uri="urn:schemas-microsoft-com:office:smarttags" w:element="stockticker">
        <w:r w:rsidRPr="00AA4255">
          <w:t>TSC</w:t>
        </w:r>
      </w:smartTag>
      <w:r w:rsidRPr="00AA4255">
        <w:t xml:space="preserve"> and the FTTTF are part of the FBI’s CT Program, their resources are scored to the I</w:t>
      </w:r>
      <w:r>
        <w:t>ntelligence Decision Unit (IDU).  Similarly, the Counterterrorism Analysis Section is embedded within CTD but is scored to the IDU.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480F4A" w:rsidRDefault="00561262">
    <w:pPr>
      <w:pStyle w:val="Header"/>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480F4A" w:rsidRDefault="00561262" w:rsidP="009552BF">
    <w:pPr>
      <w:pStyle w:val="Header"/>
      <w:jc w:val="center"/>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Default="00561262" w:rsidP="00415A34">
    <w:pPr>
      <w:pStyle w:val="Header"/>
      <w:tabs>
        <w:tab w:val="clear" w:pos="4320"/>
        <w:tab w:val="clear" w:pos="8640"/>
        <w:tab w:val="right" w:pos="10080"/>
      </w:tabs>
      <w:jc w:val="center"/>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Pr="005663C4" w:rsidRDefault="00561262" w:rsidP="009552BF">
    <w:pPr>
      <w:pStyle w:val="Header"/>
      <w:jc w:val="center"/>
      <w:rPr>
        <w:rFonts w:ascii="Times New Roman" w:hAnsi="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Default="00561262" w:rsidP="009552BF">
    <w:pPr>
      <w:pStyle w:val="Header"/>
      <w:tabs>
        <w:tab w:val="clear" w:pos="4320"/>
        <w:tab w:val="clear" w:pos="8640"/>
        <w:tab w:val="center" w:pos="6480"/>
        <w:tab w:val="right" w:pos="12960"/>
      </w:tabs>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Default="00561262" w:rsidP="009552BF">
    <w:pPr>
      <w:pStyle w:val="Header"/>
      <w:jc w:val="center"/>
    </w:pPr>
  </w:p>
  <w:p w:rsidR="00561262" w:rsidRDefault="005612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Default="00561262" w:rsidP="009552BF">
    <w:pPr>
      <w:pStyle w:val="Heade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62" w:rsidRDefault="00561262" w:rsidP="009552BF">
    <w:pPr>
      <w:pStyle w:val="Header"/>
      <w:tabs>
        <w:tab w:val="clear" w:pos="4320"/>
        <w:tab w:val="clear" w:pos="8640"/>
        <w:tab w:val="center" w:pos="6480"/>
        <w:tab w:val="right" w:pos="129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1EA816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73E6C4E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5E4BB4"/>
    <w:multiLevelType w:val="hybridMultilevel"/>
    <w:tmpl w:val="EB1AF3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036D3A"/>
    <w:multiLevelType w:val="hybridMultilevel"/>
    <w:tmpl w:val="CDC6CC9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B6966"/>
    <w:multiLevelType w:val="hybridMultilevel"/>
    <w:tmpl w:val="7F462FC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058161F8"/>
    <w:multiLevelType w:val="hybridMultilevel"/>
    <w:tmpl w:val="50A661AE"/>
    <w:lvl w:ilvl="0" w:tplc="118ED882">
      <w:start w:val="1"/>
      <w:numFmt w:val="bullet"/>
      <w:lvlText w:val=""/>
      <w:lvlJc w:val="left"/>
      <w:pPr>
        <w:tabs>
          <w:tab w:val="num" w:pos="720"/>
        </w:tabs>
        <w:ind w:left="720" w:hanging="72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B09080B"/>
    <w:multiLevelType w:val="hybridMultilevel"/>
    <w:tmpl w:val="5E3C84D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0F604B"/>
    <w:multiLevelType w:val="hybridMultilevel"/>
    <w:tmpl w:val="8D44ED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E025F"/>
    <w:multiLevelType w:val="hybridMultilevel"/>
    <w:tmpl w:val="54EEA2C6"/>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nsid w:val="10430149"/>
    <w:multiLevelType w:val="hybridMultilevel"/>
    <w:tmpl w:val="D73A8436"/>
    <w:lvl w:ilvl="0" w:tplc="FFFFFFFF">
      <w:start w:val="1"/>
      <w:numFmt w:val="bullet"/>
      <w:lvlText w:val=""/>
      <w:lvlJc w:val="left"/>
      <w:pPr>
        <w:tabs>
          <w:tab w:val="num" w:pos="936"/>
        </w:tabs>
        <w:ind w:left="936" w:hanging="936"/>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935754"/>
    <w:multiLevelType w:val="hybridMultilevel"/>
    <w:tmpl w:val="FE6292F4"/>
    <w:lvl w:ilvl="0" w:tplc="CAA23DA8">
      <w:start w:val="1"/>
      <w:numFmt w:val="bullet"/>
      <w:lvlText w:val=""/>
      <w:lvlJc w:val="left"/>
      <w:pPr>
        <w:tabs>
          <w:tab w:val="num" w:pos="720"/>
        </w:tabs>
        <w:ind w:left="72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F36800"/>
    <w:multiLevelType w:val="hybridMultilevel"/>
    <w:tmpl w:val="223CE12C"/>
    <w:lvl w:ilvl="0" w:tplc="DDFA5E90">
      <w:start w:val="4"/>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810451F"/>
    <w:multiLevelType w:val="hybridMultilevel"/>
    <w:tmpl w:val="C8A6072A"/>
    <w:lvl w:ilvl="0" w:tplc="04090015">
      <w:start w:val="1"/>
      <w:numFmt w:val="bullet"/>
      <w:lvlText w:val=""/>
      <w:lvlJc w:val="left"/>
      <w:pPr>
        <w:tabs>
          <w:tab w:val="num" w:pos="792"/>
        </w:tabs>
        <w:ind w:left="1152" w:hanging="288"/>
      </w:pPr>
      <w:rPr>
        <w:rFonts w:ascii="Wingdings" w:hAnsi="Wingdings" w:hint="default"/>
      </w:rPr>
    </w:lvl>
    <w:lvl w:ilvl="1" w:tplc="04090019" w:tentative="1">
      <w:start w:val="1"/>
      <w:numFmt w:val="bullet"/>
      <w:lvlText w:val="o"/>
      <w:lvlJc w:val="left"/>
      <w:pPr>
        <w:tabs>
          <w:tab w:val="num" w:pos="1656"/>
        </w:tabs>
        <w:ind w:left="1656" w:hanging="360"/>
      </w:pPr>
      <w:rPr>
        <w:rFonts w:ascii="Courier New" w:hAnsi="Courier New" w:cs="Courier New" w:hint="default"/>
      </w:rPr>
    </w:lvl>
    <w:lvl w:ilvl="2" w:tplc="0409001B" w:tentative="1">
      <w:start w:val="1"/>
      <w:numFmt w:val="bullet"/>
      <w:lvlText w:val=""/>
      <w:lvlJc w:val="left"/>
      <w:pPr>
        <w:tabs>
          <w:tab w:val="num" w:pos="2376"/>
        </w:tabs>
        <w:ind w:left="2376" w:hanging="360"/>
      </w:pPr>
      <w:rPr>
        <w:rFonts w:ascii="Wingdings" w:hAnsi="Wingdings" w:hint="default"/>
      </w:rPr>
    </w:lvl>
    <w:lvl w:ilvl="3" w:tplc="0409000F" w:tentative="1">
      <w:start w:val="1"/>
      <w:numFmt w:val="bullet"/>
      <w:lvlText w:val=""/>
      <w:lvlJc w:val="left"/>
      <w:pPr>
        <w:tabs>
          <w:tab w:val="num" w:pos="3096"/>
        </w:tabs>
        <w:ind w:left="3096" w:hanging="360"/>
      </w:pPr>
      <w:rPr>
        <w:rFonts w:ascii="Symbol" w:hAnsi="Symbol" w:hint="default"/>
      </w:rPr>
    </w:lvl>
    <w:lvl w:ilvl="4" w:tplc="04090019" w:tentative="1">
      <w:start w:val="1"/>
      <w:numFmt w:val="bullet"/>
      <w:lvlText w:val="o"/>
      <w:lvlJc w:val="left"/>
      <w:pPr>
        <w:tabs>
          <w:tab w:val="num" w:pos="3816"/>
        </w:tabs>
        <w:ind w:left="3816" w:hanging="360"/>
      </w:pPr>
      <w:rPr>
        <w:rFonts w:ascii="Courier New" w:hAnsi="Courier New" w:cs="Courier New" w:hint="default"/>
      </w:rPr>
    </w:lvl>
    <w:lvl w:ilvl="5" w:tplc="0409001B" w:tentative="1">
      <w:start w:val="1"/>
      <w:numFmt w:val="bullet"/>
      <w:lvlText w:val=""/>
      <w:lvlJc w:val="left"/>
      <w:pPr>
        <w:tabs>
          <w:tab w:val="num" w:pos="4536"/>
        </w:tabs>
        <w:ind w:left="4536" w:hanging="360"/>
      </w:pPr>
      <w:rPr>
        <w:rFonts w:ascii="Wingdings" w:hAnsi="Wingdings" w:hint="default"/>
      </w:rPr>
    </w:lvl>
    <w:lvl w:ilvl="6" w:tplc="0409000F" w:tentative="1">
      <w:start w:val="1"/>
      <w:numFmt w:val="bullet"/>
      <w:lvlText w:val=""/>
      <w:lvlJc w:val="left"/>
      <w:pPr>
        <w:tabs>
          <w:tab w:val="num" w:pos="5256"/>
        </w:tabs>
        <w:ind w:left="5256" w:hanging="360"/>
      </w:pPr>
      <w:rPr>
        <w:rFonts w:ascii="Symbol" w:hAnsi="Symbol" w:hint="default"/>
      </w:rPr>
    </w:lvl>
    <w:lvl w:ilvl="7" w:tplc="04090019" w:tentative="1">
      <w:start w:val="1"/>
      <w:numFmt w:val="bullet"/>
      <w:lvlText w:val="o"/>
      <w:lvlJc w:val="left"/>
      <w:pPr>
        <w:tabs>
          <w:tab w:val="num" w:pos="5976"/>
        </w:tabs>
        <w:ind w:left="5976" w:hanging="360"/>
      </w:pPr>
      <w:rPr>
        <w:rFonts w:ascii="Courier New" w:hAnsi="Courier New" w:cs="Courier New" w:hint="default"/>
      </w:rPr>
    </w:lvl>
    <w:lvl w:ilvl="8" w:tplc="0409001B" w:tentative="1">
      <w:start w:val="1"/>
      <w:numFmt w:val="bullet"/>
      <w:lvlText w:val=""/>
      <w:lvlJc w:val="left"/>
      <w:pPr>
        <w:tabs>
          <w:tab w:val="num" w:pos="6696"/>
        </w:tabs>
        <w:ind w:left="6696" w:hanging="360"/>
      </w:pPr>
      <w:rPr>
        <w:rFonts w:ascii="Wingdings" w:hAnsi="Wingdings" w:hint="default"/>
      </w:rPr>
    </w:lvl>
  </w:abstractNum>
  <w:abstractNum w:abstractNumId="13">
    <w:nsid w:val="190D3B77"/>
    <w:multiLevelType w:val="hybridMultilevel"/>
    <w:tmpl w:val="E300F246"/>
    <w:lvl w:ilvl="0" w:tplc="0409000B">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E13422"/>
    <w:multiLevelType w:val="hybridMultilevel"/>
    <w:tmpl w:val="AC328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16394D"/>
    <w:multiLevelType w:val="hybridMultilevel"/>
    <w:tmpl w:val="8222DF40"/>
    <w:lvl w:ilvl="0" w:tplc="866660D0">
      <w:start w:val="6"/>
      <w:numFmt w:val="upperLetter"/>
      <w:pStyle w:val="Heading4"/>
      <w:lvlText w:val="%1."/>
      <w:lvlJc w:val="left"/>
      <w:pPr>
        <w:tabs>
          <w:tab w:val="num" w:pos="1080"/>
        </w:tabs>
        <w:ind w:left="1080" w:hanging="72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723C0E"/>
    <w:multiLevelType w:val="hybridMultilevel"/>
    <w:tmpl w:val="F3E65770"/>
    <w:lvl w:ilvl="0" w:tplc="723A9062">
      <w:start w:val="1"/>
      <w:numFmt w:val="bullet"/>
      <w:lvlText w:val=""/>
      <w:lvlJc w:val="left"/>
      <w:pPr>
        <w:tabs>
          <w:tab w:val="num" w:pos="792"/>
        </w:tabs>
        <w:ind w:left="792" w:hanging="360"/>
      </w:pPr>
      <w:rPr>
        <w:rFonts w:ascii="Symbol" w:hAnsi="Symbol" w:hint="default"/>
      </w:rPr>
    </w:lvl>
    <w:lvl w:ilvl="1" w:tplc="8EBE981C">
      <w:start w:val="1"/>
      <w:numFmt w:val="bullet"/>
      <w:lvlText w:val="o"/>
      <w:lvlJc w:val="left"/>
      <w:pPr>
        <w:tabs>
          <w:tab w:val="num" w:pos="1872"/>
        </w:tabs>
        <w:ind w:left="1872" w:hanging="360"/>
      </w:pPr>
      <w:rPr>
        <w:rFonts w:ascii="Courier New" w:hAnsi="Courier New" w:cs="Courier New" w:hint="default"/>
      </w:rPr>
    </w:lvl>
    <w:lvl w:ilvl="2" w:tplc="D6284934" w:tentative="1">
      <w:start w:val="1"/>
      <w:numFmt w:val="bullet"/>
      <w:lvlText w:val=""/>
      <w:lvlJc w:val="left"/>
      <w:pPr>
        <w:tabs>
          <w:tab w:val="num" w:pos="2592"/>
        </w:tabs>
        <w:ind w:left="2592" w:hanging="360"/>
      </w:pPr>
      <w:rPr>
        <w:rFonts w:ascii="Wingdings" w:hAnsi="Wingdings" w:hint="default"/>
      </w:rPr>
    </w:lvl>
    <w:lvl w:ilvl="3" w:tplc="A0E4E11E" w:tentative="1">
      <w:start w:val="1"/>
      <w:numFmt w:val="bullet"/>
      <w:lvlText w:val=""/>
      <w:lvlJc w:val="left"/>
      <w:pPr>
        <w:tabs>
          <w:tab w:val="num" w:pos="3312"/>
        </w:tabs>
        <w:ind w:left="3312" w:hanging="360"/>
      </w:pPr>
      <w:rPr>
        <w:rFonts w:ascii="Symbol" w:hAnsi="Symbol" w:hint="default"/>
      </w:rPr>
    </w:lvl>
    <w:lvl w:ilvl="4" w:tplc="D958849E" w:tentative="1">
      <w:start w:val="1"/>
      <w:numFmt w:val="bullet"/>
      <w:lvlText w:val="o"/>
      <w:lvlJc w:val="left"/>
      <w:pPr>
        <w:tabs>
          <w:tab w:val="num" w:pos="4032"/>
        </w:tabs>
        <w:ind w:left="4032" w:hanging="360"/>
      </w:pPr>
      <w:rPr>
        <w:rFonts w:ascii="Courier New" w:hAnsi="Courier New" w:cs="Courier New" w:hint="default"/>
      </w:rPr>
    </w:lvl>
    <w:lvl w:ilvl="5" w:tplc="10782CC8" w:tentative="1">
      <w:start w:val="1"/>
      <w:numFmt w:val="bullet"/>
      <w:lvlText w:val=""/>
      <w:lvlJc w:val="left"/>
      <w:pPr>
        <w:tabs>
          <w:tab w:val="num" w:pos="4752"/>
        </w:tabs>
        <w:ind w:left="4752" w:hanging="360"/>
      </w:pPr>
      <w:rPr>
        <w:rFonts w:ascii="Wingdings" w:hAnsi="Wingdings" w:hint="default"/>
      </w:rPr>
    </w:lvl>
    <w:lvl w:ilvl="6" w:tplc="728A9BA0" w:tentative="1">
      <w:start w:val="1"/>
      <w:numFmt w:val="bullet"/>
      <w:lvlText w:val=""/>
      <w:lvlJc w:val="left"/>
      <w:pPr>
        <w:tabs>
          <w:tab w:val="num" w:pos="5472"/>
        </w:tabs>
        <w:ind w:left="5472" w:hanging="360"/>
      </w:pPr>
      <w:rPr>
        <w:rFonts w:ascii="Symbol" w:hAnsi="Symbol" w:hint="default"/>
      </w:rPr>
    </w:lvl>
    <w:lvl w:ilvl="7" w:tplc="ECB0A3CC" w:tentative="1">
      <w:start w:val="1"/>
      <w:numFmt w:val="bullet"/>
      <w:lvlText w:val="o"/>
      <w:lvlJc w:val="left"/>
      <w:pPr>
        <w:tabs>
          <w:tab w:val="num" w:pos="6192"/>
        </w:tabs>
        <w:ind w:left="6192" w:hanging="360"/>
      </w:pPr>
      <w:rPr>
        <w:rFonts w:ascii="Courier New" w:hAnsi="Courier New" w:cs="Courier New" w:hint="default"/>
      </w:rPr>
    </w:lvl>
    <w:lvl w:ilvl="8" w:tplc="7A34872A" w:tentative="1">
      <w:start w:val="1"/>
      <w:numFmt w:val="bullet"/>
      <w:lvlText w:val=""/>
      <w:lvlJc w:val="left"/>
      <w:pPr>
        <w:tabs>
          <w:tab w:val="num" w:pos="6912"/>
        </w:tabs>
        <w:ind w:left="6912" w:hanging="360"/>
      </w:pPr>
      <w:rPr>
        <w:rFonts w:ascii="Wingdings" w:hAnsi="Wingdings" w:hint="default"/>
      </w:rPr>
    </w:lvl>
  </w:abstractNum>
  <w:abstractNum w:abstractNumId="17">
    <w:nsid w:val="277A21DF"/>
    <w:multiLevelType w:val="hybridMultilevel"/>
    <w:tmpl w:val="3A2C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697F9E"/>
    <w:multiLevelType w:val="hybridMultilevel"/>
    <w:tmpl w:val="2794AE7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5B3D08"/>
    <w:multiLevelType w:val="hybridMultilevel"/>
    <w:tmpl w:val="1EFA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810058"/>
    <w:multiLevelType w:val="hybridMultilevel"/>
    <w:tmpl w:val="B088CC9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2AD73BC9"/>
    <w:multiLevelType w:val="hybridMultilevel"/>
    <w:tmpl w:val="92507AA8"/>
    <w:lvl w:ilvl="0" w:tplc="0409000B">
      <w:start w:val="1"/>
      <w:numFmt w:val="bullet"/>
      <w:lvlText w:val=""/>
      <w:lvlJc w:val="left"/>
      <w:pPr>
        <w:tabs>
          <w:tab w:val="num" w:pos="360"/>
        </w:tabs>
        <w:ind w:left="360" w:hanging="360"/>
      </w:pPr>
      <w:rPr>
        <w:rFonts w:ascii="Symbol" w:hAnsi="Symbol" w:hint="default"/>
      </w:rPr>
    </w:lvl>
    <w:lvl w:ilvl="1" w:tplc="0409000B">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B8C651B"/>
    <w:multiLevelType w:val="hybridMultilevel"/>
    <w:tmpl w:val="CF244AB4"/>
    <w:lvl w:ilvl="0" w:tplc="04090001">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CC958C7"/>
    <w:multiLevelType w:val="hybridMultilevel"/>
    <w:tmpl w:val="21CE500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2D0967F5"/>
    <w:multiLevelType w:val="hybridMultilevel"/>
    <w:tmpl w:val="D44E5F2E"/>
    <w:lvl w:ilvl="0" w:tplc="E70AFD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2C7C15"/>
    <w:multiLevelType w:val="hybridMultilevel"/>
    <w:tmpl w:val="25A0F7DA"/>
    <w:lvl w:ilvl="0" w:tplc="38D24E8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2E715751"/>
    <w:multiLevelType w:val="multilevel"/>
    <w:tmpl w:val="191A54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E890655"/>
    <w:multiLevelType w:val="hybridMultilevel"/>
    <w:tmpl w:val="12524EA0"/>
    <w:lvl w:ilvl="0" w:tplc="5CDA9B2C">
      <w:start w:val="1"/>
      <w:numFmt w:val="bullet"/>
      <w:lvlText w:val=""/>
      <w:lvlJc w:val="left"/>
      <w:pPr>
        <w:tabs>
          <w:tab w:val="num" w:pos="360"/>
        </w:tabs>
        <w:ind w:left="360" w:hanging="360"/>
      </w:pPr>
      <w:rPr>
        <w:rFonts w:ascii="Symbol" w:hAnsi="Symbol" w:hint="default"/>
      </w:rPr>
    </w:lvl>
    <w:lvl w:ilvl="1" w:tplc="5136FB74" w:tentative="1">
      <w:start w:val="1"/>
      <w:numFmt w:val="bullet"/>
      <w:lvlText w:val="o"/>
      <w:lvlJc w:val="left"/>
      <w:pPr>
        <w:tabs>
          <w:tab w:val="num" w:pos="1440"/>
        </w:tabs>
        <w:ind w:left="1440" w:hanging="360"/>
      </w:pPr>
      <w:rPr>
        <w:rFonts w:ascii="Courier New" w:hAnsi="Courier New" w:cs="Courier New" w:hint="default"/>
      </w:rPr>
    </w:lvl>
    <w:lvl w:ilvl="2" w:tplc="3F5C3DB4" w:tentative="1">
      <w:start w:val="1"/>
      <w:numFmt w:val="bullet"/>
      <w:lvlText w:val=""/>
      <w:lvlJc w:val="left"/>
      <w:pPr>
        <w:tabs>
          <w:tab w:val="num" w:pos="2160"/>
        </w:tabs>
        <w:ind w:left="2160" w:hanging="360"/>
      </w:pPr>
      <w:rPr>
        <w:rFonts w:ascii="Wingdings" w:hAnsi="Wingdings" w:hint="default"/>
      </w:rPr>
    </w:lvl>
    <w:lvl w:ilvl="3" w:tplc="75F26344" w:tentative="1">
      <w:start w:val="1"/>
      <w:numFmt w:val="bullet"/>
      <w:lvlText w:val=""/>
      <w:lvlJc w:val="left"/>
      <w:pPr>
        <w:tabs>
          <w:tab w:val="num" w:pos="2880"/>
        </w:tabs>
        <w:ind w:left="2880" w:hanging="360"/>
      </w:pPr>
      <w:rPr>
        <w:rFonts w:ascii="Symbol" w:hAnsi="Symbol" w:hint="default"/>
      </w:rPr>
    </w:lvl>
    <w:lvl w:ilvl="4" w:tplc="7BC0D1CC" w:tentative="1">
      <w:start w:val="1"/>
      <w:numFmt w:val="bullet"/>
      <w:lvlText w:val="o"/>
      <w:lvlJc w:val="left"/>
      <w:pPr>
        <w:tabs>
          <w:tab w:val="num" w:pos="3600"/>
        </w:tabs>
        <w:ind w:left="3600" w:hanging="360"/>
      </w:pPr>
      <w:rPr>
        <w:rFonts w:ascii="Courier New" w:hAnsi="Courier New" w:cs="Courier New" w:hint="default"/>
      </w:rPr>
    </w:lvl>
    <w:lvl w:ilvl="5" w:tplc="F8149BC4" w:tentative="1">
      <w:start w:val="1"/>
      <w:numFmt w:val="bullet"/>
      <w:lvlText w:val=""/>
      <w:lvlJc w:val="left"/>
      <w:pPr>
        <w:tabs>
          <w:tab w:val="num" w:pos="4320"/>
        </w:tabs>
        <w:ind w:left="4320" w:hanging="360"/>
      </w:pPr>
      <w:rPr>
        <w:rFonts w:ascii="Wingdings" w:hAnsi="Wingdings" w:hint="default"/>
      </w:rPr>
    </w:lvl>
    <w:lvl w:ilvl="6" w:tplc="187E0F40" w:tentative="1">
      <w:start w:val="1"/>
      <w:numFmt w:val="bullet"/>
      <w:lvlText w:val=""/>
      <w:lvlJc w:val="left"/>
      <w:pPr>
        <w:tabs>
          <w:tab w:val="num" w:pos="5040"/>
        </w:tabs>
        <w:ind w:left="5040" w:hanging="360"/>
      </w:pPr>
      <w:rPr>
        <w:rFonts w:ascii="Symbol" w:hAnsi="Symbol" w:hint="default"/>
      </w:rPr>
    </w:lvl>
    <w:lvl w:ilvl="7" w:tplc="7CD6954A" w:tentative="1">
      <w:start w:val="1"/>
      <w:numFmt w:val="bullet"/>
      <w:lvlText w:val="o"/>
      <w:lvlJc w:val="left"/>
      <w:pPr>
        <w:tabs>
          <w:tab w:val="num" w:pos="5760"/>
        </w:tabs>
        <w:ind w:left="5760" w:hanging="360"/>
      </w:pPr>
      <w:rPr>
        <w:rFonts w:ascii="Courier New" w:hAnsi="Courier New" w:cs="Courier New" w:hint="default"/>
      </w:rPr>
    </w:lvl>
    <w:lvl w:ilvl="8" w:tplc="DFE4B19C" w:tentative="1">
      <w:start w:val="1"/>
      <w:numFmt w:val="bullet"/>
      <w:lvlText w:val=""/>
      <w:lvlJc w:val="left"/>
      <w:pPr>
        <w:tabs>
          <w:tab w:val="num" w:pos="6480"/>
        </w:tabs>
        <w:ind w:left="6480" w:hanging="360"/>
      </w:pPr>
      <w:rPr>
        <w:rFonts w:ascii="Wingdings" w:hAnsi="Wingdings" w:hint="default"/>
      </w:rPr>
    </w:lvl>
  </w:abstractNum>
  <w:abstractNum w:abstractNumId="28">
    <w:nsid w:val="2F550B9C"/>
    <w:multiLevelType w:val="hybridMultilevel"/>
    <w:tmpl w:val="D428C0A0"/>
    <w:lvl w:ilvl="0" w:tplc="2F227C42">
      <w:start w:val="1"/>
      <w:numFmt w:val="bullet"/>
      <w:lvlText w:val=""/>
      <w:lvlJc w:val="left"/>
      <w:pPr>
        <w:tabs>
          <w:tab w:val="num" w:pos="576"/>
        </w:tabs>
        <w:ind w:left="57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9">
    <w:nsid w:val="30F67935"/>
    <w:multiLevelType w:val="hybridMultilevel"/>
    <w:tmpl w:val="4CC4609E"/>
    <w:lvl w:ilvl="0" w:tplc="04090001">
      <w:start w:val="1"/>
      <w:numFmt w:val="bullet"/>
      <w:lvlText w:val=""/>
      <w:lvlJc w:val="left"/>
      <w:pPr>
        <w:tabs>
          <w:tab w:val="num" w:pos="576"/>
        </w:tabs>
        <w:ind w:left="576"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E42306"/>
    <w:multiLevelType w:val="hybridMultilevel"/>
    <w:tmpl w:val="4E860468"/>
    <w:lvl w:ilvl="0" w:tplc="04090001">
      <w:start w:val="1"/>
      <w:numFmt w:val="bullet"/>
      <w:lvlText w:val=""/>
      <w:lvlJc w:val="left"/>
      <w:pPr>
        <w:tabs>
          <w:tab w:val="num" w:pos="720"/>
        </w:tabs>
        <w:ind w:left="720" w:hanging="360"/>
      </w:pPr>
      <w:rPr>
        <w:rFonts w:ascii="Symbol" w:hAnsi="Symbol" w:hint="default"/>
        <w:color w:val="auto"/>
        <w:sz w:val="20"/>
      </w:rPr>
    </w:lvl>
    <w:lvl w:ilvl="1" w:tplc="0409000B">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3951909"/>
    <w:multiLevelType w:val="hybridMultilevel"/>
    <w:tmpl w:val="3CCCCC92"/>
    <w:lvl w:ilvl="0" w:tplc="FFFFFFFF">
      <w:start w:val="1"/>
      <w:numFmt w:val="bullet"/>
      <w:lvlText w:val=""/>
      <w:lvlJc w:val="left"/>
      <w:pPr>
        <w:tabs>
          <w:tab w:val="num" w:pos="576"/>
        </w:tabs>
        <w:ind w:left="576"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34031B92"/>
    <w:multiLevelType w:val="hybridMultilevel"/>
    <w:tmpl w:val="73F8964E"/>
    <w:lvl w:ilvl="0" w:tplc="04090001">
      <w:start w:val="4"/>
      <w:numFmt w:val="upperLetter"/>
      <w:lvlText w:val="%1."/>
      <w:lvlJc w:val="left"/>
      <w:pPr>
        <w:ind w:left="1080" w:hanging="360"/>
      </w:pPr>
      <w:rPr>
        <w:rFonts w:hint="default"/>
        <w:i w:val="0"/>
      </w:rPr>
    </w:lvl>
    <w:lvl w:ilvl="1" w:tplc="0409000B"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3">
    <w:nsid w:val="37920C61"/>
    <w:multiLevelType w:val="hybridMultilevel"/>
    <w:tmpl w:val="310E36E0"/>
    <w:lvl w:ilvl="0" w:tplc="ADA07B3A">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4150615D"/>
    <w:multiLevelType w:val="hybridMultilevel"/>
    <w:tmpl w:val="29540458"/>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9F000B"/>
    <w:multiLevelType w:val="hybridMultilevel"/>
    <w:tmpl w:val="C68A4B5C"/>
    <w:lvl w:ilvl="0" w:tplc="04090001">
      <w:start w:val="1"/>
      <w:numFmt w:val="bullet"/>
      <w:lvlText w:val=""/>
      <w:lvlJc w:val="left"/>
      <w:pPr>
        <w:tabs>
          <w:tab w:val="num" w:pos="576"/>
        </w:tabs>
        <w:ind w:left="576"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439757B"/>
    <w:multiLevelType w:val="hybridMultilevel"/>
    <w:tmpl w:val="70D65AEC"/>
    <w:lvl w:ilvl="0" w:tplc="0409000B">
      <w:start w:val="1"/>
      <w:numFmt w:val="bullet"/>
      <w:lvlText w:val=""/>
      <w:lvlJc w:val="left"/>
      <w:pPr>
        <w:tabs>
          <w:tab w:val="num" w:pos="576"/>
        </w:tabs>
        <w:ind w:left="576"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7B76F65"/>
    <w:multiLevelType w:val="hybridMultilevel"/>
    <w:tmpl w:val="4A5037F2"/>
    <w:lvl w:ilvl="0" w:tplc="0409000B">
      <w:start w:val="1"/>
      <w:numFmt w:val="bullet"/>
      <w:lvlText w:val=""/>
      <w:lvlJc w:val="left"/>
      <w:pPr>
        <w:tabs>
          <w:tab w:val="num" w:pos="936"/>
        </w:tabs>
        <w:ind w:left="936" w:hanging="936"/>
      </w:pPr>
      <w:rPr>
        <w:rFonts w:ascii="Symbol" w:hAnsi="Symbol" w:hint="default"/>
        <w:sz w:val="16"/>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B0B25AE"/>
    <w:multiLevelType w:val="hybridMultilevel"/>
    <w:tmpl w:val="81089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C5B13EF"/>
    <w:multiLevelType w:val="hybridMultilevel"/>
    <w:tmpl w:val="409049DA"/>
    <w:lvl w:ilvl="0" w:tplc="29D05D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3"/>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CA81393"/>
    <w:multiLevelType w:val="hybridMultilevel"/>
    <w:tmpl w:val="FA44D05C"/>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Wingdings" w:hAnsi="Wingdings" w:hint="default"/>
      </w:rPr>
    </w:lvl>
    <w:lvl w:ilvl="2" w:tplc="8EFA9882"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E9F6C60"/>
    <w:multiLevelType w:val="hybridMultilevel"/>
    <w:tmpl w:val="E2B26EFA"/>
    <w:lvl w:ilvl="0" w:tplc="04090001">
      <w:start w:val="1"/>
      <w:numFmt w:val="bullet"/>
      <w:lvlText w:val=""/>
      <w:lvlJc w:val="left"/>
      <w:pPr>
        <w:tabs>
          <w:tab w:val="num" w:pos="576"/>
        </w:tabs>
        <w:ind w:left="576"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ECB00AD"/>
    <w:multiLevelType w:val="hybridMultilevel"/>
    <w:tmpl w:val="6256FD7A"/>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FD01A10"/>
    <w:multiLevelType w:val="hybridMultilevel"/>
    <w:tmpl w:val="8C1EFE6A"/>
    <w:lvl w:ilvl="0" w:tplc="0409000B">
      <w:start w:val="1"/>
      <w:numFmt w:val="bullet"/>
      <w:lvlText w:val=""/>
      <w:lvlJc w:val="left"/>
      <w:pPr>
        <w:tabs>
          <w:tab w:val="num" w:pos="576"/>
        </w:tabs>
        <w:ind w:left="576"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29B5C14"/>
    <w:multiLevelType w:val="hybridMultilevel"/>
    <w:tmpl w:val="E11C80E8"/>
    <w:lvl w:ilvl="0" w:tplc="DB1C6B96">
      <w:start w:val="1"/>
      <w:numFmt w:val="bullet"/>
      <w:lvlText w:val=""/>
      <w:lvlJc w:val="left"/>
      <w:pPr>
        <w:ind w:left="720" w:hanging="360"/>
      </w:pPr>
      <w:rPr>
        <w:rFonts w:ascii="Symbol" w:hAnsi="Symbol" w:hint="default"/>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5">
    <w:nsid w:val="54904E04"/>
    <w:multiLevelType w:val="hybridMultilevel"/>
    <w:tmpl w:val="516055AA"/>
    <w:lvl w:ilvl="0" w:tplc="04090001">
      <w:numFmt w:val="bullet"/>
      <w:pStyle w:val="Bullet1"/>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58B71F98"/>
    <w:multiLevelType w:val="hybridMultilevel"/>
    <w:tmpl w:val="70D2AD90"/>
    <w:lvl w:ilvl="0" w:tplc="CAA23DA8">
      <w:start w:val="1"/>
      <w:numFmt w:val="bullet"/>
      <w:lvlText w:val=""/>
      <w:lvlJc w:val="left"/>
      <w:pPr>
        <w:tabs>
          <w:tab w:val="num" w:pos="576"/>
        </w:tabs>
        <w:ind w:left="576" w:hanging="360"/>
      </w:pPr>
      <w:rPr>
        <w:rFonts w:ascii="Symbol" w:hAnsi="Symbol" w:hint="default"/>
        <w:sz w:val="20"/>
      </w:rPr>
    </w:lvl>
    <w:lvl w:ilvl="1" w:tplc="0409000B"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AB75A7B"/>
    <w:multiLevelType w:val="multilevel"/>
    <w:tmpl w:val="E46C8040"/>
    <w:lvl w:ilvl="0">
      <w:start w:val="1"/>
      <w:numFmt w:val="upperLetter"/>
      <w:pStyle w:val="Heading6"/>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8">
    <w:nsid w:val="5DDA3D8C"/>
    <w:multiLevelType w:val="hybridMultilevel"/>
    <w:tmpl w:val="E3EA3BCE"/>
    <w:lvl w:ilvl="0" w:tplc="5D4A4910">
      <w:start w:val="1"/>
      <w:numFmt w:val="bullet"/>
      <w:lvlText w:val=""/>
      <w:lvlJc w:val="left"/>
      <w:pPr>
        <w:tabs>
          <w:tab w:val="num" w:pos="576"/>
        </w:tabs>
        <w:ind w:left="576" w:hanging="360"/>
      </w:pPr>
      <w:rPr>
        <w:rFonts w:ascii="Symbol" w:hAnsi="Symbol" w:hint="default"/>
      </w:rPr>
    </w:lvl>
    <w:lvl w:ilvl="1" w:tplc="6B6EF144">
      <w:start w:val="1"/>
      <w:numFmt w:val="bullet"/>
      <w:lvlText w:val=""/>
      <w:lvlJc w:val="left"/>
      <w:pPr>
        <w:tabs>
          <w:tab w:val="num" w:pos="1440"/>
        </w:tabs>
        <w:ind w:left="1440" w:hanging="360"/>
      </w:pPr>
      <w:rPr>
        <w:rFonts w:ascii="Wingdings" w:hAnsi="Wingdings" w:hint="default"/>
      </w:rPr>
    </w:lvl>
    <w:lvl w:ilvl="2" w:tplc="85F8013E" w:tentative="1">
      <w:start w:val="1"/>
      <w:numFmt w:val="bullet"/>
      <w:lvlText w:val=""/>
      <w:lvlJc w:val="left"/>
      <w:pPr>
        <w:tabs>
          <w:tab w:val="num" w:pos="2160"/>
        </w:tabs>
        <w:ind w:left="2160" w:hanging="360"/>
      </w:pPr>
      <w:rPr>
        <w:rFonts w:ascii="Wingdings" w:hAnsi="Wingdings" w:hint="default"/>
      </w:rPr>
    </w:lvl>
    <w:lvl w:ilvl="3" w:tplc="23E69CF6" w:tentative="1">
      <w:start w:val="1"/>
      <w:numFmt w:val="bullet"/>
      <w:lvlText w:val=""/>
      <w:lvlJc w:val="left"/>
      <w:pPr>
        <w:tabs>
          <w:tab w:val="num" w:pos="2880"/>
        </w:tabs>
        <w:ind w:left="2880" w:hanging="360"/>
      </w:pPr>
      <w:rPr>
        <w:rFonts w:ascii="Symbol" w:hAnsi="Symbol" w:hint="default"/>
      </w:rPr>
    </w:lvl>
    <w:lvl w:ilvl="4" w:tplc="0400ECAC" w:tentative="1">
      <w:start w:val="1"/>
      <w:numFmt w:val="bullet"/>
      <w:lvlText w:val="o"/>
      <w:lvlJc w:val="left"/>
      <w:pPr>
        <w:tabs>
          <w:tab w:val="num" w:pos="3600"/>
        </w:tabs>
        <w:ind w:left="3600" w:hanging="360"/>
      </w:pPr>
      <w:rPr>
        <w:rFonts w:ascii="Courier New" w:hAnsi="Courier New" w:cs="Courier New" w:hint="default"/>
      </w:rPr>
    </w:lvl>
    <w:lvl w:ilvl="5" w:tplc="34FE75CC" w:tentative="1">
      <w:start w:val="1"/>
      <w:numFmt w:val="bullet"/>
      <w:lvlText w:val=""/>
      <w:lvlJc w:val="left"/>
      <w:pPr>
        <w:tabs>
          <w:tab w:val="num" w:pos="4320"/>
        </w:tabs>
        <w:ind w:left="4320" w:hanging="360"/>
      </w:pPr>
      <w:rPr>
        <w:rFonts w:ascii="Wingdings" w:hAnsi="Wingdings" w:hint="default"/>
      </w:rPr>
    </w:lvl>
    <w:lvl w:ilvl="6" w:tplc="8340C7F4" w:tentative="1">
      <w:start w:val="1"/>
      <w:numFmt w:val="bullet"/>
      <w:lvlText w:val=""/>
      <w:lvlJc w:val="left"/>
      <w:pPr>
        <w:tabs>
          <w:tab w:val="num" w:pos="5040"/>
        </w:tabs>
        <w:ind w:left="5040" w:hanging="360"/>
      </w:pPr>
      <w:rPr>
        <w:rFonts w:ascii="Symbol" w:hAnsi="Symbol" w:hint="default"/>
      </w:rPr>
    </w:lvl>
    <w:lvl w:ilvl="7" w:tplc="779E7368" w:tentative="1">
      <w:start w:val="1"/>
      <w:numFmt w:val="bullet"/>
      <w:lvlText w:val="o"/>
      <w:lvlJc w:val="left"/>
      <w:pPr>
        <w:tabs>
          <w:tab w:val="num" w:pos="5760"/>
        </w:tabs>
        <w:ind w:left="5760" w:hanging="360"/>
      </w:pPr>
      <w:rPr>
        <w:rFonts w:ascii="Courier New" w:hAnsi="Courier New" w:cs="Courier New" w:hint="default"/>
      </w:rPr>
    </w:lvl>
    <w:lvl w:ilvl="8" w:tplc="D4009C5C" w:tentative="1">
      <w:start w:val="1"/>
      <w:numFmt w:val="bullet"/>
      <w:lvlText w:val=""/>
      <w:lvlJc w:val="left"/>
      <w:pPr>
        <w:tabs>
          <w:tab w:val="num" w:pos="6480"/>
        </w:tabs>
        <w:ind w:left="6480" w:hanging="360"/>
      </w:pPr>
      <w:rPr>
        <w:rFonts w:ascii="Wingdings" w:hAnsi="Wingdings" w:hint="default"/>
      </w:rPr>
    </w:lvl>
  </w:abstractNum>
  <w:abstractNum w:abstractNumId="49">
    <w:nsid w:val="5DE902C6"/>
    <w:multiLevelType w:val="hybridMultilevel"/>
    <w:tmpl w:val="D5DCF080"/>
    <w:lvl w:ilvl="0" w:tplc="04090001">
      <w:start w:val="1"/>
      <w:numFmt w:val="bullet"/>
      <w:lvlText w:val=""/>
      <w:lvlJc w:val="left"/>
      <w:pPr>
        <w:tabs>
          <w:tab w:val="num" w:pos="576"/>
        </w:tabs>
        <w:ind w:left="576"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FA049E1"/>
    <w:multiLevelType w:val="hybridMultilevel"/>
    <w:tmpl w:val="F6EEC076"/>
    <w:lvl w:ilvl="0" w:tplc="0409000B">
      <w:start w:val="1"/>
      <w:numFmt w:val="bullet"/>
      <w:lvlText w:val=""/>
      <w:lvlJc w:val="left"/>
      <w:pPr>
        <w:ind w:left="720" w:hanging="360"/>
      </w:pPr>
      <w:rPr>
        <w:rFonts w:ascii="Symbol" w:hAnsi="Symbol" w:hint="default"/>
      </w:rPr>
    </w:lvl>
    <w:lvl w:ilvl="1" w:tplc="0409000B"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AF58F3"/>
    <w:multiLevelType w:val="hybridMultilevel"/>
    <w:tmpl w:val="5C00F028"/>
    <w:lvl w:ilvl="0" w:tplc="04090001">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2">
    <w:nsid w:val="61221772"/>
    <w:multiLevelType w:val="hybridMultilevel"/>
    <w:tmpl w:val="646849D4"/>
    <w:lvl w:ilvl="0" w:tplc="DA6020A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4F25D2F"/>
    <w:multiLevelType w:val="hybridMultilevel"/>
    <w:tmpl w:val="9274F2C4"/>
    <w:lvl w:ilvl="0" w:tplc="0409000B">
      <w:start w:val="12"/>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nsid w:val="66C3022E"/>
    <w:multiLevelType w:val="hybridMultilevel"/>
    <w:tmpl w:val="A59E4A26"/>
    <w:lvl w:ilvl="0" w:tplc="04090015">
      <w:start w:val="1"/>
      <w:numFmt w:val="bullet"/>
      <w:pStyle w:val="AR-BulletlistingCharCharChar"/>
      <w:lvlText w:val=""/>
      <w:lvlJc w:val="left"/>
      <w:pPr>
        <w:tabs>
          <w:tab w:val="num" w:pos="720"/>
        </w:tabs>
        <w:ind w:left="720" w:hanging="720"/>
      </w:pPr>
      <w:rPr>
        <w:rFonts w:ascii="Symbol" w:hAnsi="Symbol"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67113DAE"/>
    <w:multiLevelType w:val="hybridMultilevel"/>
    <w:tmpl w:val="11D680E0"/>
    <w:lvl w:ilvl="0" w:tplc="9ED4BFB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4B00D0"/>
    <w:multiLevelType w:val="hybridMultilevel"/>
    <w:tmpl w:val="D8F86306"/>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7BE2857"/>
    <w:multiLevelType w:val="hybridMultilevel"/>
    <w:tmpl w:val="B074C0DA"/>
    <w:lvl w:ilvl="0" w:tplc="0409000B">
      <w:start w:val="1"/>
      <w:numFmt w:val="bullet"/>
      <w:lvlText w:val=""/>
      <w:lvlJc w:val="left"/>
      <w:pPr>
        <w:tabs>
          <w:tab w:val="num" w:pos="936"/>
        </w:tabs>
        <w:ind w:left="936" w:hanging="936"/>
      </w:pPr>
      <w:rPr>
        <w:rFonts w:ascii="Symbol" w:hAnsi="Symbol" w:hint="default"/>
        <w:sz w:val="16"/>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DEE18E3"/>
    <w:multiLevelType w:val="hybridMultilevel"/>
    <w:tmpl w:val="5AE69B56"/>
    <w:lvl w:ilvl="0" w:tplc="A5B46F0E">
      <w:start w:val="1"/>
      <w:numFmt w:val="bullet"/>
      <w:lvlText w:val=""/>
      <w:lvlJc w:val="left"/>
      <w:pPr>
        <w:tabs>
          <w:tab w:val="num" w:pos="576"/>
        </w:tabs>
        <w:ind w:left="576" w:hanging="360"/>
      </w:pPr>
      <w:rPr>
        <w:rFonts w:ascii="Wingdings" w:hAnsi="Wingdings" w:hint="default"/>
      </w:rPr>
    </w:lvl>
    <w:lvl w:ilvl="1" w:tplc="04090019" w:tentative="1">
      <w:start w:val="1"/>
      <w:numFmt w:val="bullet"/>
      <w:lvlText w:val="o"/>
      <w:lvlJc w:val="left"/>
      <w:pPr>
        <w:tabs>
          <w:tab w:val="num" w:pos="1656"/>
        </w:tabs>
        <w:ind w:left="1656" w:hanging="360"/>
      </w:pPr>
      <w:rPr>
        <w:rFonts w:ascii="Courier New" w:hAnsi="Courier New" w:cs="Courier New" w:hint="default"/>
      </w:rPr>
    </w:lvl>
    <w:lvl w:ilvl="2" w:tplc="0409001B" w:tentative="1">
      <w:start w:val="1"/>
      <w:numFmt w:val="bullet"/>
      <w:lvlText w:val=""/>
      <w:lvlJc w:val="left"/>
      <w:pPr>
        <w:tabs>
          <w:tab w:val="num" w:pos="2376"/>
        </w:tabs>
        <w:ind w:left="2376" w:hanging="360"/>
      </w:pPr>
      <w:rPr>
        <w:rFonts w:ascii="Wingdings" w:hAnsi="Wingdings" w:hint="default"/>
      </w:rPr>
    </w:lvl>
    <w:lvl w:ilvl="3" w:tplc="0409000F" w:tentative="1">
      <w:start w:val="1"/>
      <w:numFmt w:val="bullet"/>
      <w:lvlText w:val=""/>
      <w:lvlJc w:val="left"/>
      <w:pPr>
        <w:tabs>
          <w:tab w:val="num" w:pos="3096"/>
        </w:tabs>
        <w:ind w:left="3096" w:hanging="360"/>
      </w:pPr>
      <w:rPr>
        <w:rFonts w:ascii="Symbol" w:hAnsi="Symbol" w:hint="default"/>
      </w:rPr>
    </w:lvl>
    <w:lvl w:ilvl="4" w:tplc="04090019" w:tentative="1">
      <w:start w:val="1"/>
      <w:numFmt w:val="bullet"/>
      <w:lvlText w:val="o"/>
      <w:lvlJc w:val="left"/>
      <w:pPr>
        <w:tabs>
          <w:tab w:val="num" w:pos="3816"/>
        </w:tabs>
        <w:ind w:left="3816" w:hanging="360"/>
      </w:pPr>
      <w:rPr>
        <w:rFonts w:ascii="Courier New" w:hAnsi="Courier New" w:cs="Courier New" w:hint="default"/>
      </w:rPr>
    </w:lvl>
    <w:lvl w:ilvl="5" w:tplc="0409001B" w:tentative="1">
      <w:start w:val="1"/>
      <w:numFmt w:val="bullet"/>
      <w:lvlText w:val=""/>
      <w:lvlJc w:val="left"/>
      <w:pPr>
        <w:tabs>
          <w:tab w:val="num" w:pos="4536"/>
        </w:tabs>
        <w:ind w:left="4536" w:hanging="360"/>
      </w:pPr>
      <w:rPr>
        <w:rFonts w:ascii="Wingdings" w:hAnsi="Wingdings" w:hint="default"/>
      </w:rPr>
    </w:lvl>
    <w:lvl w:ilvl="6" w:tplc="0409000F" w:tentative="1">
      <w:start w:val="1"/>
      <w:numFmt w:val="bullet"/>
      <w:lvlText w:val=""/>
      <w:lvlJc w:val="left"/>
      <w:pPr>
        <w:tabs>
          <w:tab w:val="num" w:pos="5256"/>
        </w:tabs>
        <w:ind w:left="5256" w:hanging="360"/>
      </w:pPr>
      <w:rPr>
        <w:rFonts w:ascii="Symbol" w:hAnsi="Symbol" w:hint="default"/>
      </w:rPr>
    </w:lvl>
    <w:lvl w:ilvl="7" w:tplc="04090019" w:tentative="1">
      <w:start w:val="1"/>
      <w:numFmt w:val="bullet"/>
      <w:lvlText w:val="o"/>
      <w:lvlJc w:val="left"/>
      <w:pPr>
        <w:tabs>
          <w:tab w:val="num" w:pos="5976"/>
        </w:tabs>
        <w:ind w:left="5976" w:hanging="360"/>
      </w:pPr>
      <w:rPr>
        <w:rFonts w:ascii="Courier New" w:hAnsi="Courier New" w:cs="Courier New" w:hint="default"/>
      </w:rPr>
    </w:lvl>
    <w:lvl w:ilvl="8" w:tplc="0409001B" w:tentative="1">
      <w:start w:val="1"/>
      <w:numFmt w:val="bullet"/>
      <w:lvlText w:val=""/>
      <w:lvlJc w:val="left"/>
      <w:pPr>
        <w:tabs>
          <w:tab w:val="num" w:pos="6696"/>
        </w:tabs>
        <w:ind w:left="6696" w:hanging="360"/>
      </w:pPr>
      <w:rPr>
        <w:rFonts w:ascii="Wingdings" w:hAnsi="Wingdings" w:hint="default"/>
      </w:rPr>
    </w:lvl>
  </w:abstractNum>
  <w:abstractNum w:abstractNumId="59">
    <w:nsid w:val="740D5629"/>
    <w:multiLevelType w:val="hybridMultilevel"/>
    <w:tmpl w:val="59E0677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nsid w:val="765446E8"/>
    <w:multiLevelType w:val="hybridMultilevel"/>
    <w:tmpl w:val="D730E840"/>
    <w:lvl w:ilvl="0" w:tplc="0409000B">
      <w:start w:val="1"/>
      <w:numFmt w:val="bullet"/>
      <w:lvlText w:val=""/>
      <w:lvlJc w:val="left"/>
      <w:pPr>
        <w:tabs>
          <w:tab w:val="num" w:pos="576"/>
        </w:tabs>
        <w:ind w:left="576"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B152C13"/>
    <w:multiLevelType w:val="hybridMultilevel"/>
    <w:tmpl w:val="42F4E8BC"/>
    <w:lvl w:ilvl="0" w:tplc="04090001">
      <w:start w:val="1"/>
      <w:numFmt w:val="bullet"/>
      <w:lvlText w:val=""/>
      <w:lvlJc w:val="left"/>
      <w:pPr>
        <w:tabs>
          <w:tab w:val="num" w:pos="576"/>
        </w:tabs>
        <w:ind w:left="576"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15"/>
  </w:num>
  <w:num w:numId="3">
    <w:abstractNumId w:val="2"/>
  </w:num>
  <w:num w:numId="4">
    <w:abstractNumId w:val="11"/>
  </w:num>
  <w:num w:numId="5">
    <w:abstractNumId w:val="0"/>
  </w:num>
  <w:num w:numId="6">
    <w:abstractNumId w:val="32"/>
  </w:num>
  <w:num w:numId="7">
    <w:abstractNumId w:val="53"/>
  </w:num>
  <w:num w:numId="8">
    <w:abstractNumId w:val="22"/>
  </w:num>
  <w:num w:numId="9">
    <w:abstractNumId w:val="16"/>
  </w:num>
  <w:num w:numId="10">
    <w:abstractNumId w:val="40"/>
  </w:num>
  <w:num w:numId="11">
    <w:abstractNumId w:val="31"/>
  </w:num>
  <w:num w:numId="12">
    <w:abstractNumId w:val="28"/>
  </w:num>
  <w:num w:numId="13">
    <w:abstractNumId w:val="14"/>
  </w:num>
  <w:num w:numId="14">
    <w:abstractNumId w:val="30"/>
  </w:num>
  <w:num w:numId="15">
    <w:abstractNumId w:val="43"/>
  </w:num>
  <w:num w:numId="16">
    <w:abstractNumId w:val="12"/>
  </w:num>
  <w:num w:numId="17">
    <w:abstractNumId w:val="4"/>
  </w:num>
  <w:num w:numId="18">
    <w:abstractNumId w:val="3"/>
  </w:num>
  <w:num w:numId="19">
    <w:abstractNumId w:val="20"/>
  </w:num>
  <w:num w:numId="20">
    <w:abstractNumId w:val="6"/>
  </w:num>
  <w:num w:numId="21">
    <w:abstractNumId w:val="26"/>
  </w:num>
  <w:num w:numId="22">
    <w:abstractNumId w:val="34"/>
  </w:num>
  <w:num w:numId="23">
    <w:abstractNumId w:val="55"/>
  </w:num>
  <w:num w:numId="24">
    <w:abstractNumId w:val="41"/>
  </w:num>
  <w:num w:numId="25">
    <w:abstractNumId w:val="60"/>
  </w:num>
  <w:num w:numId="26">
    <w:abstractNumId w:val="49"/>
  </w:num>
  <w:num w:numId="27">
    <w:abstractNumId w:val="39"/>
  </w:num>
  <w:num w:numId="28">
    <w:abstractNumId w:val="33"/>
  </w:num>
  <w:num w:numId="29">
    <w:abstractNumId w:val="21"/>
  </w:num>
  <w:num w:numId="30">
    <w:abstractNumId w:val="59"/>
  </w:num>
  <w:num w:numId="31">
    <w:abstractNumId w:val="51"/>
  </w:num>
  <w:num w:numId="32">
    <w:abstractNumId w:val="58"/>
  </w:num>
  <w:num w:numId="33">
    <w:abstractNumId w:val="42"/>
  </w:num>
  <w:num w:numId="34">
    <w:abstractNumId w:val="56"/>
  </w:num>
  <w:num w:numId="35">
    <w:abstractNumId w:val="13"/>
  </w:num>
  <w:num w:numId="36">
    <w:abstractNumId w:val="29"/>
  </w:num>
  <w:num w:numId="37">
    <w:abstractNumId w:val="48"/>
  </w:num>
  <w:num w:numId="38">
    <w:abstractNumId w:val="36"/>
  </w:num>
  <w:num w:numId="39">
    <w:abstractNumId w:val="50"/>
  </w:num>
  <w:num w:numId="40">
    <w:abstractNumId w:val="8"/>
  </w:num>
  <w:num w:numId="41">
    <w:abstractNumId w:val="24"/>
  </w:num>
  <w:num w:numId="42">
    <w:abstractNumId w:val="1"/>
  </w:num>
  <w:num w:numId="43">
    <w:abstractNumId w:val="27"/>
  </w:num>
  <w:num w:numId="44">
    <w:abstractNumId w:val="38"/>
  </w:num>
  <w:num w:numId="45">
    <w:abstractNumId w:val="45"/>
  </w:num>
  <w:num w:numId="46">
    <w:abstractNumId w:val="18"/>
  </w:num>
  <w:num w:numId="47">
    <w:abstractNumId w:val="54"/>
  </w:num>
  <w:num w:numId="48">
    <w:abstractNumId w:val="10"/>
  </w:num>
  <w:num w:numId="49">
    <w:abstractNumId w:val="37"/>
  </w:num>
  <w:num w:numId="50">
    <w:abstractNumId w:val="57"/>
  </w:num>
  <w:num w:numId="51">
    <w:abstractNumId w:val="52"/>
  </w:num>
  <w:num w:numId="52">
    <w:abstractNumId w:val="25"/>
  </w:num>
  <w:num w:numId="53">
    <w:abstractNumId w:val="9"/>
  </w:num>
  <w:num w:numId="54">
    <w:abstractNumId w:val="5"/>
  </w:num>
  <w:num w:numId="5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19"/>
  </w:num>
  <w:num w:numId="5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35"/>
  </w:num>
  <w:num w:numId="63">
    <w:abstractNumId w:val="4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oNotTrackFormatting/>
  <w:defaultTabStop w:val="720"/>
  <w:evenAndOddHeaders/>
  <w:drawingGridHorizontalSpacing w:val="120"/>
  <w:displayHorizontalDrawingGridEvery w:val="2"/>
  <w:noPunctuationKerning/>
  <w:characterSpacingControl w:val="doNotCompress"/>
  <w:hdrShapeDefaults>
    <o:shapedefaults v:ext="edit" spidmax="178177"/>
  </w:hdrShapeDefaults>
  <w:footnotePr>
    <w:footnote w:id="-1"/>
    <w:footnote w:id="0"/>
  </w:footnotePr>
  <w:endnotePr>
    <w:endnote w:id="-1"/>
    <w:endnote w:id="0"/>
  </w:endnotePr>
  <w:compat/>
  <w:rsids>
    <w:rsidRoot w:val="003D0E7B"/>
    <w:rsid w:val="0000365E"/>
    <w:rsid w:val="00005EFD"/>
    <w:rsid w:val="00006EDF"/>
    <w:rsid w:val="00011207"/>
    <w:rsid w:val="0001481B"/>
    <w:rsid w:val="00014F8E"/>
    <w:rsid w:val="000164DC"/>
    <w:rsid w:val="000203AA"/>
    <w:rsid w:val="000214F1"/>
    <w:rsid w:val="00023728"/>
    <w:rsid w:val="00025EF7"/>
    <w:rsid w:val="0002723C"/>
    <w:rsid w:val="00030811"/>
    <w:rsid w:val="0003372C"/>
    <w:rsid w:val="00034954"/>
    <w:rsid w:val="00042B3C"/>
    <w:rsid w:val="00044C68"/>
    <w:rsid w:val="00046653"/>
    <w:rsid w:val="00050E0C"/>
    <w:rsid w:val="00051D53"/>
    <w:rsid w:val="00053A64"/>
    <w:rsid w:val="00053DBF"/>
    <w:rsid w:val="00053DD2"/>
    <w:rsid w:val="00054E33"/>
    <w:rsid w:val="00054F1F"/>
    <w:rsid w:val="00055264"/>
    <w:rsid w:val="000553F7"/>
    <w:rsid w:val="00056F09"/>
    <w:rsid w:val="0006543F"/>
    <w:rsid w:val="0006689A"/>
    <w:rsid w:val="00070433"/>
    <w:rsid w:val="00073538"/>
    <w:rsid w:val="00073A48"/>
    <w:rsid w:val="0007449E"/>
    <w:rsid w:val="000755B1"/>
    <w:rsid w:val="00080297"/>
    <w:rsid w:val="00081A77"/>
    <w:rsid w:val="00086EDF"/>
    <w:rsid w:val="000906AA"/>
    <w:rsid w:val="00092DA3"/>
    <w:rsid w:val="000937A9"/>
    <w:rsid w:val="000A0803"/>
    <w:rsid w:val="000A1682"/>
    <w:rsid w:val="000A224F"/>
    <w:rsid w:val="000A3E86"/>
    <w:rsid w:val="000A40C2"/>
    <w:rsid w:val="000A41E5"/>
    <w:rsid w:val="000A71A4"/>
    <w:rsid w:val="000C084A"/>
    <w:rsid w:val="000C1FBF"/>
    <w:rsid w:val="000C2BC5"/>
    <w:rsid w:val="000C3194"/>
    <w:rsid w:val="000C358C"/>
    <w:rsid w:val="000C40C2"/>
    <w:rsid w:val="000C6D1F"/>
    <w:rsid w:val="000C781F"/>
    <w:rsid w:val="000C79E1"/>
    <w:rsid w:val="000D2512"/>
    <w:rsid w:val="000D73EC"/>
    <w:rsid w:val="000D74C1"/>
    <w:rsid w:val="000E2AEC"/>
    <w:rsid w:val="000F1271"/>
    <w:rsid w:val="000F15A2"/>
    <w:rsid w:val="000F2A30"/>
    <w:rsid w:val="000F321C"/>
    <w:rsid w:val="000F5C92"/>
    <w:rsid w:val="000F759C"/>
    <w:rsid w:val="000F7E92"/>
    <w:rsid w:val="001012AA"/>
    <w:rsid w:val="00104C69"/>
    <w:rsid w:val="001071A0"/>
    <w:rsid w:val="00107558"/>
    <w:rsid w:val="001116B5"/>
    <w:rsid w:val="001123BA"/>
    <w:rsid w:val="0011291B"/>
    <w:rsid w:val="00113A1D"/>
    <w:rsid w:val="00121F17"/>
    <w:rsid w:val="001257FA"/>
    <w:rsid w:val="00126B7E"/>
    <w:rsid w:val="001347E9"/>
    <w:rsid w:val="00135DE3"/>
    <w:rsid w:val="001363C1"/>
    <w:rsid w:val="001375C6"/>
    <w:rsid w:val="00142988"/>
    <w:rsid w:val="00142FF1"/>
    <w:rsid w:val="001436CB"/>
    <w:rsid w:val="00144D8E"/>
    <w:rsid w:val="001525BF"/>
    <w:rsid w:val="001526DA"/>
    <w:rsid w:val="00155A62"/>
    <w:rsid w:val="0016008A"/>
    <w:rsid w:val="001608AB"/>
    <w:rsid w:val="00161168"/>
    <w:rsid w:val="001613C6"/>
    <w:rsid w:val="00163AD7"/>
    <w:rsid w:val="00165BD8"/>
    <w:rsid w:val="00175569"/>
    <w:rsid w:val="00180538"/>
    <w:rsid w:val="00181487"/>
    <w:rsid w:val="00183A8F"/>
    <w:rsid w:val="00184F7E"/>
    <w:rsid w:val="0019205E"/>
    <w:rsid w:val="001A22A1"/>
    <w:rsid w:val="001A3012"/>
    <w:rsid w:val="001A6122"/>
    <w:rsid w:val="001B1FC5"/>
    <w:rsid w:val="001B2A05"/>
    <w:rsid w:val="001B2AFD"/>
    <w:rsid w:val="001B31B3"/>
    <w:rsid w:val="001B5D53"/>
    <w:rsid w:val="001B5DB4"/>
    <w:rsid w:val="001B736C"/>
    <w:rsid w:val="001C0F82"/>
    <w:rsid w:val="001C2463"/>
    <w:rsid w:val="001D0D9A"/>
    <w:rsid w:val="001D13BD"/>
    <w:rsid w:val="001D1825"/>
    <w:rsid w:val="001D5EFD"/>
    <w:rsid w:val="001D7B53"/>
    <w:rsid w:val="001E2540"/>
    <w:rsid w:val="001E532B"/>
    <w:rsid w:val="001E72A1"/>
    <w:rsid w:val="001E77E0"/>
    <w:rsid w:val="001F119A"/>
    <w:rsid w:val="001F3BCA"/>
    <w:rsid w:val="002015E7"/>
    <w:rsid w:val="0020204D"/>
    <w:rsid w:val="00203CA3"/>
    <w:rsid w:val="00204DE8"/>
    <w:rsid w:val="0020517D"/>
    <w:rsid w:val="002112F5"/>
    <w:rsid w:val="00217B3B"/>
    <w:rsid w:val="002218C8"/>
    <w:rsid w:val="0022297C"/>
    <w:rsid w:val="00222AA8"/>
    <w:rsid w:val="00224A36"/>
    <w:rsid w:val="002265E3"/>
    <w:rsid w:val="002305AB"/>
    <w:rsid w:val="00230F8A"/>
    <w:rsid w:val="00231886"/>
    <w:rsid w:val="00233A47"/>
    <w:rsid w:val="00235B47"/>
    <w:rsid w:val="002360D8"/>
    <w:rsid w:val="002371D6"/>
    <w:rsid w:val="00242306"/>
    <w:rsid w:val="00242E43"/>
    <w:rsid w:val="0024599A"/>
    <w:rsid w:val="00245AC3"/>
    <w:rsid w:val="00251A04"/>
    <w:rsid w:val="00252181"/>
    <w:rsid w:val="00252C13"/>
    <w:rsid w:val="00256741"/>
    <w:rsid w:val="0026374C"/>
    <w:rsid w:val="00266B82"/>
    <w:rsid w:val="0026799E"/>
    <w:rsid w:val="00270349"/>
    <w:rsid w:val="00271688"/>
    <w:rsid w:val="00271CB8"/>
    <w:rsid w:val="00282541"/>
    <w:rsid w:val="00282951"/>
    <w:rsid w:val="00282FA7"/>
    <w:rsid w:val="00285938"/>
    <w:rsid w:val="00287806"/>
    <w:rsid w:val="00292688"/>
    <w:rsid w:val="002930E6"/>
    <w:rsid w:val="00293AB3"/>
    <w:rsid w:val="00295130"/>
    <w:rsid w:val="00295F21"/>
    <w:rsid w:val="00295FB2"/>
    <w:rsid w:val="002A0232"/>
    <w:rsid w:val="002A19E0"/>
    <w:rsid w:val="002A33D5"/>
    <w:rsid w:val="002A47C8"/>
    <w:rsid w:val="002A7CB7"/>
    <w:rsid w:val="002B03A4"/>
    <w:rsid w:val="002B4426"/>
    <w:rsid w:val="002B6EFB"/>
    <w:rsid w:val="002B6F42"/>
    <w:rsid w:val="002B70A0"/>
    <w:rsid w:val="002C5589"/>
    <w:rsid w:val="002C664A"/>
    <w:rsid w:val="002D5102"/>
    <w:rsid w:val="002D7B78"/>
    <w:rsid w:val="002E0DA8"/>
    <w:rsid w:val="002E12B9"/>
    <w:rsid w:val="002E17AE"/>
    <w:rsid w:val="002E27B7"/>
    <w:rsid w:val="002E49CE"/>
    <w:rsid w:val="002F12AF"/>
    <w:rsid w:val="002F6D16"/>
    <w:rsid w:val="002F6F98"/>
    <w:rsid w:val="002F7C9D"/>
    <w:rsid w:val="00302546"/>
    <w:rsid w:val="00304948"/>
    <w:rsid w:val="00305761"/>
    <w:rsid w:val="00306000"/>
    <w:rsid w:val="00310D57"/>
    <w:rsid w:val="00316F27"/>
    <w:rsid w:val="00317730"/>
    <w:rsid w:val="00323381"/>
    <w:rsid w:val="00323DF4"/>
    <w:rsid w:val="00324035"/>
    <w:rsid w:val="00324849"/>
    <w:rsid w:val="00325EEF"/>
    <w:rsid w:val="00326AC8"/>
    <w:rsid w:val="0032702F"/>
    <w:rsid w:val="00330439"/>
    <w:rsid w:val="0033094F"/>
    <w:rsid w:val="00331BB9"/>
    <w:rsid w:val="00337579"/>
    <w:rsid w:val="00340520"/>
    <w:rsid w:val="003425B7"/>
    <w:rsid w:val="003439DF"/>
    <w:rsid w:val="00346613"/>
    <w:rsid w:val="003578DC"/>
    <w:rsid w:val="0036043A"/>
    <w:rsid w:val="0036067B"/>
    <w:rsid w:val="00360B53"/>
    <w:rsid w:val="00361B39"/>
    <w:rsid w:val="00366CF3"/>
    <w:rsid w:val="003703D9"/>
    <w:rsid w:val="0037132E"/>
    <w:rsid w:val="00371D6E"/>
    <w:rsid w:val="00372C3E"/>
    <w:rsid w:val="00380F8D"/>
    <w:rsid w:val="003816BA"/>
    <w:rsid w:val="00383B00"/>
    <w:rsid w:val="0038674E"/>
    <w:rsid w:val="00387586"/>
    <w:rsid w:val="00395001"/>
    <w:rsid w:val="00395D66"/>
    <w:rsid w:val="00396366"/>
    <w:rsid w:val="003A1222"/>
    <w:rsid w:val="003A1604"/>
    <w:rsid w:val="003A38EA"/>
    <w:rsid w:val="003A6A63"/>
    <w:rsid w:val="003A7660"/>
    <w:rsid w:val="003A7922"/>
    <w:rsid w:val="003B05E8"/>
    <w:rsid w:val="003B0CB9"/>
    <w:rsid w:val="003B2E8C"/>
    <w:rsid w:val="003B6C5B"/>
    <w:rsid w:val="003C2E79"/>
    <w:rsid w:val="003C38BB"/>
    <w:rsid w:val="003C435C"/>
    <w:rsid w:val="003D026C"/>
    <w:rsid w:val="003D0667"/>
    <w:rsid w:val="003D0B97"/>
    <w:rsid w:val="003D0E7B"/>
    <w:rsid w:val="003D0FEA"/>
    <w:rsid w:val="003D1CD6"/>
    <w:rsid w:val="003D1F58"/>
    <w:rsid w:val="003D2773"/>
    <w:rsid w:val="003D399D"/>
    <w:rsid w:val="003D3E88"/>
    <w:rsid w:val="003D5DAE"/>
    <w:rsid w:val="003E08AD"/>
    <w:rsid w:val="003E0DB9"/>
    <w:rsid w:val="003E0E22"/>
    <w:rsid w:val="003E2B1F"/>
    <w:rsid w:val="003E4F0A"/>
    <w:rsid w:val="003E4F32"/>
    <w:rsid w:val="003E5664"/>
    <w:rsid w:val="003E615F"/>
    <w:rsid w:val="003E746C"/>
    <w:rsid w:val="003F2498"/>
    <w:rsid w:val="003F3F24"/>
    <w:rsid w:val="003F78DC"/>
    <w:rsid w:val="00400AC4"/>
    <w:rsid w:val="00400C58"/>
    <w:rsid w:val="00401E93"/>
    <w:rsid w:val="00413D62"/>
    <w:rsid w:val="00415A34"/>
    <w:rsid w:val="004168F0"/>
    <w:rsid w:val="00417846"/>
    <w:rsid w:val="00424A8F"/>
    <w:rsid w:val="00426797"/>
    <w:rsid w:val="00427F7F"/>
    <w:rsid w:val="00431903"/>
    <w:rsid w:val="00433BB2"/>
    <w:rsid w:val="004365F4"/>
    <w:rsid w:val="004366EC"/>
    <w:rsid w:val="00436703"/>
    <w:rsid w:val="00436958"/>
    <w:rsid w:val="00437BA4"/>
    <w:rsid w:val="0044211E"/>
    <w:rsid w:val="00442363"/>
    <w:rsid w:val="00446A90"/>
    <w:rsid w:val="00451E8F"/>
    <w:rsid w:val="004554C1"/>
    <w:rsid w:val="00457FD6"/>
    <w:rsid w:val="00461B28"/>
    <w:rsid w:val="00461E17"/>
    <w:rsid w:val="00466B66"/>
    <w:rsid w:val="00466E4D"/>
    <w:rsid w:val="00470612"/>
    <w:rsid w:val="00470837"/>
    <w:rsid w:val="0047187B"/>
    <w:rsid w:val="004753FC"/>
    <w:rsid w:val="0048075E"/>
    <w:rsid w:val="0048280C"/>
    <w:rsid w:val="00484132"/>
    <w:rsid w:val="004843FE"/>
    <w:rsid w:val="00486A78"/>
    <w:rsid w:val="0048781D"/>
    <w:rsid w:val="00487EFA"/>
    <w:rsid w:val="004918D1"/>
    <w:rsid w:val="00493966"/>
    <w:rsid w:val="00494B65"/>
    <w:rsid w:val="00495068"/>
    <w:rsid w:val="004952A7"/>
    <w:rsid w:val="004A0FF7"/>
    <w:rsid w:val="004A279D"/>
    <w:rsid w:val="004A29A9"/>
    <w:rsid w:val="004A707A"/>
    <w:rsid w:val="004B1656"/>
    <w:rsid w:val="004B698D"/>
    <w:rsid w:val="004B775C"/>
    <w:rsid w:val="004C078B"/>
    <w:rsid w:val="004C1AF6"/>
    <w:rsid w:val="004C2FBB"/>
    <w:rsid w:val="004C581E"/>
    <w:rsid w:val="004C7429"/>
    <w:rsid w:val="004D0C7F"/>
    <w:rsid w:val="004D1D69"/>
    <w:rsid w:val="004E17F1"/>
    <w:rsid w:val="004E2374"/>
    <w:rsid w:val="004E48F4"/>
    <w:rsid w:val="004E63AB"/>
    <w:rsid w:val="004F263A"/>
    <w:rsid w:val="004F2A10"/>
    <w:rsid w:val="004F7D52"/>
    <w:rsid w:val="005040A7"/>
    <w:rsid w:val="00505030"/>
    <w:rsid w:val="00507DEF"/>
    <w:rsid w:val="00511AD2"/>
    <w:rsid w:val="00511FC8"/>
    <w:rsid w:val="00515ADA"/>
    <w:rsid w:val="005178F0"/>
    <w:rsid w:val="00523398"/>
    <w:rsid w:val="00533085"/>
    <w:rsid w:val="005360B6"/>
    <w:rsid w:val="00540A7B"/>
    <w:rsid w:val="00540F18"/>
    <w:rsid w:val="00546185"/>
    <w:rsid w:val="00546DF7"/>
    <w:rsid w:val="00547FE3"/>
    <w:rsid w:val="005552FF"/>
    <w:rsid w:val="00555DF0"/>
    <w:rsid w:val="00556483"/>
    <w:rsid w:val="00561262"/>
    <w:rsid w:val="005632D9"/>
    <w:rsid w:val="00564378"/>
    <w:rsid w:val="005647DA"/>
    <w:rsid w:val="00566F71"/>
    <w:rsid w:val="0056748D"/>
    <w:rsid w:val="005730E5"/>
    <w:rsid w:val="00574941"/>
    <w:rsid w:val="005760A9"/>
    <w:rsid w:val="00581610"/>
    <w:rsid w:val="00582BB7"/>
    <w:rsid w:val="00583A3D"/>
    <w:rsid w:val="005842DA"/>
    <w:rsid w:val="00584C3E"/>
    <w:rsid w:val="00585410"/>
    <w:rsid w:val="0059020B"/>
    <w:rsid w:val="005914FD"/>
    <w:rsid w:val="00592F15"/>
    <w:rsid w:val="00593CBE"/>
    <w:rsid w:val="005950BB"/>
    <w:rsid w:val="005955E2"/>
    <w:rsid w:val="0059762C"/>
    <w:rsid w:val="005A1919"/>
    <w:rsid w:val="005A2338"/>
    <w:rsid w:val="005B391D"/>
    <w:rsid w:val="005B4F15"/>
    <w:rsid w:val="005B6BB2"/>
    <w:rsid w:val="005C0B24"/>
    <w:rsid w:val="005C16EA"/>
    <w:rsid w:val="005C1702"/>
    <w:rsid w:val="005C1780"/>
    <w:rsid w:val="005C20F4"/>
    <w:rsid w:val="005C21DC"/>
    <w:rsid w:val="005C33D1"/>
    <w:rsid w:val="005C37D9"/>
    <w:rsid w:val="005C624C"/>
    <w:rsid w:val="005D14B4"/>
    <w:rsid w:val="005D2FF1"/>
    <w:rsid w:val="005D39D7"/>
    <w:rsid w:val="005D4CA2"/>
    <w:rsid w:val="005D7B8E"/>
    <w:rsid w:val="005E018C"/>
    <w:rsid w:val="005F06B9"/>
    <w:rsid w:val="005F37CD"/>
    <w:rsid w:val="005F48E6"/>
    <w:rsid w:val="005F70F3"/>
    <w:rsid w:val="00601A72"/>
    <w:rsid w:val="006039C5"/>
    <w:rsid w:val="00604A97"/>
    <w:rsid w:val="006118AD"/>
    <w:rsid w:val="00611931"/>
    <w:rsid w:val="00611E26"/>
    <w:rsid w:val="00612476"/>
    <w:rsid w:val="006153BA"/>
    <w:rsid w:val="00615A4D"/>
    <w:rsid w:val="006168E2"/>
    <w:rsid w:val="00617017"/>
    <w:rsid w:val="00622D45"/>
    <w:rsid w:val="00630F6F"/>
    <w:rsid w:val="0063361D"/>
    <w:rsid w:val="006339C6"/>
    <w:rsid w:val="006364D4"/>
    <w:rsid w:val="006366E2"/>
    <w:rsid w:val="00637F58"/>
    <w:rsid w:val="006425DA"/>
    <w:rsid w:val="00645660"/>
    <w:rsid w:val="00652CD4"/>
    <w:rsid w:val="00660989"/>
    <w:rsid w:val="006629F4"/>
    <w:rsid w:val="0066304C"/>
    <w:rsid w:val="00663D4C"/>
    <w:rsid w:val="00670138"/>
    <w:rsid w:val="00670357"/>
    <w:rsid w:val="00671C38"/>
    <w:rsid w:val="00671C68"/>
    <w:rsid w:val="00672281"/>
    <w:rsid w:val="00672BFB"/>
    <w:rsid w:val="006751EA"/>
    <w:rsid w:val="00675254"/>
    <w:rsid w:val="00681570"/>
    <w:rsid w:val="00682A53"/>
    <w:rsid w:val="00683EB1"/>
    <w:rsid w:val="006906DE"/>
    <w:rsid w:val="00692D38"/>
    <w:rsid w:val="0069364A"/>
    <w:rsid w:val="00693F48"/>
    <w:rsid w:val="00695EDC"/>
    <w:rsid w:val="0069773B"/>
    <w:rsid w:val="006A29E1"/>
    <w:rsid w:val="006A2FE8"/>
    <w:rsid w:val="006A30E2"/>
    <w:rsid w:val="006A58E7"/>
    <w:rsid w:val="006B0A60"/>
    <w:rsid w:val="006B4CA9"/>
    <w:rsid w:val="006B5740"/>
    <w:rsid w:val="006C079E"/>
    <w:rsid w:val="006C1CE0"/>
    <w:rsid w:val="006C2920"/>
    <w:rsid w:val="006C689E"/>
    <w:rsid w:val="006C7C76"/>
    <w:rsid w:val="006D2F04"/>
    <w:rsid w:val="006D47E3"/>
    <w:rsid w:val="006E00F4"/>
    <w:rsid w:val="006E01E3"/>
    <w:rsid w:val="006E3B4B"/>
    <w:rsid w:val="006E6513"/>
    <w:rsid w:val="006F10A5"/>
    <w:rsid w:val="006F3D67"/>
    <w:rsid w:val="006F53CB"/>
    <w:rsid w:val="00704FB3"/>
    <w:rsid w:val="007055B6"/>
    <w:rsid w:val="00705837"/>
    <w:rsid w:val="00710A68"/>
    <w:rsid w:val="007139B4"/>
    <w:rsid w:val="00713F17"/>
    <w:rsid w:val="00715480"/>
    <w:rsid w:val="00716445"/>
    <w:rsid w:val="00717DAE"/>
    <w:rsid w:val="00721A17"/>
    <w:rsid w:val="007234E3"/>
    <w:rsid w:val="00723782"/>
    <w:rsid w:val="0073201D"/>
    <w:rsid w:val="00734CE0"/>
    <w:rsid w:val="00736677"/>
    <w:rsid w:val="00736FFF"/>
    <w:rsid w:val="007371B8"/>
    <w:rsid w:val="00740FB3"/>
    <w:rsid w:val="007461F7"/>
    <w:rsid w:val="007471A8"/>
    <w:rsid w:val="0074768F"/>
    <w:rsid w:val="00754EC3"/>
    <w:rsid w:val="00764C71"/>
    <w:rsid w:val="00766092"/>
    <w:rsid w:val="0076666E"/>
    <w:rsid w:val="00771421"/>
    <w:rsid w:val="007721EE"/>
    <w:rsid w:val="007734F8"/>
    <w:rsid w:val="00774848"/>
    <w:rsid w:val="007749AA"/>
    <w:rsid w:val="00774A21"/>
    <w:rsid w:val="00776054"/>
    <w:rsid w:val="0078303E"/>
    <w:rsid w:val="007876CB"/>
    <w:rsid w:val="007918BF"/>
    <w:rsid w:val="00792186"/>
    <w:rsid w:val="00792421"/>
    <w:rsid w:val="007975E7"/>
    <w:rsid w:val="007979FE"/>
    <w:rsid w:val="007A2829"/>
    <w:rsid w:val="007A3F28"/>
    <w:rsid w:val="007A5509"/>
    <w:rsid w:val="007A688C"/>
    <w:rsid w:val="007A779C"/>
    <w:rsid w:val="007B0CF3"/>
    <w:rsid w:val="007B3004"/>
    <w:rsid w:val="007B406F"/>
    <w:rsid w:val="007B55EE"/>
    <w:rsid w:val="007B6252"/>
    <w:rsid w:val="007B6694"/>
    <w:rsid w:val="007B6B33"/>
    <w:rsid w:val="007B6E98"/>
    <w:rsid w:val="007C0D16"/>
    <w:rsid w:val="007C238C"/>
    <w:rsid w:val="007C4265"/>
    <w:rsid w:val="007C4781"/>
    <w:rsid w:val="007C570E"/>
    <w:rsid w:val="007D12F5"/>
    <w:rsid w:val="007D3F9F"/>
    <w:rsid w:val="007D40B4"/>
    <w:rsid w:val="007D48F9"/>
    <w:rsid w:val="007D6019"/>
    <w:rsid w:val="007E0B81"/>
    <w:rsid w:val="007E23AD"/>
    <w:rsid w:val="007E613C"/>
    <w:rsid w:val="007F0791"/>
    <w:rsid w:val="007F45A2"/>
    <w:rsid w:val="007F4D5D"/>
    <w:rsid w:val="007F6312"/>
    <w:rsid w:val="008021AD"/>
    <w:rsid w:val="0080405C"/>
    <w:rsid w:val="00806020"/>
    <w:rsid w:val="0081043A"/>
    <w:rsid w:val="00815081"/>
    <w:rsid w:val="00816635"/>
    <w:rsid w:val="00816B55"/>
    <w:rsid w:val="008230FB"/>
    <w:rsid w:val="00832CF8"/>
    <w:rsid w:val="00836002"/>
    <w:rsid w:val="00837FD7"/>
    <w:rsid w:val="008401F0"/>
    <w:rsid w:val="0084110B"/>
    <w:rsid w:val="00842C48"/>
    <w:rsid w:val="008451EF"/>
    <w:rsid w:val="00851836"/>
    <w:rsid w:val="008530DA"/>
    <w:rsid w:val="008557F1"/>
    <w:rsid w:val="00860A69"/>
    <w:rsid w:val="00861C05"/>
    <w:rsid w:val="0086381F"/>
    <w:rsid w:val="008659D9"/>
    <w:rsid w:val="0087565C"/>
    <w:rsid w:val="00875A38"/>
    <w:rsid w:val="00880581"/>
    <w:rsid w:val="008806CC"/>
    <w:rsid w:val="0088138A"/>
    <w:rsid w:val="00881D1D"/>
    <w:rsid w:val="00886A25"/>
    <w:rsid w:val="00890A9F"/>
    <w:rsid w:val="00890DB6"/>
    <w:rsid w:val="00896939"/>
    <w:rsid w:val="0089771B"/>
    <w:rsid w:val="008A0516"/>
    <w:rsid w:val="008A10B1"/>
    <w:rsid w:val="008A14E2"/>
    <w:rsid w:val="008A3367"/>
    <w:rsid w:val="008B0DE2"/>
    <w:rsid w:val="008B256E"/>
    <w:rsid w:val="008B295B"/>
    <w:rsid w:val="008B3EC5"/>
    <w:rsid w:val="008B672C"/>
    <w:rsid w:val="008C043E"/>
    <w:rsid w:val="008C0946"/>
    <w:rsid w:val="008C4C9E"/>
    <w:rsid w:val="008C7F0B"/>
    <w:rsid w:val="008D07A8"/>
    <w:rsid w:val="008D0C2A"/>
    <w:rsid w:val="008D12DC"/>
    <w:rsid w:val="008D27AC"/>
    <w:rsid w:val="008D46B7"/>
    <w:rsid w:val="008D6134"/>
    <w:rsid w:val="008E2B1C"/>
    <w:rsid w:val="008F0F4B"/>
    <w:rsid w:val="008F20D9"/>
    <w:rsid w:val="008F460B"/>
    <w:rsid w:val="008F5966"/>
    <w:rsid w:val="008F7449"/>
    <w:rsid w:val="008F7450"/>
    <w:rsid w:val="009017AA"/>
    <w:rsid w:val="00906DF9"/>
    <w:rsid w:val="00910CDC"/>
    <w:rsid w:val="009136AE"/>
    <w:rsid w:val="009147A6"/>
    <w:rsid w:val="009217D6"/>
    <w:rsid w:val="00922112"/>
    <w:rsid w:val="00925A5F"/>
    <w:rsid w:val="00925CD7"/>
    <w:rsid w:val="0093076A"/>
    <w:rsid w:val="00930DD2"/>
    <w:rsid w:val="00934D0C"/>
    <w:rsid w:val="009375DE"/>
    <w:rsid w:val="0094046F"/>
    <w:rsid w:val="009474DD"/>
    <w:rsid w:val="00950ADA"/>
    <w:rsid w:val="009552BF"/>
    <w:rsid w:val="0095733D"/>
    <w:rsid w:val="00962547"/>
    <w:rsid w:val="0096509E"/>
    <w:rsid w:val="00967760"/>
    <w:rsid w:val="00967B87"/>
    <w:rsid w:val="00971703"/>
    <w:rsid w:val="0097259E"/>
    <w:rsid w:val="00973BD6"/>
    <w:rsid w:val="0097428F"/>
    <w:rsid w:val="00976B97"/>
    <w:rsid w:val="0098208F"/>
    <w:rsid w:val="00982480"/>
    <w:rsid w:val="0098276A"/>
    <w:rsid w:val="009842DA"/>
    <w:rsid w:val="00984AD4"/>
    <w:rsid w:val="00986828"/>
    <w:rsid w:val="00993556"/>
    <w:rsid w:val="0099399E"/>
    <w:rsid w:val="00997A49"/>
    <w:rsid w:val="009A0C94"/>
    <w:rsid w:val="009A25D8"/>
    <w:rsid w:val="009A4734"/>
    <w:rsid w:val="009A710D"/>
    <w:rsid w:val="009B2387"/>
    <w:rsid w:val="009B257E"/>
    <w:rsid w:val="009B4984"/>
    <w:rsid w:val="009B744E"/>
    <w:rsid w:val="009C031F"/>
    <w:rsid w:val="009C2D39"/>
    <w:rsid w:val="009C62D0"/>
    <w:rsid w:val="009C6CE3"/>
    <w:rsid w:val="009C7A02"/>
    <w:rsid w:val="009D1CB8"/>
    <w:rsid w:val="009E0FEA"/>
    <w:rsid w:val="009E12C8"/>
    <w:rsid w:val="009E164D"/>
    <w:rsid w:val="009E6E14"/>
    <w:rsid w:val="009F0B96"/>
    <w:rsid w:val="009F4DB3"/>
    <w:rsid w:val="009F5F9D"/>
    <w:rsid w:val="009F6B30"/>
    <w:rsid w:val="00A02026"/>
    <w:rsid w:val="00A06230"/>
    <w:rsid w:val="00A0692E"/>
    <w:rsid w:val="00A101A4"/>
    <w:rsid w:val="00A13AA0"/>
    <w:rsid w:val="00A17DA7"/>
    <w:rsid w:val="00A20E8E"/>
    <w:rsid w:val="00A25111"/>
    <w:rsid w:val="00A25C65"/>
    <w:rsid w:val="00A2667E"/>
    <w:rsid w:val="00A274D8"/>
    <w:rsid w:val="00A303FB"/>
    <w:rsid w:val="00A32114"/>
    <w:rsid w:val="00A419B0"/>
    <w:rsid w:val="00A424D3"/>
    <w:rsid w:val="00A427A5"/>
    <w:rsid w:val="00A530D9"/>
    <w:rsid w:val="00A55F6D"/>
    <w:rsid w:val="00A56B6E"/>
    <w:rsid w:val="00A6112B"/>
    <w:rsid w:val="00A62C56"/>
    <w:rsid w:val="00A67E3F"/>
    <w:rsid w:val="00A733D6"/>
    <w:rsid w:val="00A75052"/>
    <w:rsid w:val="00A826DB"/>
    <w:rsid w:val="00A8673E"/>
    <w:rsid w:val="00A867D1"/>
    <w:rsid w:val="00A87425"/>
    <w:rsid w:val="00A92439"/>
    <w:rsid w:val="00A93E1F"/>
    <w:rsid w:val="00A964E5"/>
    <w:rsid w:val="00A965C2"/>
    <w:rsid w:val="00A97FB9"/>
    <w:rsid w:val="00AA3992"/>
    <w:rsid w:val="00AB01CC"/>
    <w:rsid w:val="00AB1422"/>
    <w:rsid w:val="00AB5E25"/>
    <w:rsid w:val="00AC06DD"/>
    <w:rsid w:val="00AC1A1A"/>
    <w:rsid w:val="00AC2C96"/>
    <w:rsid w:val="00AD3063"/>
    <w:rsid w:val="00AD424C"/>
    <w:rsid w:val="00AD5EE6"/>
    <w:rsid w:val="00AD6A16"/>
    <w:rsid w:val="00AE3308"/>
    <w:rsid w:val="00AE38F2"/>
    <w:rsid w:val="00AE49CB"/>
    <w:rsid w:val="00AE6494"/>
    <w:rsid w:val="00AF1926"/>
    <w:rsid w:val="00AF33F5"/>
    <w:rsid w:val="00AF3691"/>
    <w:rsid w:val="00AF6CB2"/>
    <w:rsid w:val="00AF7620"/>
    <w:rsid w:val="00AF7E9F"/>
    <w:rsid w:val="00B0138C"/>
    <w:rsid w:val="00B03A1E"/>
    <w:rsid w:val="00B04F32"/>
    <w:rsid w:val="00B04FD6"/>
    <w:rsid w:val="00B058E9"/>
    <w:rsid w:val="00B05DA7"/>
    <w:rsid w:val="00B1333D"/>
    <w:rsid w:val="00B139E3"/>
    <w:rsid w:val="00B1486E"/>
    <w:rsid w:val="00B2226F"/>
    <w:rsid w:val="00B242E2"/>
    <w:rsid w:val="00B24952"/>
    <w:rsid w:val="00B2684D"/>
    <w:rsid w:val="00B270AC"/>
    <w:rsid w:val="00B27868"/>
    <w:rsid w:val="00B27D64"/>
    <w:rsid w:val="00B352EE"/>
    <w:rsid w:val="00B37CE7"/>
    <w:rsid w:val="00B37FAB"/>
    <w:rsid w:val="00B44B15"/>
    <w:rsid w:val="00B45F1E"/>
    <w:rsid w:val="00B461C2"/>
    <w:rsid w:val="00B50B54"/>
    <w:rsid w:val="00B50CCC"/>
    <w:rsid w:val="00B51A71"/>
    <w:rsid w:val="00B531D5"/>
    <w:rsid w:val="00B5344E"/>
    <w:rsid w:val="00B54D23"/>
    <w:rsid w:val="00B578D6"/>
    <w:rsid w:val="00B61AAF"/>
    <w:rsid w:val="00B62528"/>
    <w:rsid w:val="00B6463A"/>
    <w:rsid w:val="00B64D26"/>
    <w:rsid w:val="00B66CED"/>
    <w:rsid w:val="00B66E6E"/>
    <w:rsid w:val="00B6787A"/>
    <w:rsid w:val="00B70E30"/>
    <w:rsid w:val="00B725F4"/>
    <w:rsid w:val="00B74584"/>
    <w:rsid w:val="00B7468D"/>
    <w:rsid w:val="00B75ADA"/>
    <w:rsid w:val="00B75B18"/>
    <w:rsid w:val="00B76DEE"/>
    <w:rsid w:val="00B77982"/>
    <w:rsid w:val="00B8049B"/>
    <w:rsid w:val="00B859A1"/>
    <w:rsid w:val="00B85B84"/>
    <w:rsid w:val="00B86509"/>
    <w:rsid w:val="00B86D37"/>
    <w:rsid w:val="00B87D1D"/>
    <w:rsid w:val="00B92FC4"/>
    <w:rsid w:val="00BA0919"/>
    <w:rsid w:val="00BA1C9C"/>
    <w:rsid w:val="00BA2170"/>
    <w:rsid w:val="00BA627E"/>
    <w:rsid w:val="00BA6550"/>
    <w:rsid w:val="00BA740D"/>
    <w:rsid w:val="00BB0AD4"/>
    <w:rsid w:val="00BB5538"/>
    <w:rsid w:val="00BC3C38"/>
    <w:rsid w:val="00BC3D84"/>
    <w:rsid w:val="00BC5198"/>
    <w:rsid w:val="00BD22F3"/>
    <w:rsid w:val="00BD44E0"/>
    <w:rsid w:val="00BD4814"/>
    <w:rsid w:val="00BD7466"/>
    <w:rsid w:val="00BD778E"/>
    <w:rsid w:val="00BE111F"/>
    <w:rsid w:val="00BE21EA"/>
    <w:rsid w:val="00BF15A3"/>
    <w:rsid w:val="00BF2C74"/>
    <w:rsid w:val="00BF35A7"/>
    <w:rsid w:val="00BF6388"/>
    <w:rsid w:val="00BF7C7F"/>
    <w:rsid w:val="00C01747"/>
    <w:rsid w:val="00C04EF3"/>
    <w:rsid w:val="00C07693"/>
    <w:rsid w:val="00C11DCF"/>
    <w:rsid w:val="00C124E8"/>
    <w:rsid w:val="00C143A7"/>
    <w:rsid w:val="00C14A30"/>
    <w:rsid w:val="00C24B0B"/>
    <w:rsid w:val="00C25D4E"/>
    <w:rsid w:val="00C30C7B"/>
    <w:rsid w:val="00C33FC8"/>
    <w:rsid w:val="00C35A96"/>
    <w:rsid w:val="00C36DD2"/>
    <w:rsid w:val="00C37F85"/>
    <w:rsid w:val="00C40989"/>
    <w:rsid w:val="00C40B38"/>
    <w:rsid w:val="00C45BA3"/>
    <w:rsid w:val="00C504CD"/>
    <w:rsid w:val="00C50CEF"/>
    <w:rsid w:val="00C5224D"/>
    <w:rsid w:val="00C52AFB"/>
    <w:rsid w:val="00C5457C"/>
    <w:rsid w:val="00C562F6"/>
    <w:rsid w:val="00C61173"/>
    <w:rsid w:val="00C62824"/>
    <w:rsid w:val="00C62F7D"/>
    <w:rsid w:val="00C7120E"/>
    <w:rsid w:val="00C7235A"/>
    <w:rsid w:val="00C74952"/>
    <w:rsid w:val="00C75359"/>
    <w:rsid w:val="00C76D74"/>
    <w:rsid w:val="00C77928"/>
    <w:rsid w:val="00C804DA"/>
    <w:rsid w:val="00C80AF0"/>
    <w:rsid w:val="00C83BA7"/>
    <w:rsid w:val="00C86147"/>
    <w:rsid w:val="00C90C45"/>
    <w:rsid w:val="00C94ABB"/>
    <w:rsid w:val="00C97183"/>
    <w:rsid w:val="00CA09EF"/>
    <w:rsid w:val="00CA3C1B"/>
    <w:rsid w:val="00CA6E35"/>
    <w:rsid w:val="00CB08A0"/>
    <w:rsid w:val="00CC1EF3"/>
    <w:rsid w:val="00CC23CD"/>
    <w:rsid w:val="00CC3680"/>
    <w:rsid w:val="00CC5EE1"/>
    <w:rsid w:val="00CD0B74"/>
    <w:rsid w:val="00CD4683"/>
    <w:rsid w:val="00CD5DDA"/>
    <w:rsid w:val="00CE6963"/>
    <w:rsid w:val="00CF153A"/>
    <w:rsid w:val="00CF22C7"/>
    <w:rsid w:val="00CF44BE"/>
    <w:rsid w:val="00CF4593"/>
    <w:rsid w:val="00CF49BE"/>
    <w:rsid w:val="00D020A8"/>
    <w:rsid w:val="00D020D3"/>
    <w:rsid w:val="00D0251C"/>
    <w:rsid w:val="00D10210"/>
    <w:rsid w:val="00D107D4"/>
    <w:rsid w:val="00D10E98"/>
    <w:rsid w:val="00D12F8A"/>
    <w:rsid w:val="00D14978"/>
    <w:rsid w:val="00D167DD"/>
    <w:rsid w:val="00D17876"/>
    <w:rsid w:val="00D203E4"/>
    <w:rsid w:val="00D21491"/>
    <w:rsid w:val="00D215A6"/>
    <w:rsid w:val="00D22DF4"/>
    <w:rsid w:val="00D23376"/>
    <w:rsid w:val="00D3425E"/>
    <w:rsid w:val="00D3644F"/>
    <w:rsid w:val="00D43B22"/>
    <w:rsid w:val="00D441EC"/>
    <w:rsid w:val="00D458B6"/>
    <w:rsid w:val="00D62CE6"/>
    <w:rsid w:val="00D65A2C"/>
    <w:rsid w:val="00D66DE2"/>
    <w:rsid w:val="00D71C28"/>
    <w:rsid w:val="00D721A8"/>
    <w:rsid w:val="00D7524D"/>
    <w:rsid w:val="00D75E94"/>
    <w:rsid w:val="00D80138"/>
    <w:rsid w:val="00D80271"/>
    <w:rsid w:val="00D81D46"/>
    <w:rsid w:val="00D85FAE"/>
    <w:rsid w:val="00D97E56"/>
    <w:rsid w:val="00DA36C4"/>
    <w:rsid w:val="00DA4058"/>
    <w:rsid w:val="00DA4A93"/>
    <w:rsid w:val="00DB2D95"/>
    <w:rsid w:val="00DB3B33"/>
    <w:rsid w:val="00DB5178"/>
    <w:rsid w:val="00DB5593"/>
    <w:rsid w:val="00DC1E5A"/>
    <w:rsid w:val="00DC2BF0"/>
    <w:rsid w:val="00DC37E8"/>
    <w:rsid w:val="00DC3DC8"/>
    <w:rsid w:val="00DD1E49"/>
    <w:rsid w:val="00DD31EC"/>
    <w:rsid w:val="00DD3546"/>
    <w:rsid w:val="00DD3C37"/>
    <w:rsid w:val="00DE33F7"/>
    <w:rsid w:val="00DE3B13"/>
    <w:rsid w:val="00DE42D9"/>
    <w:rsid w:val="00DE5D4D"/>
    <w:rsid w:val="00DF07C7"/>
    <w:rsid w:val="00DF6AD8"/>
    <w:rsid w:val="00E0065D"/>
    <w:rsid w:val="00E01FDF"/>
    <w:rsid w:val="00E02D50"/>
    <w:rsid w:val="00E041EE"/>
    <w:rsid w:val="00E0504C"/>
    <w:rsid w:val="00E076EB"/>
    <w:rsid w:val="00E07B93"/>
    <w:rsid w:val="00E103D2"/>
    <w:rsid w:val="00E20073"/>
    <w:rsid w:val="00E20934"/>
    <w:rsid w:val="00E37324"/>
    <w:rsid w:val="00E37B00"/>
    <w:rsid w:val="00E42CFA"/>
    <w:rsid w:val="00E43151"/>
    <w:rsid w:val="00E4372F"/>
    <w:rsid w:val="00E43A0F"/>
    <w:rsid w:val="00E455BB"/>
    <w:rsid w:val="00E4605C"/>
    <w:rsid w:val="00E4629C"/>
    <w:rsid w:val="00E62A98"/>
    <w:rsid w:val="00E62C8B"/>
    <w:rsid w:val="00E668DC"/>
    <w:rsid w:val="00E71297"/>
    <w:rsid w:val="00E730BF"/>
    <w:rsid w:val="00E7774D"/>
    <w:rsid w:val="00E8080C"/>
    <w:rsid w:val="00E8100E"/>
    <w:rsid w:val="00E81A46"/>
    <w:rsid w:val="00E84B8D"/>
    <w:rsid w:val="00E9094F"/>
    <w:rsid w:val="00E90F31"/>
    <w:rsid w:val="00E966E5"/>
    <w:rsid w:val="00E96B32"/>
    <w:rsid w:val="00E96DB6"/>
    <w:rsid w:val="00EA05D2"/>
    <w:rsid w:val="00EA1DC0"/>
    <w:rsid w:val="00EA6891"/>
    <w:rsid w:val="00EA71F4"/>
    <w:rsid w:val="00EA7CF0"/>
    <w:rsid w:val="00EB00B9"/>
    <w:rsid w:val="00EB01EC"/>
    <w:rsid w:val="00EB04A3"/>
    <w:rsid w:val="00EB2312"/>
    <w:rsid w:val="00EC1415"/>
    <w:rsid w:val="00EC5C47"/>
    <w:rsid w:val="00EC6E85"/>
    <w:rsid w:val="00EC7220"/>
    <w:rsid w:val="00ED0B5E"/>
    <w:rsid w:val="00ED79B0"/>
    <w:rsid w:val="00EE1531"/>
    <w:rsid w:val="00EE16F7"/>
    <w:rsid w:val="00EE6333"/>
    <w:rsid w:val="00EE7701"/>
    <w:rsid w:val="00EF02A1"/>
    <w:rsid w:val="00EF20FD"/>
    <w:rsid w:val="00F0004F"/>
    <w:rsid w:val="00F00E2F"/>
    <w:rsid w:val="00F01733"/>
    <w:rsid w:val="00F043B0"/>
    <w:rsid w:val="00F0658B"/>
    <w:rsid w:val="00F1245B"/>
    <w:rsid w:val="00F1552C"/>
    <w:rsid w:val="00F159F9"/>
    <w:rsid w:val="00F15A9D"/>
    <w:rsid w:val="00F16EFE"/>
    <w:rsid w:val="00F205C1"/>
    <w:rsid w:val="00F20A1F"/>
    <w:rsid w:val="00F24802"/>
    <w:rsid w:val="00F24A99"/>
    <w:rsid w:val="00F31EE6"/>
    <w:rsid w:val="00F321C5"/>
    <w:rsid w:val="00F346F5"/>
    <w:rsid w:val="00F34FD3"/>
    <w:rsid w:val="00F36620"/>
    <w:rsid w:val="00F40141"/>
    <w:rsid w:val="00F41668"/>
    <w:rsid w:val="00F422C9"/>
    <w:rsid w:val="00F429DA"/>
    <w:rsid w:val="00F506BE"/>
    <w:rsid w:val="00F5377D"/>
    <w:rsid w:val="00F53DF2"/>
    <w:rsid w:val="00F55A35"/>
    <w:rsid w:val="00F57A37"/>
    <w:rsid w:val="00F57FCD"/>
    <w:rsid w:val="00F655D6"/>
    <w:rsid w:val="00F71A04"/>
    <w:rsid w:val="00F73E2C"/>
    <w:rsid w:val="00F77864"/>
    <w:rsid w:val="00F807FB"/>
    <w:rsid w:val="00F80BF7"/>
    <w:rsid w:val="00F81BB0"/>
    <w:rsid w:val="00F82A82"/>
    <w:rsid w:val="00F82D66"/>
    <w:rsid w:val="00F836E4"/>
    <w:rsid w:val="00F84260"/>
    <w:rsid w:val="00F865B4"/>
    <w:rsid w:val="00F87281"/>
    <w:rsid w:val="00F90ABC"/>
    <w:rsid w:val="00F91C17"/>
    <w:rsid w:val="00F92A16"/>
    <w:rsid w:val="00F9304F"/>
    <w:rsid w:val="00F9306B"/>
    <w:rsid w:val="00F964CF"/>
    <w:rsid w:val="00F97714"/>
    <w:rsid w:val="00FA00B4"/>
    <w:rsid w:val="00FA1E54"/>
    <w:rsid w:val="00FA2839"/>
    <w:rsid w:val="00FA59CC"/>
    <w:rsid w:val="00FB1FE2"/>
    <w:rsid w:val="00FB3DB9"/>
    <w:rsid w:val="00FB5DB6"/>
    <w:rsid w:val="00FC00DD"/>
    <w:rsid w:val="00FC41DD"/>
    <w:rsid w:val="00FC4A03"/>
    <w:rsid w:val="00FC4E89"/>
    <w:rsid w:val="00FC5590"/>
    <w:rsid w:val="00FC6F30"/>
    <w:rsid w:val="00FD156A"/>
    <w:rsid w:val="00FD1C96"/>
    <w:rsid w:val="00FD245E"/>
    <w:rsid w:val="00FD2AE9"/>
    <w:rsid w:val="00FD3A36"/>
    <w:rsid w:val="00FD634D"/>
    <w:rsid w:val="00FE0746"/>
    <w:rsid w:val="00FE650A"/>
    <w:rsid w:val="00FF1D21"/>
    <w:rsid w:val="00FF5D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178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Body Text" w:uiPriority="99"/>
    <w:lsdException w:name="Subtitle" w:qFormat="1"/>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0DD"/>
    <w:rPr>
      <w:sz w:val="24"/>
      <w:szCs w:val="24"/>
    </w:rPr>
  </w:style>
  <w:style w:type="paragraph" w:styleId="Heading1">
    <w:name w:val="heading 1"/>
    <w:aliases w:val="Heading 1 Char Char,Char3 Char Char"/>
    <w:basedOn w:val="Normal"/>
    <w:next w:val="Normal"/>
    <w:link w:val="Heading1Char"/>
    <w:qFormat/>
    <w:rsid w:val="00717DAE"/>
    <w:pPr>
      <w:keepNext/>
      <w:jc w:val="center"/>
      <w:outlineLvl w:val="0"/>
    </w:pPr>
    <w:rPr>
      <w:rFonts w:ascii="Courier" w:hAnsi="Courier"/>
      <w:b/>
      <w:szCs w:val="20"/>
    </w:rPr>
  </w:style>
  <w:style w:type="paragraph" w:styleId="Heading2">
    <w:name w:val="heading 2"/>
    <w:basedOn w:val="Normal"/>
    <w:next w:val="Normal"/>
    <w:link w:val="Heading2Char"/>
    <w:qFormat/>
    <w:rsid w:val="00717DAE"/>
    <w:pPr>
      <w:keepNext/>
      <w:jc w:val="right"/>
      <w:outlineLvl w:val="1"/>
    </w:pPr>
    <w:rPr>
      <w:rFonts w:ascii="Arial" w:hAnsi="Arial"/>
      <w:b/>
      <w:sz w:val="20"/>
      <w:szCs w:val="20"/>
      <w:u w:val="single"/>
    </w:rPr>
  </w:style>
  <w:style w:type="paragraph" w:styleId="Heading3">
    <w:name w:val="heading 3"/>
    <w:basedOn w:val="Normal"/>
    <w:next w:val="Normal"/>
    <w:link w:val="Heading3Char"/>
    <w:qFormat/>
    <w:rsid w:val="00717DAE"/>
    <w:pPr>
      <w:keepNext/>
      <w:tabs>
        <w:tab w:val="left" w:pos="540"/>
      </w:tabs>
      <w:autoSpaceDE w:val="0"/>
      <w:autoSpaceDN w:val="0"/>
      <w:adjustRightInd w:val="0"/>
      <w:outlineLvl w:val="2"/>
    </w:pPr>
    <w:rPr>
      <w:b/>
      <w:bCs/>
      <w:color w:val="000000"/>
    </w:rPr>
  </w:style>
  <w:style w:type="paragraph" w:styleId="Heading4">
    <w:name w:val="heading 4"/>
    <w:basedOn w:val="Normal"/>
    <w:next w:val="Normal"/>
    <w:qFormat/>
    <w:rsid w:val="00717DAE"/>
    <w:pPr>
      <w:keepNext/>
      <w:numPr>
        <w:numId w:val="2"/>
      </w:numPr>
      <w:outlineLvl w:val="3"/>
    </w:pPr>
    <w:rPr>
      <w:rFonts w:ascii="Courier New" w:hAnsi="Courier New"/>
      <w:b/>
      <w:szCs w:val="20"/>
    </w:rPr>
  </w:style>
  <w:style w:type="paragraph" w:styleId="Heading5">
    <w:name w:val="heading 5"/>
    <w:basedOn w:val="Normal"/>
    <w:next w:val="Normal"/>
    <w:qFormat/>
    <w:rsid w:val="00717DAE"/>
    <w:pPr>
      <w:keepNext/>
      <w:outlineLvl w:val="4"/>
    </w:pPr>
    <w:rPr>
      <w:b/>
      <w:bCs/>
      <w:sz w:val="18"/>
    </w:rPr>
  </w:style>
  <w:style w:type="paragraph" w:styleId="Heading6">
    <w:name w:val="heading 6"/>
    <w:basedOn w:val="Normal"/>
    <w:next w:val="Normal"/>
    <w:qFormat/>
    <w:rsid w:val="00717DAE"/>
    <w:pPr>
      <w:keepNext/>
      <w:numPr>
        <w:numId w:val="1"/>
      </w:numPr>
      <w:outlineLvl w:val="5"/>
    </w:pPr>
    <w:rPr>
      <w:b/>
      <w:szCs w:val="20"/>
    </w:rPr>
  </w:style>
  <w:style w:type="paragraph" w:styleId="Heading7">
    <w:name w:val="heading 7"/>
    <w:basedOn w:val="Normal"/>
    <w:next w:val="Normal"/>
    <w:link w:val="Heading7Char"/>
    <w:qFormat/>
    <w:rsid w:val="00717DAE"/>
    <w:pPr>
      <w:keepNext/>
      <w:jc w:val="center"/>
      <w:outlineLvl w:val="6"/>
    </w:pPr>
    <w:rPr>
      <w:szCs w:val="20"/>
    </w:rPr>
  </w:style>
  <w:style w:type="paragraph" w:styleId="Heading8">
    <w:name w:val="heading 8"/>
    <w:basedOn w:val="Normal"/>
    <w:next w:val="Normal"/>
    <w:qFormat/>
    <w:rsid w:val="00717DAE"/>
    <w:pPr>
      <w:keepNext/>
      <w:tabs>
        <w:tab w:val="right" w:pos="8928"/>
      </w:tabs>
      <w:jc w:val="center"/>
      <w:outlineLvl w:val="7"/>
    </w:pPr>
    <w:rPr>
      <w:rFonts w:ascii="Arial" w:hAnsi="Arial" w:cs="Arial"/>
      <w:b/>
      <w:sz w:val="48"/>
    </w:rPr>
  </w:style>
  <w:style w:type="paragraph" w:styleId="Heading9">
    <w:name w:val="heading 9"/>
    <w:basedOn w:val="Normal"/>
    <w:next w:val="Normal"/>
    <w:qFormat/>
    <w:rsid w:val="00717DAE"/>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Char3 Char Char Char"/>
    <w:basedOn w:val="DefaultParagraphFont"/>
    <w:link w:val="Heading1"/>
    <w:rsid w:val="00484132"/>
    <w:rPr>
      <w:rFonts w:ascii="Courier" w:hAnsi="Courier"/>
      <w:b/>
      <w:sz w:val="24"/>
    </w:rPr>
  </w:style>
  <w:style w:type="character" w:customStyle="1" w:styleId="Heading2Char">
    <w:name w:val="Heading 2 Char"/>
    <w:basedOn w:val="DefaultParagraphFont"/>
    <w:link w:val="Heading2"/>
    <w:rsid w:val="006B5740"/>
    <w:rPr>
      <w:rFonts w:ascii="Arial" w:hAnsi="Arial"/>
      <w:b/>
      <w:u w:val="single"/>
    </w:rPr>
  </w:style>
  <w:style w:type="character" w:customStyle="1" w:styleId="Heading3Char">
    <w:name w:val="Heading 3 Char"/>
    <w:basedOn w:val="DefaultParagraphFont"/>
    <w:link w:val="Heading3"/>
    <w:rsid w:val="006B5740"/>
    <w:rPr>
      <w:b/>
      <w:bCs/>
      <w:color w:val="000000"/>
      <w:sz w:val="24"/>
      <w:szCs w:val="24"/>
    </w:rPr>
  </w:style>
  <w:style w:type="character" w:customStyle="1" w:styleId="Heading7Char">
    <w:name w:val="Heading 7 Char"/>
    <w:basedOn w:val="DefaultParagraphFont"/>
    <w:link w:val="Heading7"/>
    <w:rsid w:val="00484132"/>
    <w:rPr>
      <w:sz w:val="24"/>
    </w:rPr>
  </w:style>
  <w:style w:type="paragraph" w:styleId="Footer">
    <w:name w:val="footer"/>
    <w:basedOn w:val="Normal"/>
    <w:link w:val="FooterChar"/>
    <w:rsid w:val="00717DAE"/>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basedOn w:val="DefaultParagraphFont"/>
    <w:link w:val="Footer"/>
    <w:rsid w:val="00427F7F"/>
    <w:rPr>
      <w:rFonts w:ascii="Courier New" w:hAnsi="Courier New"/>
    </w:rPr>
  </w:style>
  <w:style w:type="paragraph" w:customStyle="1" w:styleId="xl19">
    <w:name w:val="xl19"/>
    <w:basedOn w:val="Normal"/>
    <w:rsid w:val="00717DAE"/>
    <w:pPr>
      <w:spacing w:before="100" w:after="100"/>
    </w:pPr>
    <w:rPr>
      <w:rFonts w:eastAsia="Arial Unicode MS"/>
      <w:szCs w:val="20"/>
    </w:rPr>
  </w:style>
  <w:style w:type="paragraph" w:customStyle="1" w:styleId="APP-3A">
    <w:name w:val="APP-3A"/>
    <w:rsid w:val="00717DAE"/>
    <w:rPr>
      <w:rFonts w:ascii="Arial" w:hAnsi="Arial"/>
      <w:b/>
    </w:rPr>
  </w:style>
  <w:style w:type="paragraph" w:customStyle="1" w:styleId="xl33">
    <w:name w:val="xl33"/>
    <w:basedOn w:val="Normal"/>
    <w:rsid w:val="00717DAE"/>
    <w:pPr>
      <w:spacing w:before="100" w:after="100"/>
      <w:jc w:val="center"/>
    </w:pPr>
    <w:rPr>
      <w:rFonts w:ascii="Arial" w:eastAsia="Arial Unicode MS" w:hAnsi="Arial"/>
      <w:b/>
      <w:szCs w:val="20"/>
    </w:rPr>
  </w:style>
  <w:style w:type="paragraph" w:styleId="BodyText">
    <w:name w:val="Body Text"/>
    <w:aliases w:val="Hanging"/>
    <w:basedOn w:val="Normal"/>
    <w:link w:val="BodyTextChar"/>
    <w:uiPriority w:val="99"/>
    <w:rsid w:val="00717DAE"/>
    <w:rPr>
      <w:szCs w:val="20"/>
    </w:rPr>
  </w:style>
  <w:style w:type="character" w:customStyle="1" w:styleId="BodyTextChar">
    <w:name w:val="Body Text Char"/>
    <w:aliases w:val="Hanging Char"/>
    <w:basedOn w:val="DefaultParagraphFont"/>
    <w:link w:val="BodyText"/>
    <w:uiPriority w:val="99"/>
    <w:rsid w:val="009375DE"/>
    <w:rPr>
      <w:sz w:val="24"/>
    </w:rPr>
  </w:style>
  <w:style w:type="paragraph" w:customStyle="1" w:styleId="xl27">
    <w:name w:val="xl27"/>
    <w:basedOn w:val="Normal"/>
    <w:rsid w:val="00717DAE"/>
    <w:pPr>
      <w:spacing w:before="100" w:after="100"/>
    </w:pPr>
    <w:rPr>
      <w:rFonts w:ascii="Arial" w:eastAsia="Arial Unicode MS" w:hAnsi="Arial"/>
      <w:b/>
      <w:szCs w:val="20"/>
    </w:rPr>
  </w:style>
  <w:style w:type="paragraph" w:styleId="FootnoteText">
    <w:name w:val="footnote text"/>
    <w:aliases w:val="Char1 Char, Char1 Char"/>
    <w:basedOn w:val="Normal"/>
    <w:link w:val="FootnoteTextChar"/>
    <w:semiHidden/>
    <w:rsid w:val="00717DAE"/>
    <w:rPr>
      <w:sz w:val="20"/>
      <w:szCs w:val="20"/>
    </w:rPr>
  </w:style>
  <w:style w:type="character" w:customStyle="1" w:styleId="FootnoteTextChar">
    <w:name w:val="Footnote Text Char"/>
    <w:aliases w:val="Char1 Char Char, Char1 Char Char"/>
    <w:basedOn w:val="DefaultParagraphFont"/>
    <w:link w:val="FootnoteText"/>
    <w:semiHidden/>
    <w:rsid w:val="00FC5590"/>
  </w:style>
  <w:style w:type="paragraph" w:customStyle="1" w:styleId="xl34">
    <w:name w:val="xl34"/>
    <w:basedOn w:val="Normal"/>
    <w:rsid w:val="00717DAE"/>
    <w:pPr>
      <w:spacing w:before="100" w:after="100"/>
      <w:jc w:val="center"/>
    </w:pPr>
    <w:rPr>
      <w:rFonts w:eastAsia="Arial Unicode MS"/>
      <w:b/>
      <w:sz w:val="20"/>
      <w:szCs w:val="20"/>
    </w:rPr>
  </w:style>
  <w:style w:type="paragraph" w:styleId="Title">
    <w:name w:val="Title"/>
    <w:basedOn w:val="Normal"/>
    <w:link w:val="TitleChar"/>
    <w:qFormat/>
    <w:rsid w:val="00717DAE"/>
    <w:pPr>
      <w:ind w:left="720"/>
      <w:jc w:val="center"/>
    </w:pPr>
    <w:rPr>
      <w:b/>
      <w:i/>
      <w:szCs w:val="20"/>
    </w:rPr>
  </w:style>
  <w:style w:type="character" w:customStyle="1" w:styleId="TitleChar">
    <w:name w:val="Title Char"/>
    <w:basedOn w:val="DefaultParagraphFont"/>
    <w:link w:val="Title"/>
    <w:rsid w:val="006B5740"/>
    <w:rPr>
      <w:b/>
      <w:i/>
      <w:sz w:val="24"/>
    </w:rPr>
  </w:style>
  <w:style w:type="paragraph" w:styleId="BodyText2">
    <w:name w:val="Body Text 2"/>
    <w:basedOn w:val="Normal"/>
    <w:link w:val="BodyText2Char"/>
    <w:rsid w:val="00717DAE"/>
    <w:rPr>
      <w:sz w:val="20"/>
      <w:szCs w:val="20"/>
    </w:rPr>
  </w:style>
  <w:style w:type="character" w:customStyle="1" w:styleId="BodyText2Char">
    <w:name w:val="Body Text 2 Char"/>
    <w:basedOn w:val="DefaultParagraphFont"/>
    <w:link w:val="BodyText2"/>
    <w:rsid w:val="00484132"/>
  </w:style>
  <w:style w:type="paragraph" w:styleId="Header">
    <w:name w:val="header"/>
    <w:basedOn w:val="Normal"/>
    <w:link w:val="HeaderChar"/>
    <w:uiPriority w:val="99"/>
    <w:rsid w:val="00717DAE"/>
    <w:pPr>
      <w:tabs>
        <w:tab w:val="center" w:pos="4320"/>
        <w:tab w:val="right" w:pos="8640"/>
      </w:tabs>
    </w:pPr>
    <w:rPr>
      <w:rFonts w:ascii="CG Times" w:hAnsi="CG Times"/>
      <w:szCs w:val="20"/>
    </w:rPr>
  </w:style>
  <w:style w:type="character" w:customStyle="1" w:styleId="HeaderChar">
    <w:name w:val="Header Char"/>
    <w:basedOn w:val="DefaultParagraphFont"/>
    <w:link w:val="Header"/>
    <w:uiPriority w:val="99"/>
    <w:rsid w:val="00484132"/>
    <w:rPr>
      <w:rFonts w:ascii="CG Times" w:hAnsi="CG Times"/>
      <w:sz w:val="24"/>
    </w:rPr>
  </w:style>
  <w:style w:type="paragraph" w:customStyle="1" w:styleId="xl24">
    <w:name w:val="xl24"/>
    <w:basedOn w:val="Normal"/>
    <w:rsid w:val="00717DAE"/>
    <w:pPr>
      <w:spacing w:before="100" w:after="100"/>
    </w:pPr>
    <w:rPr>
      <w:rFonts w:eastAsia="Arial Unicode MS"/>
      <w:szCs w:val="20"/>
      <w:u w:val="single"/>
    </w:rPr>
  </w:style>
  <w:style w:type="paragraph" w:styleId="BodyText3">
    <w:name w:val="Body Text 3"/>
    <w:basedOn w:val="Normal"/>
    <w:link w:val="BodyText3Char"/>
    <w:rsid w:val="00717DAE"/>
    <w:rPr>
      <w:color w:val="000000"/>
      <w:szCs w:val="20"/>
    </w:rPr>
  </w:style>
  <w:style w:type="character" w:customStyle="1" w:styleId="BodyText3Char">
    <w:name w:val="Body Text 3 Char"/>
    <w:basedOn w:val="DefaultParagraphFont"/>
    <w:link w:val="BodyText3"/>
    <w:rsid w:val="006B5740"/>
    <w:rPr>
      <w:color w:val="000000"/>
      <w:sz w:val="24"/>
    </w:rPr>
  </w:style>
  <w:style w:type="paragraph" w:customStyle="1" w:styleId="xl22">
    <w:name w:val="xl22"/>
    <w:basedOn w:val="Normal"/>
    <w:rsid w:val="00717DAE"/>
    <w:pPr>
      <w:spacing w:before="100" w:after="100"/>
      <w:jc w:val="center"/>
    </w:pPr>
    <w:rPr>
      <w:rFonts w:eastAsia="Arial Unicode MS"/>
      <w:szCs w:val="20"/>
      <w:u w:val="single"/>
    </w:rPr>
  </w:style>
  <w:style w:type="paragraph" w:styleId="TOC1">
    <w:name w:val="toc 1"/>
    <w:basedOn w:val="Normal"/>
    <w:next w:val="Normal"/>
    <w:autoRedefine/>
    <w:semiHidden/>
    <w:rsid w:val="00717DAE"/>
    <w:pPr>
      <w:jc w:val="right"/>
    </w:pPr>
    <w:rPr>
      <w:szCs w:val="20"/>
    </w:rPr>
  </w:style>
  <w:style w:type="paragraph" w:styleId="TOAHeading">
    <w:name w:val="toa heading"/>
    <w:basedOn w:val="Normal"/>
    <w:next w:val="Normal"/>
    <w:semiHidden/>
    <w:rsid w:val="00717DAE"/>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717DAE"/>
  </w:style>
  <w:style w:type="paragraph" w:styleId="BodyTextIndent">
    <w:name w:val="Body Text Indent"/>
    <w:basedOn w:val="Normal"/>
    <w:link w:val="BodyTextIndentChar"/>
    <w:rsid w:val="00717DAE"/>
    <w:pPr>
      <w:tabs>
        <w:tab w:val="left" w:leader="dot" w:pos="7920"/>
        <w:tab w:val="right" w:pos="8640"/>
      </w:tabs>
      <w:ind w:left="720"/>
    </w:pPr>
    <w:rPr>
      <w:bCs/>
      <w:i/>
      <w:iCs/>
    </w:rPr>
  </w:style>
  <w:style w:type="character" w:customStyle="1" w:styleId="BodyTextIndentChar">
    <w:name w:val="Body Text Indent Char"/>
    <w:basedOn w:val="DefaultParagraphFont"/>
    <w:link w:val="BodyTextIndent"/>
    <w:rsid w:val="00705837"/>
    <w:rPr>
      <w:bCs/>
      <w:i/>
      <w:iCs/>
      <w:sz w:val="24"/>
      <w:szCs w:val="24"/>
    </w:rPr>
  </w:style>
  <w:style w:type="paragraph" w:styleId="BalloonText">
    <w:name w:val="Balloon Text"/>
    <w:basedOn w:val="Normal"/>
    <w:link w:val="BalloonTextChar"/>
    <w:uiPriority w:val="99"/>
    <w:semiHidden/>
    <w:rsid w:val="00717DAE"/>
    <w:rPr>
      <w:rFonts w:ascii="Tahoma" w:hAnsi="Tahoma" w:cs="Tahoma"/>
      <w:sz w:val="16"/>
      <w:szCs w:val="16"/>
    </w:rPr>
  </w:style>
  <w:style w:type="character" w:customStyle="1" w:styleId="BalloonTextChar">
    <w:name w:val="Balloon Text Char"/>
    <w:basedOn w:val="DefaultParagraphFont"/>
    <w:link w:val="BalloonText"/>
    <w:uiPriority w:val="99"/>
    <w:semiHidden/>
    <w:rsid w:val="00484132"/>
    <w:rPr>
      <w:rFonts w:ascii="Tahoma" w:hAnsi="Tahoma" w:cs="Tahoma"/>
      <w:sz w:val="16"/>
      <w:szCs w:val="16"/>
    </w:rPr>
  </w:style>
  <w:style w:type="paragraph" w:styleId="List2">
    <w:name w:val="List 2"/>
    <w:basedOn w:val="Normal"/>
    <w:rsid w:val="00E0065D"/>
    <w:pPr>
      <w:ind w:left="720" w:hanging="360"/>
    </w:pPr>
  </w:style>
  <w:style w:type="paragraph" w:styleId="List3">
    <w:name w:val="List 3"/>
    <w:basedOn w:val="Normal"/>
    <w:rsid w:val="00E0065D"/>
    <w:pPr>
      <w:ind w:left="1080" w:hanging="360"/>
    </w:pPr>
  </w:style>
  <w:style w:type="paragraph" w:styleId="ListBullet2">
    <w:name w:val="List Bullet 2"/>
    <w:basedOn w:val="Normal"/>
    <w:rsid w:val="00E0065D"/>
    <w:pPr>
      <w:numPr>
        <w:numId w:val="5"/>
      </w:numPr>
    </w:pPr>
  </w:style>
  <w:style w:type="paragraph" w:styleId="BodyTextFirstIndent2">
    <w:name w:val="Body Text First Indent 2"/>
    <w:basedOn w:val="BodyTextIndent"/>
    <w:rsid w:val="00E0065D"/>
    <w:pPr>
      <w:tabs>
        <w:tab w:val="clear" w:pos="7920"/>
        <w:tab w:val="clear" w:pos="8640"/>
      </w:tabs>
      <w:spacing w:after="120"/>
      <w:ind w:left="360" w:firstLine="210"/>
    </w:pPr>
    <w:rPr>
      <w:bCs w:val="0"/>
      <w:i w:val="0"/>
      <w:iCs w:val="0"/>
    </w:rPr>
  </w:style>
  <w:style w:type="table" w:styleId="TableGrid">
    <w:name w:val="Table Grid"/>
    <w:basedOn w:val="TableNormal"/>
    <w:rsid w:val="00875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282951"/>
    <w:rPr>
      <w:sz w:val="16"/>
      <w:szCs w:val="16"/>
    </w:rPr>
  </w:style>
  <w:style w:type="paragraph" w:styleId="CommentText">
    <w:name w:val="annotation text"/>
    <w:basedOn w:val="Normal"/>
    <w:link w:val="CommentTextChar"/>
    <w:uiPriority w:val="99"/>
    <w:semiHidden/>
    <w:rsid w:val="00282951"/>
    <w:rPr>
      <w:sz w:val="20"/>
      <w:szCs w:val="20"/>
    </w:rPr>
  </w:style>
  <w:style w:type="character" w:customStyle="1" w:styleId="CommentTextChar">
    <w:name w:val="Comment Text Char"/>
    <w:basedOn w:val="DefaultParagraphFont"/>
    <w:link w:val="CommentText"/>
    <w:uiPriority w:val="99"/>
    <w:semiHidden/>
    <w:rsid w:val="00484132"/>
  </w:style>
  <w:style w:type="paragraph" w:styleId="CommentSubject">
    <w:name w:val="annotation subject"/>
    <w:basedOn w:val="CommentText"/>
    <w:next w:val="CommentText"/>
    <w:link w:val="CommentSubjectChar"/>
    <w:semiHidden/>
    <w:rsid w:val="00282951"/>
    <w:rPr>
      <w:b/>
      <w:bCs/>
    </w:rPr>
  </w:style>
  <w:style w:type="character" w:customStyle="1" w:styleId="CommentSubjectChar">
    <w:name w:val="Comment Subject Char"/>
    <w:basedOn w:val="CommentTextChar"/>
    <w:link w:val="CommentSubject"/>
    <w:semiHidden/>
    <w:rsid w:val="006B5740"/>
    <w:rPr>
      <w:b/>
      <w:bCs/>
    </w:rPr>
  </w:style>
  <w:style w:type="character" w:styleId="Hyperlink">
    <w:name w:val="Hyperlink"/>
    <w:basedOn w:val="DefaultParagraphFont"/>
    <w:rsid w:val="00A419B0"/>
    <w:rPr>
      <w:color w:val="0000FF"/>
      <w:u w:val="single"/>
    </w:rPr>
  </w:style>
  <w:style w:type="paragraph" w:styleId="ListParagraph">
    <w:name w:val="List Paragraph"/>
    <w:basedOn w:val="Normal"/>
    <w:uiPriority w:val="99"/>
    <w:qFormat/>
    <w:rsid w:val="00014F8E"/>
    <w:pPr>
      <w:ind w:left="720"/>
    </w:pPr>
  </w:style>
  <w:style w:type="character" w:styleId="FollowedHyperlink">
    <w:name w:val="FollowedHyperlink"/>
    <w:basedOn w:val="DefaultParagraphFont"/>
    <w:rsid w:val="001363C1"/>
    <w:rPr>
      <w:color w:val="800080"/>
      <w:u w:val="single"/>
    </w:rPr>
  </w:style>
  <w:style w:type="paragraph" w:styleId="NormalWeb">
    <w:name w:val="Normal (Web)"/>
    <w:basedOn w:val="Normal"/>
    <w:link w:val="NormalWebChar"/>
    <w:unhideWhenUsed/>
    <w:rsid w:val="00DA36C4"/>
    <w:pPr>
      <w:spacing w:before="100" w:beforeAutospacing="1" w:after="100" w:afterAutospacing="1"/>
    </w:pPr>
  </w:style>
  <w:style w:type="character" w:styleId="FootnoteReference">
    <w:name w:val="footnote reference"/>
    <w:basedOn w:val="DefaultParagraphFont"/>
    <w:rsid w:val="00FC5590"/>
    <w:rPr>
      <w:vertAlign w:val="superscript"/>
    </w:rPr>
  </w:style>
  <w:style w:type="paragraph" w:styleId="ListBullet">
    <w:name w:val="List Bullet"/>
    <w:aliases w:val="List Bullet Char1,List Bullet Char Char,List Bullet Char1 Char Char,List Bullet Char Char Char Char,List Bullet Char1 Char Char Char Char,List Bullet Char Char Char Char Char Char,List Bullet Char Char1 Char Char,List Bullet Char1 Char1 Cha"/>
    <w:basedOn w:val="Normal"/>
    <w:link w:val="ListBulletChar"/>
    <w:uiPriority w:val="99"/>
    <w:rsid w:val="006B5740"/>
    <w:pPr>
      <w:numPr>
        <w:numId w:val="42"/>
      </w:numPr>
      <w:contextualSpacing/>
    </w:p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locked/>
    <w:rsid w:val="006B5740"/>
    <w:rPr>
      <w:sz w:val="24"/>
      <w:szCs w:val="24"/>
    </w:rPr>
  </w:style>
  <w:style w:type="paragraph" w:customStyle="1" w:styleId="Para">
    <w:name w:val="Para"/>
    <w:rsid w:val="006B5740"/>
    <w:pPr>
      <w:spacing w:after="120"/>
      <w:ind w:firstLine="245"/>
      <w:jc w:val="both"/>
    </w:pPr>
    <w:rPr>
      <w:rFonts w:ascii="Times" w:eastAsia="SimSun" w:hAnsi="Times"/>
      <w:sz w:val="22"/>
      <w:szCs w:val="24"/>
    </w:rPr>
  </w:style>
  <w:style w:type="character" w:customStyle="1" w:styleId="explanation">
    <w:name w:val="explanation"/>
    <w:basedOn w:val="DefaultParagraphFont"/>
    <w:rsid w:val="006B5740"/>
  </w:style>
  <w:style w:type="paragraph" w:customStyle="1" w:styleId="Default">
    <w:name w:val="Default"/>
    <w:rsid w:val="006B5740"/>
    <w:pPr>
      <w:autoSpaceDE w:val="0"/>
      <w:autoSpaceDN w:val="0"/>
      <w:adjustRightInd w:val="0"/>
    </w:pPr>
    <w:rPr>
      <w:rFonts w:eastAsia="SimSun"/>
      <w:color w:val="000000"/>
      <w:sz w:val="24"/>
      <w:szCs w:val="24"/>
    </w:rPr>
  </w:style>
  <w:style w:type="paragraph" w:styleId="NoSpacing">
    <w:name w:val="No Spacing"/>
    <w:uiPriority w:val="99"/>
    <w:qFormat/>
    <w:rsid w:val="006B5740"/>
    <w:rPr>
      <w:sz w:val="24"/>
      <w:szCs w:val="24"/>
    </w:rPr>
  </w:style>
  <w:style w:type="paragraph" w:customStyle="1" w:styleId="Pa1">
    <w:name w:val="Pa1"/>
    <w:basedOn w:val="Default"/>
    <w:next w:val="Default"/>
    <w:uiPriority w:val="99"/>
    <w:rsid w:val="006B5740"/>
    <w:pPr>
      <w:spacing w:line="241" w:lineRule="atLeast"/>
    </w:pPr>
    <w:rPr>
      <w:rFonts w:ascii="Arial" w:hAnsi="Arial" w:cs="Arial"/>
      <w:color w:val="auto"/>
    </w:rPr>
  </w:style>
  <w:style w:type="character" w:customStyle="1" w:styleId="A2">
    <w:name w:val="A2"/>
    <w:uiPriority w:val="99"/>
    <w:rsid w:val="006B5740"/>
    <w:rPr>
      <w:color w:val="000000"/>
      <w:sz w:val="19"/>
      <w:szCs w:val="19"/>
    </w:rPr>
  </w:style>
  <w:style w:type="character" w:customStyle="1" w:styleId="xdtextboxctrl157ms-xedit-plaintext">
    <w:name w:val="xdtextbox ctrl157 ms-xedit-plaintext"/>
    <w:basedOn w:val="DefaultParagraphFont"/>
    <w:rsid w:val="006B5740"/>
    <w:rPr>
      <w:rFonts w:cs="Times New Roman"/>
    </w:rPr>
  </w:style>
  <w:style w:type="paragraph" w:customStyle="1" w:styleId="CharCharCharCharCharCharCharCharChar">
    <w:name w:val="Char Char Char Char Char Char Char Char Char"/>
    <w:basedOn w:val="Normal"/>
    <w:rsid w:val="006B5740"/>
    <w:pPr>
      <w:spacing w:after="160"/>
    </w:pPr>
    <w:rPr>
      <w:rFonts w:ascii="Verdana" w:eastAsia="SimSun" w:hAnsi="Verdana"/>
    </w:rPr>
  </w:style>
  <w:style w:type="character" w:styleId="Strong">
    <w:name w:val="Strong"/>
    <w:basedOn w:val="DefaultParagraphFont"/>
    <w:qFormat/>
    <w:rsid w:val="006B5740"/>
    <w:rPr>
      <w:rFonts w:cs="Times New Roman"/>
      <w:b/>
      <w:bCs/>
    </w:rPr>
  </w:style>
  <w:style w:type="paragraph" w:customStyle="1" w:styleId="CharCharCharCharCharCharCharCharCharCharCharCharCharCharChar">
    <w:name w:val="Char Char Char Char Char Char Char Char Char Char Char Char Char Char Char"/>
    <w:basedOn w:val="Normal"/>
    <w:rsid w:val="006B5740"/>
    <w:pPr>
      <w:spacing w:after="160"/>
    </w:pPr>
    <w:rPr>
      <w:rFonts w:ascii="Verdana" w:eastAsia="SimSun" w:hAnsi="Verdana"/>
    </w:rPr>
  </w:style>
  <w:style w:type="character" w:customStyle="1" w:styleId="mw-headline">
    <w:name w:val="mw-headline"/>
    <w:basedOn w:val="DefaultParagraphFont"/>
    <w:rsid w:val="006B5740"/>
    <w:rPr>
      <w:rFonts w:ascii="Verdana" w:hAnsi="Verdana" w:cs="Tahoma"/>
      <w:color w:val="4C4C4C"/>
      <w:sz w:val="17"/>
      <w:szCs w:val="17"/>
      <w:bdr w:val="single" w:sz="2" w:space="0" w:color="C0C0C0" w:frame="1"/>
      <w:shd w:val="clear" w:color="auto" w:fill="FFFFFF"/>
    </w:rPr>
  </w:style>
  <w:style w:type="paragraph" w:customStyle="1" w:styleId="CharCharCharCharCharChar">
    <w:name w:val="Char Char Char Char Char Char"/>
    <w:basedOn w:val="Normal"/>
    <w:rsid w:val="006B5740"/>
    <w:pPr>
      <w:spacing w:after="160"/>
    </w:pPr>
    <w:rPr>
      <w:rFonts w:ascii="Verdana" w:eastAsia="SimSun" w:hAnsi="Verdana"/>
    </w:rPr>
  </w:style>
  <w:style w:type="paragraph" w:customStyle="1" w:styleId="Bullet1">
    <w:name w:val="*Bullet 1"/>
    <w:basedOn w:val="Normal"/>
    <w:rsid w:val="006B5740"/>
    <w:pPr>
      <w:numPr>
        <w:numId w:val="45"/>
      </w:numPr>
      <w:spacing w:after="120"/>
    </w:pPr>
    <w:rPr>
      <w:rFonts w:eastAsia="SimSun"/>
      <w:sz w:val="22"/>
      <w:lang w:eastAsia="zh-CN"/>
    </w:rPr>
  </w:style>
  <w:style w:type="paragraph" w:customStyle="1" w:styleId="CharChar">
    <w:name w:val="Char Char"/>
    <w:basedOn w:val="Normal"/>
    <w:rsid w:val="006B5740"/>
    <w:pPr>
      <w:spacing w:after="160"/>
    </w:pPr>
    <w:rPr>
      <w:rFonts w:ascii="Verdana" w:eastAsia="SimSun" w:hAnsi="Verdana"/>
    </w:rPr>
  </w:style>
  <w:style w:type="paragraph" w:customStyle="1" w:styleId="AR-BulletlistingCharCharChar">
    <w:name w:val="AR-Bullet listing Char Char Char"/>
    <w:basedOn w:val="Normal"/>
    <w:rsid w:val="006B5740"/>
    <w:pPr>
      <w:numPr>
        <w:numId w:val="47"/>
      </w:numPr>
      <w:tabs>
        <w:tab w:val="clear" w:pos="720"/>
        <w:tab w:val="num" w:pos="360"/>
      </w:tabs>
      <w:spacing w:after="120"/>
      <w:ind w:left="360"/>
    </w:pPr>
    <w:rPr>
      <w:rFonts w:ascii="Courier New" w:eastAsia="SimSun" w:hAnsi="Courier New" w:cs="Courier New"/>
      <w:lang w:eastAsia="zh-CN"/>
    </w:rPr>
  </w:style>
  <w:style w:type="character" w:customStyle="1" w:styleId="xdtextboxctrl169ms-xedit-plaintext">
    <w:name w:val="xdtextbox ctrl169 ms-xedit-plaintext"/>
    <w:basedOn w:val="DefaultParagraphFont"/>
    <w:rsid w:val="006B5740"/>
    <w:rPr>
      <w:rFonts w:cs="Times New Roman"/>
    </w:rPr>
  </w:style>
  <w:style w:type="character" w:customStyle="1" w:styleId="xdtextboxctrl127ms-xedit-unbound">
    <w:name w:val="xdtextbox ctrl127 ms-xedit-unbound"/>
    <w:basedOn w:val="DefaultParagraphFont"/>
    <w:rsid w:val="006B5740"/>
    <w:rPr>
      <w:rFonts w:cs="Times New Roman"/>
    </w:rPr>
  </w:style>
  <w:style w:type="character" w:customStyle="1" w:styleId="xdtextboxctrl172ms-xedit-plaintext">
    <w:name w:val="xdtextbox ctrl172 ms-xedit-plaintext"/>
    <w:basedOn w:val="DefaultParagraphFont"/>
    <w:rsid w:val="006B5740"/>
    <w:rPr>
      <w:rFonts w:cs="Times New Roman"/>
    </w:rPr>
  </w:style>
  <w:style w:type="paragraph" w:customStyle="1" w:styleId="CM10">
    <w:name w:val="CM10"/>
    <w:basedOn w:val="Default"/>
    <w:next w:val="Default"/>
    <w:rsid w:val="006B5740"/>
    <w:pPr>
      <w:spacing w:line="260" w:lineRule="auto"/>
    </w:pPr>
    <w:rPr>
      <w:rFonts w:ascii="ArialMT" w:hAnsi="ArialMT"/>
      <w:color w:val="auto"/>
      <w:lang w:eastAsia="zh-CN"/>
    </w:rPr>
  </w:style>
  <w:style w:type="paragraph" w:customStyle="1" w:styleId="CM12">
    <w:name w:val="CM12"/>
    <w:basedOn w:val="Default"/>
    <w:next w:val="Default"/>
    <w:rsid w:val="006B5740"/>
    <w:pPr>
      <w:spacing w:line="260" w:lineRule="auto"/>
    </w:pPr>
    <w:rPr>
      <w:rFonts w:ascii="ArialMT" w:hAnsi="ArialMT"/>
      <w:color w:val="auto"/>
      <w:lang w:eastAsia="zh-CN"/>
    </w:rPr>
  </w:style>
  <w:style w:type="paragraph" w:customStyle="1" w:styleId="CM15">
    <w:name w:val="CM15"/>
    <w:basedOn w:val="Default"/>
    <w:next w:val="Default"/>
    <w:rsid w:val="006B5740"/>
    <w:pPr>
      <w:spacing w:line="260" w:lineRule="auto"/>
    </w:pPr>
    <w:rPr>
      <w:rFonts w:ascii="ArialMT" w:hAnsi="ArialMT"/>
      <w:color w:val="auto"/>
      <w:lang w:eastAsia="zh-CN"/>
    </w:rPr>
  </w:style>
  <w:style w:type="paragraph" w:customStyle="1" w:styleId="1LargeBullet">
    <w:name w:val="1Large Bullet"/>
    <w:rsid w:val="006B5740"/>
    <w:pPr>
      <w:tabs>
        <w:tab w:val="left" w:pos="720"/>
      </w:tabs>
      <w:autoSpaceDE w:val="0"/>
      <w:autoSpaceDN w:val="0"/>
      <w:adjustRightInd w:val="0"/>
      <w:ind w:left="720" w:hanging="720"/>
    </w:pPr>
    <w:rPr>
      <w:rFonts w:eastAsia="SimSun"/>
      <w:szCs w:val="24"/>
    </w:rPr>
  </w:style>
  <w:style w:type="paragraph" w:customStyle="1" w:styleId="CharChar1">
    <w:name w:val="Char Char1"/>
    <w:basedOn w:val="Normal"/>
    <w:rsid w:val="006B5740"/>
    <w:pPr>
      <w:spacing w:after="160"/>
    </w:pPr>
    <w:rPr>
      <w:rFonts w:ascii="Verdana" w:eastAsia="SimSun" w:hAnsi="Verdana"/>
    </w:rPr>
  </w:style>
  <w:style w:type="paragraph" w:customStyle="1" w:styleId="CharCharCharCharCharChar1">
    <w:name w:val="Char Char Char Char Char Char1"/>
    <w:basedOn w:val="Normal"/>
    <w:rsid w:val="006B5740"/>
    <w:pPr>
      <w:spacing w:after="160"/>
    </w:pPr>
    <w:rPr>
      <w:rFonts w:ascii="Verdana" w:eastAsia="SimSun" w:hAnsi="Verdana"/>
    </w:rPr>
  </w:style>
  <w:style w:type="paragraph" w:customStyle="1" w:styleId="CharCharCharCharCharCharCharCharChar2">
    <w:name w:val="Char Char Char Char Char Char Char Char Char2"/>
    <w:basedOn w:val="Normal"/>
    <w:rsid w:val="006B5740"/>
    <w:pPr>
      <w:spacing w:after="160"/>
    </w:pPr>
    <w:rPr>
      <w:rFonts w:ascii="Verdana" w:eastAsia="SimSun" w:hAnsi="Verdana"/>
    </w:rPr>
  </w:style>
  <w:style w:type="paragraph" w:customStyle="1" w:styleId="CharCharCharCharCharCharCharCharCharCharCharCharCharCharChar1">
    <w:name w:val="Char Char Char Char Char Char Char Char Char Char Char Char Char Char Char1"/>
    <w:basedOn w:val="Normal"/>
    <w:rsid w:val="006B5740"/>
    <w:pPr>
      <w:spacing w:after="160"/>
    </w:pPr>
    <w:rPr>
      <w:rFonts w:ascii="Verdana" w:eastAsia="SimSun" w:hAnsi="Verdana"/>
    </w:rPr>
  </w:style>
  <w:style w:type="character" w:customStyle="1" w:styleId="Char3">
    <w:name w:val="Char3"/>
    <w:basedOn w:val="DefaultParagraphFont"/>
    <w:rsid w:val="006B5740"/>
    <w:rPr>
      <w:rFonts w:eastAsia="SimSun" w:cs="Arial"/>
      <w:b/>
      <w:bCs/>
      <w:kern w:val="32"/>
      <w:sz w:val="32"/>
      <w:szCs w:val="32"/>
      <w:lang w:val="en-US" w:eastAsia="zh-CN" w:bidi="ar-SA"/>
    </w:rPr>
  </w:style>
  <w:style w:type="paragraph" w:customStyle="1" w:styleId="NormalTimesNewRoman">
    <w:name w:val="Normal + Times New Roman"/>
    <w:basedOn w:val="Normal"/>
    <w:rsid w:val="006B5740"/>
    <w:pPr>
      <w:spacing w:line="240" w:lineRule="exact"/>
    </w:pPr>
    <w:rPr>
      <w:rFonts w:eastAsia="SimSun"/>
      <w:b/>
      <w:bCs/>
      <w:lang w:eastAsia="zh-CN"/>
    </w:rPr>
  </w:style>
  <w:style w:type="paragraph" w:styleId="BodyTextIndent2">
    <w:name w:val="Body Text Indent 2"/>
    <w:basedOn w:val="Normal"/>
    <w:link w:val="BodyTextIndent2Char"/>
    <w:rsid w:val="006B5740"/>
    <w:pPr>
      <w:spacing w:after="120" w:line="480" w:lineRule="auto"/>
      <w:ind w:left="360"/>
    </w:pPr>
    <w:rPr>
      <w:rFonts w:eastAsia="SimSun"/>
    </w:rPr>
  </w:style>
  <w:style w:type="character" w:customStyle="1" w:styleId="BodyTextIndent2Char">
    <w:name w:val="Body Text Indent 2 Char"/>
    <w:basedOn w:val="DefaultParagraphFont"/>
    <w:link w:val="BodyTextIndent2"/>
    <w:rsid w:val="006B5740"/>
    <w:rPr>
      <w:rFonts w:eastAsia="SimSun"/>
      <w:sz w:val="24"/>
      <w:szCs w:val="24"/>
    </w:rPr>
  </w:style>
  <w:style w:type="paragraph" w:customStyle="1" w:styleId="Level1">
    <w:name w:val="Level 1"/>
    <w:basedOn w:val="Normal"/>
    <w:rsid w:val="006B5740"/>
    <w:pPr>
      <w:widowControl w:val="0"/>
      <w:ind w:left="1440" w:hanging="720"/>
    </w:pPr>
    <w:rPr>
      <w:rFonts w:eastAsia="SimSun"/>
      <w:szCs w:val="20"/>
    </w:rPr>
  </w:style>
  <w:style w:type="paragraph" w:customStyle="1" w:styleId="CharCharCharCharCharCharCharCharChar1">
    <w:name w:val="Char Char Char Char Char Char Char Char Char1"/>
    <w:basedOn w:val="Normal"/>
    <w:rsid w:val="006B5740"/>
    <w:pPr>
      <w:spacing w:after="160"/>
    </w:pPr>
    <w:rPr>
      <w:rFonts w:ascii="Verdana" w:eastAsia="SimSun" w:hAnsi="Verdana"/>
    </w:rPr>
  </w:style>
  <w:style w:type="paragraph" w:styleId="DocumentMap">
    <w:name w:val="Document Map"/>
    <w:basedOn w:val="Normal"/>
    <w:link w:val="DocumentMapChar"/>
    <w:uiPriority w:val="99"/>
    <w:unhideWhenUsed/>
    <w:rsid w:val="006B5740"/>
    <w:rPr>
      <w:rFonts w:ascii="Tahoma" w:hAnsi="Tahoma" w:cs="Tahoma"/>
      <w:sz w:val="16"/>
      <w:szCs w:val="16"/>
    </w:rPr>
  </w:style>
  <w:style w:type="character" w:customStyle="1" w:styleId="DocumentMapChar">
    <w:name w:val="Document Map Char"/>
    <w:basedOn w:val="DefaultParagraphFont"/>
    <w:link w:val="DocumentMap"/>
    <w:uiPriority w:val="99"/>
    <w:rsid w:val="006B5740"/>
    <w:rPr>
      <w:rFonts w:ascii="Tahoma" w:hAnsi="Tahoma" w:cs="Tahoma"/>
      <w:sz w:val="16"/>
      <w:szCs w:val="16"/>
    </w:rPr>
  </w:style>
  <w:style w:type="paragraph" w:styleId="Revision">
    <w:name w:val="Revision"/>
    <w:hidden/>
    <w:uiPriority w:val="99"/>
    <w:semiHidden/>
    <w:rsid w:val="00B578D6"/>
    <w:rPr>
      <w:sz w:val="24"/>
      <w:szCs w:val="24"/>
    </w:rPr>
  </w:style>
  <w:style w:type="character" w:customStyle="1" w:styleId="NormalWebChar">
    <w:name w:val="Normal (Web) Char"/>
    <w:basedOn w:val="DefaultParagraphFont"/>
    <w:link w:val="NormalWeb"/>
    <w:uiPriority w:val="99"/>
    <w:locked/>
    <w:rsid w:val="00B92F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2803335">
      <w:bodyDiv w:val="1"/>
      <w:marLeft w:val="0"/>
      <w:marRight w:val="0"/>
      <w:marTop w:val="0"/>
      <w:marBottom w:val="0"/>
      <w:divBdr>
        <w:top w:val="none" w:sz="0" w:space="0" w:color="auto"/>
        <w:left w:val="none" w:sz="0" w:space="0" w:color="auto"/>
        <w:bottom w:val="none" w:sz="0" w:space="0" w:color="auto"/>
        <w:right w:val="none" w:sz="0" w:space="0" w:color="auto"/>
      </w:divBdr>
    </w:div>
    <w:div w:id="373121877">
      <w:bodyDiv w:val="1"/>
      <w:marLeft w:val="0"/>
      <w:marRight w:val="0"/>
      <w:marTop w:val="0"/>
      <w:marBottom w:val="0"/>
      <w:divBdr>
        <w:top w:val="none" w:sz="0" w:space="0" w:color="auto"/>
        <w:left w:val="none" w:sz="0" w:space="0" w:color="auto"/>
        <w:bottom w:val="none" w:sz="0" w:space="0" w:color="auto"/>
        <w:right w:val="none" w:sz="0" w:space="0" w:color="auto"/>
      </w:divBdr>
    </w:div>
    <w:div w:id="455486379">
      <w:bodyDiv w:val="1"/>
      <w:marLeft w:val="0"/>
      <w:marRight w:val="0"/>
      <w:marTop w:val="0"/>
      <w:marBottom w:val="0"/>
      <w:divBdr>
        <w:top w:val="none" w:sz="0" w:space="0" w:color="auto"/>
        <w:left w:val="none" w:sz="0" w:space="0" w:color="auto"/>
        <w:bottom w:val="none" w:sz="0" w:space="0" w:color="auto"/>
        <w:right w:val="none" w:sz="0" w:space="0" w:color="auto"/>
      </w:divBdr>
    </w:div>
    <w:div w:id="649871209">
      <w:bodyDiv w:val="1"/>
      <w:marLeft w:val="0"/>
      <w:marRight w:val="0"/>
      <w:marTop w:val="0"/>
      <w:marBottom w:val="0"/>
      <w:divBdr>
        <w:top w:val="none" w:sz="0" w:space="0" w:color="auto"/>
        <w:left w:val="none" w:sz="0" w:space="0" w:color="auto"/>
        <w:bottom w:val="none" w:sz="0" w:space="0" w:color="auto"/>
        <w:right w:val="none" w:sz="0" w:space="0" w:color="auto"/>
      </w:divBdr>
    </w:div>
    <w:div w:id="719209924">
      <w:bodyDiv w:val="1"/>
      <w:marLeft w:val="0"/>
      <w:marRight w:val="0"/>
      <w:marTop w:val="0"/>
      <w:marBottom w:val="0"/>
      <w:divBdr>
        <w:top w:val="none" w:sz="0" w:space="0" w:color="auto"/>
        <w:left w:val="none" w:sz="0" w:space="0" w:color="auto"/>
        <w:bottom w:val="none" w:sz="0" w:space="0" w:color="auto"/>
        <w:right w:val="none" w:sz="0" w:space="0" w:color="auto"/>
      </w:divBdr>
    </w:div>
    <w:div w:id="1018627245">
      <w:bodyDiv w:val="1"/>
      <w:marLeft w:val="0"/>
      <w:marRight w:val="0"/>
      <w:marTop w:val="0"/>
      <w:marBottom w:val="0"/>
      <w:divBdr>
        <w:top w:val="none" w:sz="0" w:space="0" w:color="auto"/>
        <w:left w:val="none" w:sz="0" w:space="0" w:color="auto"/>
        <w:bottom w:val="none" w:sz="0" w:space="0" w:color="auto"/>
        <w:right w:val="none" w:sz="0" w:space="0" w:color="auto"/>
      </w:divBdr>
    </w:div>
    <w:div w:id="1020816761">
      <w:bodyDiv w:val="1"/>
      <w:marLeft w:val="0"/>
      <w:marRight w:val="0"/>
      <w:marTop w:val="0"/>
      <w:marBottom w:val="0"/>
      <w:divBdr>
        <w:top w:val="none" w:sz="0" w:space="0" w:color="auto"/>
        <w:left w:val="none" w:sz="0" w:space="0" w:color="auto"/>
        <w:bottom w:val="none" w:sz="0" w:space="0" w:color="auto"/>
        <w:right w:val="none" w:sz="0" w:space="0" w:color="auto"/>
      </w:divBdr>
    </w:div>
    <w:div w:id="1204639511">
      <w:bodyDiv w:val="1"/>
      <w:marLeft w:val="0"/>
      <w:marRight w:val="0"/>
      <w:marTop w:val="0"/>
      <w:marBottom w:val="0"/>
      <w:divBdr>
        <w:top w:val="none" w:sz="0" w:space="0" w:color="auto"/>
        <w:left w:val="none" w:sz="0" w:space="0" w:color="auto"/>
        <w:bottom w:val="none" w:sz="0" w:space="0" w:color="auto"/>
        <w:right w:val="none" w:sz="0" w:space="0" w:color="auto"/>
      </w:divBdr>
    </w:div>
    <w:div w:id="1838382269">
      <w:bodyDiv w:val="1"/>
      <w:marLeft w:val="0"/>
      <w:marRight w:val="0"/>
      <w:marTop w:val="0"/>
      <w:marBottom w:val="0"/>
      <w:divBdr>
        <w:top w:val="none" w:sz="0" w:space="0" w:color="auto"/>
        <w:left w:val="none" w:sz="0" w:space="0" w:color="auto"/>
        <w:bottom w:val="none" w:sz="0" w:space="0" w:color="auto"/>
        <w:right w:val="none" w:sz="0" w:space="0" w:color="auto"/>
      </w:divBdr>
    </w:div>
    <w:div w:id="198222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chart" Target="charts/chart13.xml"/><Relationship Id="rId21" Type="http://schemas.openxmlformats.org/officeDocument/2006/relationships/footer" Target="footer8.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header" Target="header8.xml"/><Relationship Id="rId63" Type="http://schemas.openxmlformats.org/officeDocument/2006/relationships/image" Target="media/image9.emf"/><Relationship Id="rId68"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eader" Target="header6.xml"/><Relationship Id="rId53" Type="http://schemas.openxmlformats.org/officeDocument/2006/relationships/chart" Target="charts/chart24.xml"/><Relationship Id="rId58" Type="http://schemas.openxmlformats.org/officeDocument/2006/relationships/image" Target="media/image4.emf"/><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chart" Target="charts/chart20.xml"/><Relationship Id="rId57" Type="http://schemas.openxmlformats.org/officeDocument/2006/relationships/footer" Target="footer13.xml"/><Relationship Id="rId61" Type="http://schemas.openxmlformats.org/officeDocument/2006/relationships/image" Target="media/image7.emf"/><Relationship Id="rId10" Type="http://schemas.openxmlformats.org/officeDocument/2006/relationships/hyperlink" Target="http://www.justice.gov/02organizations/bpp.htm" TargetMode="External"/><Relationship Id="rId19" Type="http://schemas.openxmlformats.org/officeDocument/2006/relationships/footer" Target="footer6.xml"/><Relationship Id="rId31" Type="http://schemas.openxmlformats.org/officeDocument/2006/relationships/chart" Target="charts/chart7.xml"/><Relationship Id="rId44" Type="http://schemas.openxmlformats.org/officeDocument/2006/relationships/header" Target="header5.xml"/><Relationship Id="rId52" Type="http://schemas.openxmlformats.org/officeDocument/2006/relationships/chart" Target="charts/chart23.xml"/><Relationship Id="rId60" Type="http://schemas.openxmlformats.org/officeDocument/2006/relationships/image" Target="media/image6.emf"/><Relationship Id="rId65" Type="http://schemas.openxmlformats.org/officeDocument/2006/relationships/footer" Target="footer15.xm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19.xml"/><Relationship Id="rId56" Type="http://schemas.openxmlformats.org/officeDocument/2006/relationships/footer" Target="footer12.xml"/><Relationship Id="rId64" Type="http://schemas.openxmlformats.org/officeDocument/2006/relationships/footer" Target="footer14.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chart" Target="charts/chart12.xml"/><Relationship Id="rId46" Type="http://schemas.openxmlformats.org/officeDocument/2006/relationships/header" Target="header7.xml"/><Relationship Id="rId59" Type="http://schemas.openxmlformats.org/officeDocument/2006/relationships/image" Target="media/image5.emf"/><Relationship Id="rId67" Type="http://schemas.openxmlformats.org/officeDocument/2006/relationships/footer" Target="footer17.xml"/><Relationship Id="rId20" Type="http://schemas.openxmlformats.org/officeDocument/2006/relationships/footer" Target="footer7.xml"/><Relationship Id="rId41" Type="http://schemas.openxmlformats.org/officeDocument/2006/relationships/chart" Target="charts/chart15.xml"/><Relationship Id="rId54" Type="http://schemas.openxmlformats.org/officeDocument/2006/relationships/chart" Target="charts/chart25.xml"/><Relationship Id="rId62" Type="http://schemas.openxmlformats.org/officeDocument/2006/relationships/image" Target="media/image8.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3" b="1" i="0" u="none" strike="noStrike" baseline="0">
                <a:solidFill>
                  <a:srgbClr val="000000"/>
                </a:solidFill>
                <a:latin typeface="Arial"/>
                <a:ea typeface="Arial"/>
                <a:cs typeface="Arial"/>
              </a:defRPr>
            </a:pPr>
            <a:r>
              <a:rPr lang="en-US"/>
              <a:t>% of Counterterrorism FISA collection reviewed by Language Program</a:t>
            </a:r>
          </a:p>
        </c:rich>
      </c:tx>
      <c:layout>
        <c:manualLayout>
          <c:xMode val="edge"/>
          <c:yMode val="edge"/>
          <c:x val="0.13303993480033036"/>
          <c:y val="4.0672483507129174E-2"/>
        </c:manualLayout>
      </c:layout>
      <c:spPr>
        <a:noFill/>
        <a:ln w="25338">
          <a:noFill/>
        </a:ln>
      </c:spPr>
    </c:title>
    <c:view3D>
      <c:depthPercent val="100"/>
      <c:rAngAx val="1"/>
    </c:view3D>
    <c:floor>
      <c:spPr>
        <a:solidFill>
          <a:schemeClr val="bg1">
            <a:lumMod val="85000"/>
          </a:schemeClr>
        </a:solidFill>
        <a:ln>
          <a:solidFill>
            <a:schemeClr val="tx1"/>
          </a:solidFill>
        </a:ln>
      </c:spPr>
    </c:floor>
    <c:sideWall>
      <c:spPr>
        <a:solidFill>
          <a:schemeClr val="bg1">
            <a:lumMod val="85000"/>
          </a:schemeClr>
        </a:solidFill>
        <a:ln w="25400">
          <a:noFill/>
        </a:ln>
      </c:spPr>
    </c:sideWall>
    <c:backWall>
      <c:spPr>
        <a:noFill/>
        <a:ln w="25400">
          <a:noFill/>
        </a:ln>
      </c:spPr>
    </c:backWall>
    <c:plotArea>
      <c:layout>
        <c:manualLayout>
          <c:layoutTarget val="inner"/>
          <c:xMode val="edge"/>
          <c:yMode val="edge"/>
          <c:x val="8.2500000000000004E-2"/>
          <c:y val="0.24096385542168691"/>
          <c:w val="0.91749999999999998"/>
          <c:h val="0.5381526104417671"/>
        </c:manualLayout>
      </c:layout>
      <c:bar3DChart>
        <c:barDir val="col"/>
        <c:grouping val="clustered"/>
        <c:ser>
          <c:idx val="0"/>
          <c:order val="0"/>
          <c:tx>
            <c:strRef>
              <c:f>Sheet1!$A$2</c:f>
              <c:strCache>
                <c:ptCount val="1"/>
                <c:pt idx="0">
                  <c:v>Audio</c:v>
                </c:pt>
              </c:strCache>
            </c:strRef>
          </c:tx>
          <c:spPr>
            <a:solidFill>
              <a:srgbClr val="9999FF"/>
            </a:solidFill>
            <a:ln w="12669">
              <a:solidFill>
                <a:srgbClr val="000000"/>
              </a:solidFill>
              <a:prstDash val="solid"/>
            </a:ln>
          </c:spPr>
          <c:dLbls>
            <c:dLbl>
              <c:idx val="0"/>
              <c:layout>
                <c:manualLayout>
                  <c:x val="7.1152352899652828E-3"/>
                  <c:y val="1.6704668673172851E-3"/>
                </c:manualLayout>
              </c:layout>
              <c:showVal val="1"/>
            </c:dLbl>
            <c:dLbl>
              <c:idx val="1"/>
              <c:layout>
                <c:manualLayout>
                  <c:x val="-1.0817241976782238E-2"/>
                  <c:y val="1.2117269125142978E-2"/>
                </c:manualLayout>
              </c:layout>
              <c:showVal val="1"/>
            </c:dLbl>
            <c:dLbl>
              <c:idx val="2"/>
              <c:layout>
                <c:manualLayout>
                  <c:x val="-1.9102991099218334E-3"/>
                  <c:y val="2.0794697960052288E-3"/>
                </c:manualLayout>
              </c:layout>
              <c:showVal val="1"/>
            </c:dLbl>
            <c:dLbl>
              <c:idx val="3"/>
              <c:layout>
                <c:manualLayout>
                  <c:x val="-7.5631621841892767E-3"/>
                  <c:y val="2.0235713779021766E-2"/>
                </c:manualLayout>
              </c:layout>
              <c:showVal val="1"/>
            </c:dLbl>
            <c:dLbl>
              <c:idx val="4"/>
              <c:layout>
                <c:manualLayout>
                  <c:x val="-1.2675946069088612E-2"/>
                  <c:y val="1.6047183291278171E-2"/>
                </c:manualLayout>
              </c:layout>
              <c:showVal val="1"/>
            </c:dLbl>
            <c:dLbl>
              <c:idx val="5"/>
              <c:layout>
                <c:manualLayout>
                  <c:x val="5.031155946582472E-3"/>
                  <c:y val="4.2862209791344631E-3"/>
                </c:manualLayout>
              </c:layout>
              <c:showVal val="1"/>
            </c:dLbl>
            <c:spPr>
              <a:noFill/>
              <a:ln w="25338">
                <a:noFill/>
              </a:ln>
            </c:spPr>
            <c:txPr>
              <a:bodyPr/>
              <a:lstStyle/>
              <a:p>
                <a:pPr>
                  <a:defRPr sz="599" b="1" i="0" u="none" strike="noStrike" baseline="0">
                    <a:solidFill>
                      <a:srgbClr val="000000"/>
                    </a:solidFill>
                    <a:latin typeface="Arial"/>
                    <a:ea typeface="Arial"/>
                    <a:cs typeface="Arial"/>
                  </a:defRPr>
                </a:pPr>
                <a:endParaRPr lang="en-US"/>
              </a:p>
            </c:txPr>
            <c:showVal val="1"/>
          </c:dLbls>
          <c:cat>
            <c:strRef>
              <c:f>Sheet1!$B$1:$J$1</c:f>
              <c:strCache>
                <c:ptCount val="9"/>
                <c:pt idx="0">
                  <c:v>FY05</c:v>
                </c:pt>
                <c:pt idx="1">
                  <c:v>FY06</c:v>
                </c:pt>
                <c:pt idx="2">
                  <c:v>FY07</c:v>
                </c:pt>
                <c:pt idx="3">
                  <c:v>FY08</c:v>
                </c:pt>
                <c:pt idx="4">
                  <c:v>FY09</c:v>
                </c:pt>
                <c:pt idx="5">
                  <c:v>FY10</c:v>
                </c:pt>
                <c:pt idx="6">
                  <c:v>FY11</c:v>
                </c:pt>
                <c:pt idx="7">
                  <c:v>FY12</c:v>
                </c:pt>
                <c:pt idx="8">
                  <c:v>FY13</c:v>
                </c:pt>
              </c:strCache>
            </c:strRef>
          </c:cat>
          <c:val>
            <c:numRef>
              <c:f>Sheet1!$B$2:$J$2</c:f>
              <c:numCache>
                <c:formatCode>0%</c:formatCode>
                <c:ptCount val="9"/>
                <c:pt idx="0">
                  <c:v>0.94199999999999995</c:v>
                </c:pt>
                <c:pt idx="1">
                  <c:v>0.88</c:v>
                </c:pt>
                <c:pt idx="2">
                  <c:v>0.97000000000000064</c:v>
                </c:pt>
                <c:pt idx="3">
                  <c:v>0.91</c:v>
                </c:pt>
                <c:pt idx="4">
                  <c:v>0.85000000000000064</c:v>
                </c:pt>
                <c:pt idx="5">
                  <c:v>0.95000000000000062</c:v>
                </c:pt>
                <c:pt idx="6">
                  <c:v>0.83000000000000063</c:v>
                </c:pt>
                <c:pt idx="7">
                  <c:v>1</c:v>
                </c:pt>
                <c:pt idx="8">
                  <c:v>1</c:v>
                </c:pt>
              </c:numCache>
            </c:numRef>
          </c:val>
        </c:ser>
        <c:ser>
          <c:idx val="1"/>
          <c:order val="1"/>
          <c:tx>
            <c:strRef>
              <c:f>Sheet1!$A$3</c:f>
              <c:strCache>
                <c:ptCount val="1"/>
                <c:pt idx="0">
                  <c:v>Text</c:v>
                </c:pt>
              </c:strCache>
            </c:strRef>
          </c:tx>
          <c:spPr>
            <a:solidFill>
              <a:srgbClr val="993366"/>
            </a:solidFill>
            <a:ln w="12669">
              <a:solidFill>
                <a:srgbClr val="000000"/>
              </a:solidFill>
              <a:prstDash val="solid"/>
            </a:ln>
          </c:spPr>
          <c:dLbls>
            <c:dLbl>
              <c:idx val="0"/>
              <c:layout>
                <c:manualLayout>
                  <c:x val="1.0091318047346771E-2"/>
                  <c:y val="-1.0286687137080837E-2"/>
                </c:manualLayout>
              </c:layout>
              <c:showVal val="1"/>
            </c:dLbl>
            <c:dLbl>
              <c:idx val="1"/>
              <c:layout>
                <c:manualLayout>
                  <c:x val="9.5507254747190847E-3"/>
                  <c:y val="5.5330921472653933E-3"/>
                </c:manualLayout>
              </c:layout>
              <c:showVal val="1"/>
            </c:dLbl>
            <c:dLbl>
              <c:idx val="2"/>
              <c:layout>
                <c:manualLayout>
                  <c:x val="5.305815990605086E-3"/>
                  <c:y val="-8.6928323148795748E-3"/>
                </c:manualLayout>
              </c:layout>
              <c:showVal val="1"/>
            </c:dLbl>
            <c:dLbl>
              <c:idx val="3"/>
              <c:layout>
                <c:manualLayout>
                  <c:x val="4.2128230303732014E-3"/>
                  <c:y val="1.2243334448058881E-2"/>
                </c:manualLayout>
              </c:layout>
              <c:showVal val="1"/>
            </c:dLbl>
            <c:dLbl>
              <c:idx val="4"/>
              <c:layout>
                <c:manualLayout>
                  <c:x val="2.3602795371849912E-3"/>
                  <c:y val="6.69362275661499E-3"/>
                </c:manualLayout>
              </c:layout>
              <c:showVal val="1"/>
            </c:dLbl>
            <c:dLbl>
              <c:idx val="5"/>
              <c:layout>
                <c:manualLayout>
                  <c:x val="2.355967117802207E-2"/>
                  <c:y val="6.1245047071818715E-3"/>
                </c:manualLayout>
              </c:layout>
              <c:showVal val="1"/>
            </c:dLbl>
            <c:dLbl>
              <c:idx val="7"/>
              <c:layout>
                <c:manualLayout>
                  <c:x val="3.0017519203742581E-3"/>
                  <c:y val="-2.4194408131415983E-2"/>
                </c:manualLayout>
              </c:layout>
              <c:showVal val="1"/>
            </c:dLbl>
            <c:dLbl>
              <c:idx val="8"/>
              <c:layout>
                <c:manualLayout>
                  <c:x val="1.6299918500407379E-2"/>
                  <c:y val="-2.0592020592020591E-2"/>
                </c:manualLayout>
              </c:layout>
              <c:showVal val="1"/>
            </c:dLbl>
            <c:spPr>
              <a:noFill/>
              <a:ln w="25338">
                <a:noFill/>
              </a:ln>
            </c:spPr>
            <c:txPr>
              <a:bodyPr/>
              <a:lstStyle/>
              <a:p>
                <a:pPr>
                  <a:defRPr sz="599" b="1" i="0" u="none" strike="noStrike" baseline="0">
                    <a:solidFill>
                      <a:srgbClr val="000000"/>
                    </a:solidFill>
                    <a:latin typeface="Arial"/>
                    <a:ea typeface="Arial"/>
                    <a:cs typeface="Arial"/>
                  </a:defRPr>
                </a:pPr>
                <a:endParaRPr lang="en-US"/>
              </a:p>
            </c:txPr>
            <c:showVal val="1"/>
          </c:dLbls>
          <c:cat>
            <c:strRef>
              <c:f>Sheet1!$B$1:$J$1</c:f>
              <c:strCache>
                <c:ptCount val="9"/>
                <c:pt idx="0">
                  <c:v>FY05</c:v>
                </c:pt>
                <c:pt idx="1">
                  <c:v>FY06</c:v>
                </c:pt>
                <c:pt idx="2">
                  <c:v>FY07</c:v>
                </c:pt>
                <c:pt idx="3">
                  <c:v>FY08</c:v>
                </c:pt>
                <c:pt idx="4">
                  <c:v>FY09</c:v>
                </c:pt>
                <c:pt idx="5">
                  <c:v>FY10</c:v>
                </c:pt>
                <c:pt idx="6">
                  <c:v>FY11</c:v>
                </c:pt>
                <c:pt idx="7">
                  <c:v>FY12</c:v>
                </c:pt>
                <c:pt idx="8">
                  <c:v>FY13</c:v>
                </c:pt>
              </c:strCache>
            </c:strRef>
          </c:cat>
          <c:val>
            <c:numRef>
              <c:f>Sheet1!$B$3:$J$3</c:f>
              <c:numCache>
                <c:formatCode>0%</c:formatCode>
                <c:ptCount val="9"/>
                <c:pt idx="0">
                  <c:v>0.999</c:v>
                </c:pt>
                <c:pt idx="1">
                  <c:v>0.99</c:v>
                </c:pt>
                <c:pt idx="2">
                  <c:v>1.02</c:v>
                </c:pt>
                <c:pt idx="3">
                  <c:v>1.139999999999983</c:v>
                </c:pt>
                <c:pt idx="4">
                  <c:v>1</c:v>
                </c:pt>
                <c:pt idx="5">
                  <c:v>0.98</c:v>
                </c:pt>
                <c:pt idx="6">
                  <c:v>1.3800000000000001</c:v>
                </c:pt>
                <c:pt idx="7">
                  <c:v>1</c:v>
                </c:pt>
                <c:pt idx="8">
                  <c:v>1</c:v>
                </c:pt>
              </c:numCache>
            </c:numRef>
          </c:val>
        </c:ser>
        <c:ser>
          <c:idx val="2"/>
          <c:order val="2"/>
          <c:tx>
            <c:strRef>
              <c:f>Sheet1!$A$4</c:f>
              <c:strCache>
                <c:ptCount val="1"/>
                <c:pt idx="0">
                  <c:v>Electronic File</c:v>
                </c:pt>
              </c:strCache>
            </c:strRef>
          </c:tx>
          <c:spPr>
            <a:solidFill>
              <a:srgbClr val="FFFFCC"/>
            </a:solidFill>
            <a:ln w="12669">
              <a:solidFill>
                <a:srgbClr val="000000"/>
              </a:solidFill>
              <a:prstDash val="solid"/>
            </a:ln>
          </c:spPr>
          <c:dLbls>
            <c:dLbl>
              <c:idx val="0"/>
              <c:layout>
                <c:manualLayout>
                  <c:x val="1.8631961958300445E-2"/>
                  <c:y val="1.2674631887230317E-2"/>
                </c:manualLayout>
              </c:layout>
              <c:showVal val="1"/>
            </c:dLbl>
            <c:dLbl>
              <c:idx val="1"/>
              <c:layout>
                <c:manualLayout>
                  <c:x val="2.2319080530581598E-2"/>
                  <c:y val="1.8569300459064245E-2"/>
                </c:manualLayout>
              </c:layout>
              <c:showVal val="1"/>
            </c:dLbl>
            <c:dLbl>
              <c:idx val="2"/>
              <c:layout>
                <c:manualLayout>
                  <c:x val="1.8726167786483963E-2"/>
                  <c:y val="4.9064137253115054E-3"/>
                </c:manualLayout>
              </c:layout>
              <c:showVal val="1"/>
            </c:dLbl>
            <c:dLbl>
              <c:idx val="3"/>
              <c:layout>
                <c:manualLayout>
                  <c:x val="2.1553369398507341E-2"/>
                  <c:y val="6.0795103314788424E-3"/>
                </c:manualLayout>
              </c:layout>
              <c:showVal val="1"/>
            </c:dLbl>
            <c:dLbl>
              <c:idx val="4"/>
              <c:layout>
                <c:manualLayout>
                  <c:x val="1.9480841178471285E-2"/>
                  <c:y val="1.2088894293618953E-2"/>
                </c:manualLayout>
              </c:layout>
              <c:showVal val="1"/>
            </c:dLbl>
            <c:dLbl>
              <c:idx val="5"/>
              <c:layout>
                <c:manualLayout>
                  <c:x val="1.7627784302023383E-2"/>
                  <c:y val="2.1670264189949935E-3"/>
                </c:manualLayout>
              </c:layout>
              <c:showVal val="1"/>
            </c:dLbl>
            <c:dLbl>
              <c:idx val="6"/>
              <c:layout>
                <c:manualLayout>
                  <c:x val="1.8802661892202598E-2"/>
                  <c:y val="-4.7345433172204824E-3"/>
                </c:manualLayout>
              </c:layout>
              <c:showVal val="1"/>
            </c:dLbl>
            <c:dLbl>
              <c:idx val="7"/>
              <c:layout>
                <c:manualLayout>
                  <c:x val="1.9559902200488997E-2"/>
                  <c:y val="0"/>
                </c:manualLayout>
              </c:layout>
              <c:showVal val="1"/>
            </c:dLbl>
            <c:dLbl>
              <c:idx val="8"/>
              <c:layout>
                <c:manualLayout>
                  <c:x val="2.2819885900570692E-2"/>
                  <c:y val="0"/>
                </c:manualLayout>
              </c:layout>
              <c:showVal val="1"/>
            </c:dLbl>
            <c:spPr>
              <a:noFill/>
              <a:ln w="25338">
                <a:noFill/>
              </a:ln>
            </c:spPr>
            <c:txPr>
              <a:bodyPr/>
              <a:lstStyle/>
              <a:p>
                <a:pPr>
                  <a:defRPr sz="599" b="1" i="0" u="none" strike="noStrike" baseline="0">
                    <a:solidFill>
                      <a:srgbClr val="000000"/>
                    </a:solidFill>
                    <a:latin typeface="Arial"/>
                    <a:ea typeface="Arial"/>
                    <a:cs typeface="Arial"/>
                  </a:defRPr>
                </a:pPr>
                <a:endParaRPr lang="en-US"/>
              </a:p>
            </c:txPr>
            <c:showVal val="1"/>
          </c:dLbls>
          <c:cat>
            <c:strRef>
              <c:f>Sheet1!$B$1:$J$1</c:f>
              <c:strCache>
                <c:ptCount val="9"/>
                <c:pt idx="0">
                  <c:v>FY05</c:v>
                </c:pt>
                <c:pt idx="1">
                  <c:v>FY06</c:v>
                </c:pt>
                <c:pt idx="2">
                  <c:v>FY07</c:v>
                </c:pt>
                <c:pt idx="3">
                  <c:v>FY08</c:v>
                </c:pt>
                <c:pt idx="4">
                  <c:v>FY09</c:v>
                </c:pt>
                <c:pt idx="5">
                  <c:v>FY10</c:v>
                </c:pt>
                <c:pt idx="6">
                  <c:v>FY11</c:v>
                </c:pt>
                <c:pt idx="7">
                  <c:v>FY12</c:v>
                </c:pt>
                <c:pt idx="8">
                  <c:v>FY13</c:v>
                </c:pt>
              </c:strCache>
            </c:strRef>
          </c:cat>
          <c:val>
            <c:numRef>
              <c:f>Sheet1!$B$4:$J$4</c:f>
              <c:numCache>
                <c:formatCode>0%</c:formatCode>
                <c:ptCount val="9"/>
                <c:pt idx="0">
                  <c:v>0.98499999999999999</c:v>
                </c:pt>
                <c:pt idx="1">
                  <c:v>0.94000000000000061</c:v>
                </c:pt>
                <c:pt idx="2">
                  <c:v>0.95000000000000062</c:v>
                </c:pt>
                <c:pt idx="3">
                  <c:v>0.56999999999999995</c:v>
                </c:pt>
                <c:pt idx="4">
                  <c:v>0.87000000000000755</c:v>
                </c:pt>
                <c:pt idx="5">
                  <c:v>0.39000000000000423</c:v>
                </c:pt>
                <c:pt idx="6">
                  <c:v>0.39000000000000423</c:v>
                </c:pt>
                <c:pt idx="7">
                  <c:v>0.5</c:v>
                </c:pt>
                <c:pt idx="8">
                  <c:v>0.5</c:v>
                </c:pt>
              </c:numCache>
            </c:numRef>
          </c:val>
        </c:ser>
        <c:shape val="box"/>
        <c:axId val="106190720"/>
        <c:axId val="106192256"/>
        <c:axId val="0"/>
      </c:bar3DChart>
      <c:catAx>
        <c:axId val="106190720"/>
        <c:scaling>
          <c:orientation val="minMax"/>
        </c:scaling>
        <c:axPos val="b"/>
        <c:numFmt formatCode="General" sourceLinked="1"/>
        <c:tickLblPos val="low"/>
        <c:spPr>
          <a:ln w="3167">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en-US"/>
          </a:p>
        </c:txPr>
        <c:crossAx val="106192256"/>
        <c:crosses val="autoZero"/>
        <c:auto val="1"/>
        <c:lblAlgn val="ctr"/>
        <c:lblOffset val="100"/>
        <c:tickLblSkip val="1"/>
        <c:tickMarkSkip val="1"/>
      </c:catAx>
      <c:valAx>
        <c:axId val="106192256"/>
        <c:scaling>
          <c:orientation val="minMax"/>
          <c:max val="1.25"/>
          <c:min val="0"/>
        </c:scaling>
        <c:axPos val="l"/>
        <c:majorGridlines>
          <c:spPr>
            <a:ln w="0">
              <a:solidFill>
                <a:schemeClr val="bg1"/>
              </a:solidFill>
            </a:ln>
          </c:spPr>
        </c:majorGridlines>
        <c:numFmt formatCode="0%" sourceLinked="1"/>
        <c:tickLblPos val="nextTo"/>
        <c:spPr>
          <a:ln w="3167">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en-US"/>
          </a:p>
        </c:txPr>
        <c:crossAx val="106190720"/>
        <c:crosses val="autoZero"/>
        <c:crossBetween val="between"/>
        <c:majorUnit val="0.25"/>
        <c:minorUnit val="0.25"/>
      </c:valAx>
    </c:plotArea>
    <c:legend>
      <c:legendPos val="b"/>
      <c:layout>
        <c:manualLayout>
          <c:xMode val="edge"/>
          <c:yMode val="edge"/>
          <c:x val="0.30387950894891808"/>
          <c:y val="0.90423453825028632"/>
          <c:w val="0.42256499111206397"/>
          <c:h val="7.2628624124687111E-2"/>
        </c:manualLayout>
      </c:layout>
      <c:spPr>
        <a:noFill/>
        <a:ln w="3167">
          <a:noFill/>
          <a:prstDash val="solid"/>
        </a:ln>
      </c:spPr>
      <c:txPr>
        <a:bodyPr/>
        <a:lstStyle/>
        <a:p>
          <a:pPr>
            <a:defRPr sz="733"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097" b="1"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3" b="1" i="0" u="none" strike="noStrike" baseline="0">
                <a:solidFill>
                  <a:srgbClr val="000000"/>
                </a:solidFill>
                <a:latin typeface="Arial"/>
                <a:ea typeface="Arial"/>
                <a:cs typeface="Arial"/>
              </a:defRPr>
            </a:pPr>
            <a:r>
              <a:rPr lang="en-US"/>
              <a:t>Number of Children Depicted in Child Pornography that are Identified by the FBI</a:t>
            </a:r>
          </a:p>
        </c:rich>
      </c:tx>
      <c:layout>
        <c:manualLayout>
          <c:xMode val="edge"/>
          <c:yMode val="edge"/>
          <c:x val="0.11610486891385768"/>
          <c:y val="0"/>
        </c:manualLayout>
      </c:layout>
      <c:spPr>
        <a:noFill/>
        <a:ln w="25187">
          <a:noFill/>
        </a:ln>
      </c:spPr>
    </c:title>
    <c:view3D>
      <c:hPercent val="58"/>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9.3632958801498245E-2"/>
          <c:y val="0.23893805309734975"/>
          <c:w val="0.90636704119850187"/>
          <c:h val="0.57964601769913604"/>
        </c:manualLayout>
      </c:layout>
      <c:bar3DChart>
        <c:barDir val="col"/>
        <c:grouping val="clustered"/>
        <c:ser>
          <c:idx val="0"/>
          <c:order val="0"/>
          <c:tx>
            <c:strRef>
              <c:f>Sheet1!$A$2</c:f>
              <c:strCache>
                <c:ptCount val="1"/>
                <c:pt idx="0">
                  <c:v>Actual</c:v>
                </c:pt>
              </c:strCache>
            </c:strRef>
          </c:tx>
          <c:spPr>
            <a:solidFill>
              <a:srgbClr val="993366"/>
            </a:solidFill>
            <a:ln w="12593">
              <a:solidFill>
                <a:srgbClr val="000000"/>
              </a:solidFill>
              <a:prstDash val="solid"/>
            </a:ln>
          </c:spPr>
          <c:dLbls>
            <c:dLbl>
              <c:idx val="0"/>
              <c:layout>
                <c:manualLayout>
                  <c:x val="3.3225899900061842E-3"/>
                  <c:y val="1.0872247726196336E-2"/>
                </c:manualLayout>
              </c:layout>
              <c:showVal val="1"/>
            </c:dLbl>
            <c:dLbl>
              <c:idx val="1"/>
              <c:layout>
                <c:manualLayout>
                  <c:x val="7.6359395975182784E-4"/>
                  <c:y val="-1.8358727732903561E-3"/>
                </c:manualLayout>
              </c:layout>
              <c:showVal val="1"/>
            </c:dLbl>
            <c:dLbl>
              <c:idx val="2"/>
              <c:layout>
                <c:manualLayout>
                  <c:x val="-1.3556755695563853E-2"/>
                  <c:y val="-1.1841376435115568E-2"/>
                </c:manualLayout>
              </c:layout>
              <c:showVal val="1"/>
            </c:dLbl>
            <c:dLbl>
              <c:idx val="3"/>
              <c:layout>
                <c:manualLayout>
                  <c:x val="-1.6115751725818087E-2"/>
                  <c:y val="-5.5526593749051934E-3"/>
                </c:manualLayout>
              </c:layout>
              <c:showVal val="1"/>
            </c:dLbl>
            <c:dLbl>
              <c:idx val="4"/>
              <c:layout>
                <c:manualLayout>
                  <c:x val="3.7975413702826021E-3"/>
                  <c:y val="-2.3121532899732768E-2"/>
                </c:manualLayout>
              </c:layout>
              <c:showVal val="1"/>
            </c:dLbl>
            <c:dLbl>
              <c:idx val="5"/>
              <c:layout>
                <c:manualLayout>
                  <c:x val="1.6865364753593525E-2"/>
                  <c:y val="-7.9745540282041023E-3"/>
                </c:manualLayout>
              </c:layout>
              <c:showVal val="1"/>
            </c:dLbl>
            <c:dLbl>
              <c:idx val="6"/>
              <c:layout>
                <c:manualLayout>
                  <c:x val="-0.77126619100410287"/>
                  <c:y val="-0.17798878953690569"/>
                </c:manualLayout>
              </c:layout>
              <c:showVal val="1"/>
            </c:dLbl>
            <c:spPr>
              <a:noFill/>
              <a:ln w="25187">
                <a:noFill/>
              </a:ln>
            </c:spPr>
            <c:txPr>
              <a:bodyPr/>
              <a:lstStyle/>
              <a:p>
                <a:pPr>
                  <a:defRPr sz="793" b="1" i="0" u="none" strike="noStrike" baseline="0">
                    <a:solidFill>
                      <a:srgbClr val="000000"/>
                    </a:solidFill>
                    <a:latin typeface="Arial"/>
                    <a:ea typeface="Arial"/>
                    <a:cs typeface="Arial"/>
                  </a:defRPr>
                </a:pPr>
                <a:endParaRPr lang="en-US"/>
              </a:p>
            </c:txPr>
            <c:showVal val="1"/>
          </c:dLbls>
          <c:cat>
            <c:strRef>
              <c:f>Sheet1!$B$1:$I$1</c:f>
              <c:strCache>
                <c:ptCount val="8"/>
                <c:pt idx="0">
                  <c:v>FY06</c:v>
                </c:pt>
                <c:pt idx="1">
                  <c:v>FY07</c:v>
                </c:pt>
                <c:pt idx="2">
                  <c:v>FY08</c:v>
                </c:pt>
                <c:pt idx="3">
                  <c:v>FY09</c:v>
                </c:pt>
                <c:pt idx="4">
                  <c:v>FY10</c:v>
                </c:pt>
                <c:pt idx="5">
                  <c:v>FY11</c:v>
                </c:pt>
                <c:pt idx="6">
                  <c:v>FY12</c:v>
                </c:pt>
                <c:pt idx="7">
                  <c:v>FY13</c:v>
                </c:pt>
              </c:strCache>
            </c:strRef>
          </c:cat>
          <c:val>
            <c:numRef>
              <c:f>Sheet1!$B$2:$I$2</c:f>
              <c:numCache>
                <c:formatCode>#,##0</c:formatCode>
                <c:ptCount val="8"/>
                <c:pt idx="0">
                  <c:v>37</c:v>
                </c:pt>
                <c:pt idx="1">
                  <c:v>73</c:v>
                </c:pt>
                <c:pt idx="2">
                  <c:v>187</c:v>
                </c:pt>
                <c:pt idx="3" formatCode="General">
                  <c:v>118</c:v>
                </c:pt>
                <c:pt idx="4" formatCode="General">
                  <c:v>246</c:v>
                </c:pt>
                <c:pt idx="5">
                  <c:v>240</c:v>
                </c:pt>
              </c:numCache>
            </c:numRef>
          </c:val>
        </c:ser>
        <c:ser>
          <c:idx val="1"/>
          <c:order val="1"/>
          <c:tx>
            <c:strRef>
              <c:f>Sheet1!$A$3</c:f>
              <c:strCache>
                <c:ptCount val="1"/>
                <c:pt idx="0">
                  <c:v>Target</c:v>
                </c:pt>
              </c:strCache>
            </c:strRef>
          </c:tx>
          <c:spPr>
            <a:solidFill>
              <a:srgbClr val="9999FF"/>
            </a:solidFill>
            <a:ln w="12593">
              <a:solidFill>
                <a:srgbClr val="000000"/>
              </a:solidFill>
              <a:prstDash val="solid"/>
            </a:ln>
          </c:spPr>
          <c:dLbls>
            <c:dLbl>
              <c:idx val="2"/>
              <c:layout>
                <c:manualLayout>
                  <c:x val="0.56996657756643854"/>
                  <c:y val="-0.17798878953690569"/>
                </c:manualLayout>
              </c:layout>
              <c:showVal val="1"/>
            </c:dLbl>
            <c:dLbl>
              <c:idx val="3"/>
              <c:layout>
                <c:manualLayout>
                  <c:x val="0.39512293734143678"/>
                  <c:y val="-0.17798878953690569"/>
                </c:manualLayout>
              </c:layout>
              <c:showVal val="1"/>
            </c:dLbl>
            <c:dLbl>
              <c:idx val="4"/>
              <c:layout>
                <c:manualLayout>
                  <c:x val="-4.5638305879837866E-2"/>
                  <c:y val="-0.17798878953690569"/>
                </c:manualLayout>
              </c:layout>
              <c:showVal val="1"/>
            </c:dLbl>
            <c:dLbl>
              <c:idx val="5"/>
              <c:layout>
                <c:manualLayout>
                  <c:x val="-1.0183727034120741E-2"/>
                  <c:y val="-4.2230526268962065E-3"/>
                </c:manualLayout>
              </c:layout>
              <c:showVal val="1"/>
            </c:dLbl>
            <c:dLbl>
              <c:idx val="6"/>
              <c:layout>
                <c:manualLayout>
                  <c:x val="-9.6610667348894224E-4"/>
                  <c:y val="-1.7011432892922285E-2"/>
                </c:manualLayout>
              </c:layout>
              <c:showVal val="1"/>
            </c:dLbl>
            <c:dLbl>
              <c:idx val="7"/>
              <c:layout>
                <c:manualLayout>
                  <c:x val="1.2511354184000695E-2"/>
                  <c:y val="-1.8041420763608347E-3"/>
                </c:manualLayout>
              </c:layout>
              <c:showVal val="1"/>
            </c:dLbl>
            <c:spPr>
              <a:noFill/>
              <a:ln w="25187">
                <a:noFill/>
              </a:ln>
            </c:spPr>
            <c:txPr>
              <a:bodyPr/>
              <a:lstStyle/>
              <a:p>
                <a:pPr>
                  <a:defRPr sz="793" b="1" i="0" u="none" strike="noStrike" baseline="0">
                    <a:solidFill>
                      <a:srgbClr val="000000"/>
                    </a:solidFill>
                    <a:latin typeface="Arial"/>
                    <a:ea typeface="Arial"/>
                    <a:cs typeface="Arial"/>
                  </a:defRPr>
                </a:pPr>
                <a:endParaRPr lang="en-US"/>
              </a:p>
            </c:txPr>
            <c:showVal val="1"/>
          </c:dLbls>
          <c:cat>
            <c:strRef>
              <c:f>Sheet1!$B$1:$I$1</c:f>
              <c:strCache>
                <c:ptCount val="8"/>
                <c:pt idx="0">
                  <c:v>FY06</c:v>
                </c:pt>
                <c:pt idx="1">
                  <c:v>FY07</c:v>
                </c:pt>
                <c:pt idx="2">
                  <c:v>FY08</c:v>
                </c:pt>
                <c:pt idx="3">
                  <c:v>FY09</c:v>
                </c:pt>
                <c:pt idx="4">
                  <c:v>FY10</c:v>
                </c:pt>
                <c:pt idx="5">
                  <c:v>FY11</c:v>
                </c:pt>
                <c:pt idx="6">
                  <c:v>FY12</c:v>
                </c:pt>
                <c:pt idx="7">
                  <c:v>FY13</c:v>
                </c:pt>
              </c:strCache>
            </c:strRef>
          </c:cat>
          <c:val>
            <c:numRef>
              <c:f>Sheet1!$B$3:$I$3</c:f>
              <c:numCache>
                <c:formatCode>General</c:formatCode>
                <c:ptCount val="8"/>
                <c:pt idx="6">
                  <c:v>155</c:v>
                </c:pt>
                <c:pt idx="7">
                  <c:v>200</c:v>
                </c:pt>
              </c:numCache>
            </c:numRef>
          </c:val>
        </c:ser>
        <c:dLbls>
          <c:showVal val="1"/>
        </c:dLbls>
        <c:gapDepth val="0"/>
        <c:shape val="box"/>
        <c:axId val="108656896"/>
        <c:axId val="108711936"/>
        <c:axId val="0"/>
      </c:bar3DChart>
      <c:catAx>
        <c:axId val="108656896"/>
        <c:scaling>
          <c:orientation val="minMax"/>
        </c:scaling>
        <c:axPos val="b"/>
        <c:numFmt formatCode="General" sourceLinked="1"/>
        <c:tickLblPos val="low"/>
        <c:spPr>
          <a:ln w="3148">
            <a:solidFill>
              <a:srgbClr val="000000"/>
            </a:solidFill>
            <a:prstDash val="solid"/>
          </a:ln>
        </c:spPr>
        <c:txPr>
          <a:bodyPr rot="0" vert="horz"/>
          <a:lstStyle/>
          <a:p>
            <a:pPr>
              <a:defRPr sz="669" b="1" i="0" u="none" strike="noStrike" baseline="0">
                <a:solidFill>
                  <a:srgbClr val="000000"/>
                </a:solidFill>
                <a:latin typeface="Arial"/>
                <a:ea typeface="Arial"/>
                <a:cs typeface="Arial"/>
              </a:defRPr>
            </a:pPr>
            <a:endParaRPr lang="en-US"/>
          </a:p>
        </c:txPr>
        <c:crossAx val="108711936"/>
        <c:crosses val="autoZero"/>
        <c:auto val="1"/>
        <c:lblAlgn val="ctr"/>
        <c:lblOffset val="100"/>
        <c:tickLblSkip val="2"/>
        <c:tickMarkSkip val="1"/>
      </c:catAx>
      <c:valAx>
        <c:axId val="108711936"/>
        <c:scaling>
          <c:orientation val="minMax"/>
          <c:max val="220"/>
          <c:min val="0"/>
        </c:scaling>
        <c:axPos val="l"/>
        <c:numFmt formatCode="#,##0" sourceLinked="1"/>
        <c:tickLblPos val="nextTo"/>
        <c:spPr>
          <a:ln w="3148">
            <a:solidFill>
              <a:srgbClr val="000000"/>
            </a:solidFill>
            <a:prstDash val="solid"/>
          </a:ln>
        </c:spPr>
        <c:txPr>
          <a:bodyPr rot="0" vert="horz"/>
          <a:lstStyle/>
          <a:p>
            <a:pPr>
              <a:defRPr sz="669" b="1" i="0" u="none" strike="noStrike" baseline="0">
                <a:solidFill>
                  <a:srgbClr val="000000"/>
                </a:solidFill>
                <a:latin typeface="Arial"/>
                <a:ea typeface="Arial"/>
                <a:cs typeface="Arial"/>
              </a:defRPr>
            </a:pPr>
            <a:endParaRPr lang="en-US"/>
          </a:p>
        </c:txPr>
        <c:crossAx val="108656896"/>
        <c:crosses val="autoZero"/>
        <c:crossBetween val="between"/>
        <c:minorUnit val="50"/>
      </c:valAx>
      <c:spPr>
        <a:noFill/>
        <a:ln w="25187">
          <a:noFill/>
        </a:ln>
      </c:spPr>
    </c:plotArea>
    <c:legend>
      <c:legendPos val="r"/>
      <c:layout>
        <c:manualLayout>
          <c:xMode val="edge"/>
          <c:yMode val="edge"/>
          <c:x val="0.31086142322097826"/>
          <c:y val="0.89380530973451322"/>
          <c:w val="0.38576779026217534"/>
          <c:h val="8.8495575221238867E-2"/>
        </c:manualLayout>
      </c:layout>
      <c:spPr>
        <a:noFill/>
        <a:ln w="25186">
          <a:noFill/>
        </a:ln>
      </c:spPr>
      <c:txPr>
        <a:bodyPr/>
        <a:lstStyle/>
        <a:p>
          <a:pPr>
            <a:defRPr sz="729"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93" b="1"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1" b="1" i="0" u="none" strike="noStrike" baseline="0">
                <a:solidFill>
                  <a:srgbClr val="000000"/>
                </a:solidFill>
                <a:latin typeface="Arial"/>
                <a:ea typeface="Arial"/>
                <a:cs typeface="Arial"/>
              </a:defRPr>
            </a:pPr>
            <a:r>
              <a:rPr lang="en-US"/>
              <a:t>Percentage of FBI OCDETF Investigations with Links to CPOT-linked DTOs</a:t>
            </a:r>
          </a:p>
        </c:rich>
      </c:tx>
      <c:layout>
        <c:manualLayout>
          <c:xMode val="edge"/>
          <c:yMode val="edge"/>
          <c:x val="0.13857677902621718"/>
          <c:y val="0"/>
        </c:manualLayout>
      </c:layout>
      <c:spPr>
        <a:noFill/>
        <a:ln w="25130">
          <a:noFill/>
        </a:ln>
      </c:spPr>
    </c:title>
    <c:view3D>
      <c:hPercent val="58"/>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1161048689138556E-2"/>
          <c:y val="0.23893805309734975"/>
          <c:w val="0.92883895131086169"/>
          <c:h val="0.58407079646018722"/>
        </c:manualLayout>
      </c:layout>
      <c:bar3DChart>
        <c:barDir val="col"/>
        <c:grouping val="clustered"/>
        <c:ser>
          <c:idx val="0"/>
          <c:order val="0"/>
          <c:tx>
            <c:strRef>
              <c:f>Sheet1!$A$2</c:f>
              <c:strCache>
                <c:ptCount val="1"/>
                <c:pt idx="0">
                  <c:v>Actual</c:v>
                </c:pt>
              </c:strCache>
            </c:strRef>
          </c:tx>
          <c:spPr>
            <a:solidFill>
              <a:srgbClr val="993366"/>
            </a:solidFill>
            <a:ln w="12565">
              <a:solidFill>
                <a:srgbClr val="000000"/>
              </a:solidFill>
              <a:prstDash val="solid"/>
            </a:ln>
          </c:spPr>
          <c:dLbls>
            <c:dLbl>
              <c:idx val="0"/>
              <c:layout>
                <c:manualLayout>
                  <c:x val="-5.9023977213169235E-4"/>
                  <c:y val="4.7847489515288133E-3"/>
                </c:manualLayout>
              </c:layout>
              <c:showVal val="1"/>
            </c:dLbl>
            <c:dLbl>
              <c:idx val="1"/>
              <c:layout>
                <c:manualLayout>
                  <c:x val="-4.1423376412106474E-3"/>
                  <c:y val="-6.6325305781953867E-3"/>
                </c:manualLayout>
              </c:layout>
              <c:showVal val="1"/>
            </c:dLbl>
            <c:dLbl>
              <c:idx val="2"/>
              <c:layout>
                <c:manualLayout>
                  <c:x val="-1.8930011552474299E-2"/>
                  <c:y val="-1.0128780962526439E-2"/>
                </c:manualLayout>
              </c:layout>
              <c:showVal val="1"/>
            </c:dLbl>
            <c:dLbl>
              <c:idx val="3"/>
              <c:layout>
                <c:manualLayout>
                  <c:x val="-3.7555176612537899E-3"/>
                  <c:y val="-1.3985092083978421E-2"/>
                </c:manualLayout>
              </c:layout>
              <c:showVal val="1"/>
            </c:dLbl>
            <c:dLbl>
              <c:idx val="4"/>
              <c:layout>
                <c:manualLayout>
                  <c:x val="1.8340018778228884E-4"/>
                  <c:y val="-1.897833848465046E-2"/>
                </c:manualLayout>
              </c:layout>
              <c:showVal val="1"/>
            </c:dLbl>
            <c:dLbl>
              <c:idx val="5"/>
              <c:layout>
                <c:manualLayout>
                  <c:x val="-3.3686976812967212E-3"/>
                  <c:y val="-2.1546060492250899E-2"/>
                </c:manualLayout>
              </c:layout>
              <c:showVal val="1"/>
            </c:dLbl>
            <c:dLbl>
              <c:idx val="6"/>
              <c:layout>
                <c:manualLayout>
                  <c:x val="9.8714195021653364E-3"/>
                  <c:y val="-7.6320121001824124E-3"/>
                </c:manualLayout>
              </c:layout>
              <c:tx>
                <c:rich>
                  <a:bodyPr/>
                  <a:lstStyle/>
                  <a:p>
                    <a:r>
                      <a:rPr lang="en-US"/>
                      <a:t>16</a:t>
                    </a:r>
                  </a:p>
                </c:rich>
              </c:tx>
            </c:dLbl>
            <c:spPr>
              <a:noFill/>
              <a:ln w="25130">
                <a:noFill/>
              </a:ln>
            </c:spPr>
            <c:txPr>
              <a:bodyPr/>
              <a:lstStyle/>
              <a:p>
                <a:pPr>
                  <a:defRPr sz="791" b="1" i="0" u="none" strike="noStrike" baseline="0">
                    <a:solidFill>
                      <a:srgbClr val="000000"/>
                    </a:solidFill>
                    <a:latin typeface="Arial"/>
                    <a:ea typeface="Arial"/>
                    <a:cs typeface="Arial"/>
                  </a:defRPr>
                </a:pPr>
                <a:endParaRPr lang="en-US"/>
              </a:p>
            </c:txPr>
            <c:showVal val="1"/>
          </c:dLbls>
          <c:cat>
            <c:strRef>
              <c:f>Sheet1!$B$1:$J$1</c:f>
              <c:strCache>
                <c:ptCount val="9"/>
                <c:pt idx="0">
                  <c:v>FY05</c:v>
                </c:pt>
                <c:pt idx="1">
                  <c:v>FY06</c:v>
                </c:pt>
                <c:pt idx="2">
                  <c:v>FY07</c:v>
                </c:pt>
                <c:pt idx="3">
                  <c:v>FY08</c:v>
                </c:pt>
                <c:pt idx="4">
                  <c:v>FY09</c:v>
                </c:pt>
                <c:pt idx="5">
                  <c:v>FY10</c:v>
                </c:pt>
                <c:pt idx="6">
                  <c:v>FY11</c:v>
                </c:pt>
                <c:pt idx="7">
                  <c:v>FY12</c:v>
                </c:pt>
                <c:pt idx="8">
                  <c:v>FY13</c:v>
                </c:pt>
              </c:strCache>
            </c:strRef>
          </c:cat>
          <c:val>
            <c:numRef>
              <c:f>Sheet1!$B$2:$J$2</c:f>
              <c:numCache>
                <c:formatCode>#,##0</c:formatCode>
                <c:ptCount val="9"/>
                <c:pt idx="0" formatCode="General">
                  <c:v>11</c:v>
                </c:pt>
                <c:pt idx="1">
                  <c:v>13</c:v>
                </c:pt>
                <c:pt idx="2">
                  <c:v>14</c:v>
                </c:pt>
                <c:pt idx="3">
                  <c:v>15.47</c:v>
                </c:pt>
                <c:pt idx="4" formatCode="General">
                  <c:v>14</c:v>
                </c:pt>
                <c:pt idx="5" formatCode="General">
                  <c:v>16</c:v>
                </c:pt>
                <c:pt idx="6" formatCode="General">
                  <c:v>16.350000000000001</c:v>
                </c:pt>
              </c:numCache>
            </c:numRef>
          </c:val>
        </c:ser>
        <c:ser>
          <c:idx val="1"/>
          <c:order val="1"/>
          <c:tx>
            <c:strRef>
              <c:f>Sheet1!$A$3</c:f>
              <c:strCache>
                <c:ptCount val="1"/>
                <c:pt idx="0">
                  <c:v>Target</c:v>
                </c:pt>
              </c:strCache>
            </c:strRef>
          </c:tx>
          <c:spPr>
            <a:solidFill>
              <a:srgbClr val="9999FF"/>
            </a:solidFill>
            <a:ln w="12565">
              <a:solidFill>
                <a:srgbClr val="000000"/>
              </a:solidFill>
              <a:prstDash val="solid"/>
            </a:ln>
          </c:spPr>
          <c:dLbls>
            <c:dLbl>
              <c:idx val="2"/>
              <c:layout>
                <c:manualLayout>
                  <c:x val="0.60819203404141964"/>
                  <c:y val="-0.17712353752391122"/>
                </c:manualLayout>
              </c:layout>
              <c:showVal val="1"/>
            </c:dLbl>
            <c:dLbl>
              <c:idx val="3"/>
              <c:layout>
                <c:manualLayout>
                  <c:x val="0.44359162604775804"/>
                  <c:y val="-0.17712353752391122"/>
                </c:manualLayout>
              </c:layout>
              <c:showVal val="1"/>
            </c:dLbl>
            <c:dLbl>
              <c:idx val="4"/>
              <c:layout>
                <c:manualLayout>
                  <c:x val="1.3073236043847664E-2"/>
                  <c:y val="-0.17712353752391122"/>
                </c:manualLayout>
              </c:layout>
              <c:showVal val="1"/>
            </c:dLbl>
            <c:dLbl>
              <c:idx val="5"/>
              <c:layout>
                <c:manualLayout>
                  <c:x val="0.27918443853707831"/>
                  <c:y val="-0.17712353752391122"/>
                </c:manualLayout>
              </c:layout>
              <c:showVal val="1"/>
            </c:dLbl>
            <c:dLbl>
              <c:idx val="6"/>
              <c:layout>
                <c:manualLayout>
                  <c:x val="1.1604173540287848E-3"/>
                  <c:y val="-1.1985837715988641E-2"/>
                </c:manualLayout>
              </c:layout>
              <c:showVal val="1"/>
            </c:dLbl>
            <c:dLbl>
              <c:idx val="7"/>
              <c:layout>
                <c:manualLayout>
                  <c:x val="1.3540168510047944E-3"/>
                  <c:y val="-1.1985837715988641E-2"/>
                </c:manualLayout>
              </c:layout>
              <c:showVal val="1"/>
            </c:dLbl>
            <c:dLbl>
              <c:idx val="8"/>
              <c:layout>
                <c:manualLayout>
                  <c:x val="9.0378740381057247E-3"/>
                  <c:y val="-1.27922344040281E-3"/>
                </c:manualLayout>
              </c:layout>
              <c:showVal val="1"/>
            </c:dLbl>
            <c:spPr>
              <a:noFill/>
              <a:ln w="25130">
                <a:noFill/>
              </a:ln>
            </c:spPr>
            <c:txPr>
              <a:bodyPr/>
              <a:lstStyle/>
              <a:p>
                <a:pPr>
                  <a:defRPr sz="791" b="1" i="0" u="none" strike="noStrike" baseline="0">
                    <a:solidFill>
                      <a:srgbClr val="000000"/>
                    </a:solidFill>
                    <a:latin typeface="Arial"/>
                    <a:ea typeface="Arial"/>
                    <a:cs typeface="Arial"/>
                  </a:defRPr>
                </a:pPr>
                <a:endParaRPr lang="en-US"/>
              </a:p>
            </c:txPr>
            <c:showVal val="1"/>
          </c:dLbls>
          <c:cat>
            <c:strRef>
              <c:f>Sheet1!$B$1:$J$1</c:f>
              <c:strCache>
                <c:ptCount val="9"/>
                <c:pt idx="0">
                  <c:v>FY05</c:v>
                </c:pt>
                <c:pt idx="1">
                  <c:v>FY06</c:v>
                </c:pt>
                <c:pt idx="2">
                  <c:v>FY07</c:v>
                </c:pt>
                <c:pt idx="3">
                  <c:v>FY08</c:v>
                </c:pt>
                <c:pt idx="4">
                  <c:v>FY09</c:v>
                </c:pt>
                <c:pt idx="5">
                  <c:v>FY10</c:v>
                </c:pt>
                <c:pt idx="6">
                  <c:v>FY11</c:v>
                </c:pt>
                <c:pt idx="7">
                  <c:v>FY12</c:v>
                </c:pt>
                <c:pt idx="8">
                  <c:v>FY13</c:v>
                </c:pt>
              </c:strCache>
            </c:strRef>
          </c:cat>
          <c:val>
            <c:numRef>
              <c:f>Sheet1!$B$3:$J$3</c:f>
              <c:numCache>
                <c:formatCode>General</c:formatCode>
                <c:ptCount val="9"/>
                <c:pt idx="7">
                  <c:v>12</c:v>
                </c:pt>
                <c:pt idx="8">
                  <c:v>12</c:v>
                </c:pt>
              </c:numCache>
            </c:numRef>
          </c:val>
        </c:ser>
        <c:dLbls>
          <c:showVal val="1"/>
        </c:dLbls>
        <c:gapDepth val="0"/>
        <c:shape val="box"/>
        <c:axId val="110904064"/>
        <c:axId val="110905600"/>
        <c:axId val="0"/>
      </c:bar3DChart>
      <c:catAx>
        <c:axId val="110904064"/>
        <c:scaling>
          <c:orientation val="minMax"/>
        </c:scaling>
        <c:axPos val="b"/>
        <c:numFmt formatCode="General" sourceLinked="1"/>
        <c:tickLblPos val="low"/>
        <c:spPr>
          <a:ln w="3141">
            <a:solidFill>
              <a:srgbClr val="000000"/>
            </a:solidFill>
            <a:prstDash val="solid"/>
          </a:ln>
        </c:spPr>
        <c:txPr>
          <a:bodyPr rot="0" vert="horz"/>
          <a:lstStyle/>
          <a:p>
            <a:pPr>
              <a:defRPr sz="618" b="1" i="0" u="none" strike="noStrike" baseline="0">
                <a:solidFill>
                  <a:srgbClr val="000000"/>
                </a:solidFill>
                <a:latin typeface="Arial"/>
                <a:ea typeface="Arial"/>
                <a:cs typeface="Arial"/>
              </a:defRPr>
            </a:pPr>
            <a:endParaRPr lang="en-US"/>
          </a:p>
        </c:txPr>
        <c:crossAx val="110905600"/>
        <c:crosses val="autoZero"/>
        <c:auto val="1"/>
        <c:lblAlgn val="ctr"/>
        <c:lblOffset val="100"/>
        <c:tickLblSkip val="2"/>
        <c:tickMarkSkip val="1"/>
      </c:catAx>
      <c:valAx>
        <c:axId val="110905600"/>
        <c:scaling>
          <c:orientation val="minMax"/>
          <c:max val="20"/>
          <c:min val="0"/>
        </c:scaling>
        <c:axPos val="l"/>
        <c:numFmt formatCode="General" sourceLinked="1"/>
        <c:tickLblPos val="nextTo"/>
        <c:spPr>
          <a:ln w="3141">
            <a:solidFill>
              <a:srgbClr val="000000"/>
            </a:solidFill>
            <a:prstDash val="solid"/>
          </a:ln>
        </c:spPr>
        <c:txPr>
          <a:bodyPr rot="0" vert="horz"/>
          <a:lstStyle/>
          <a:p>
            <a:pPr>
              <a:defRPr sz="618" b="1" i="0" u="none" strike="noStrike" baseline="0">
                <a:solidFill>
                  <a:srgbClr val="000000"/>
                </a:solidFill>
                <a:latin typeface="Arial"/>
                <a:ea typeface="Arial"/>
                <a:cs typeface="Arial"/>
              </a:defRPr>
            </a:pPr>
            <a:endParaRPr lang="en-US"/>
          </a:p>
        </c:txPr>
        <c:crossAx val="110904064"/>
        <c:crosses val="autoZero"/>
        <c:crossBetween val="between"/>
        <c:minorUnit val="50"/>
      </c:valAx>
      <c:spPr>
        <a:noFill/>
        <a:ln w="25130">
          <a:noFill/>
        </a:ln>
      </c:spPr>
    </c:plotArea>
    <c:legend>
      <c:legendPos val="r"/>
      <c:layout>
        <c:manualLayout>
          <c:xMode val="edge"/>
          <c:yMode val="edge"/>
          <c:x val="0.31086142322097826"/>
          <c:y val="0.89380530973451322"/>
          <c:w val="0.38576779026217534"/>
          <c:h val="8.8495575221238867E-2"/>
        </c:manualLayout>
      </c:layout>
      <c:spPr>
        <a:noFill/>
        <a:ln w="25129">
          <a:noFill/>
        </a:ln>
      </c:spPr>
      <c:txPr>
        <a:bodyPr/>
        <a:lstStyle/>
        <a:p>
          <a:pPr>
            <a:defRPr sz="72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91" b="1"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85" b="1" i="0" u="none" strike="noStrike" baseline="0">
                <a:solidFill>
                  <a:srgbClr val="000000"/>
                </a:solidFill>
                <a:latin typeface="Arial"/>
                <a:ea typeface="Arial"/>
                <a:cs typeface="Arial"/>
              </a:defRPr>
            </a:pPr>
            <a:r>
              <a:rPr lang="en-US"/>
              <a:t>CPOT-linked DTOs disrupted</a:t>
            </a:r>
          </a:p>
        </c:rich>
      </c:tx>
      <c:layout>
        <c:manualLayout>
          <c:xMode val="edge"/>
          <c:yMode val="edge"/>
          <c:x val="0.22424828475388078"/>
          <c:y val="3.3654073057381592E-2"/>
        </c:manualLayout>
      </c:layout>
      <c:spPr>
        <a:noFill/>
        <a:ln w="24935">
          <a:noFill/>
        </a:ln>
      </c:spPr>
    </c:title>
    <c:view3D>
      <c:hPercent val="56"/>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2142857142857142E-2"/>
          <c:y val="0.22115384615384615"/>
          <c:w val="0.87500000000000921"/>
          <c:h val="0.55288461538461564"/>
        </c:manualLayout>
      </c:layout>
      <c:bar3DChart>
        <c:barDir val="col"/>
        <c:grouping val="clustered"/>
        <c:ser>
          <c:idx val="0"/>
          <c:order val="0"/>
          <c:tx>
            <c:strRef>
              <c:f>Sheet1!$A$2</c:f>
              <c:strCache>
                <c:ptCount val="1"/>
                <c:pt idx="0">
                  <c:v>Actual</c:v>
                </c:pt>
              </c:strCache>
            </c:strRef>
          </c:tx>
          <c:spPr>
            <a:solidFill>
              <a:srgbClr val="993366"/>
            </a:solidFill>
            <a:ln w="12467">
              <a:solidFill>
                <a:srgbClr val="000000"/>
              </a:solidFill>
              <a:prstDash val="solid"/>
            </a:ln>
          </c:spPr>
          <c:dLbls>
            <c:dLbl>
              <c:idx val="0"/>
              <c:layout>
                <c:manualLayout>
                  <c:x val="-1.7411918337793969E-3"/>
                  <c:y val="-1.1985285537261301E-2"/>
                </c:manualLayout>
              </c:layout>
              <c:showVal val="1"/>
            </c:dLbl>
            <c:dLbl>
              <c:idx val="1"/>
              <c:layout>
                <c:manualLayout>
                  <c:x val="-1.3651293588301474E-2"/>
                  <c:y val="-1.7444274343970927E-2"/>
                </c:manualLayout>
              </c:layout>
              <c:showVal val="1"/>
            </c:dLbl>
            <c:dLbl>
              <c:idx val="2"/>
              <c:layout>
                <c:manualLayout>
                  <c:x val="-1.4846747604825241E-2"/>
                  <c:y val="9.6084246967366223E-3"/>
                </c:manualLayout>
              </c:layout>
              <c:showVal val="1"/>
            </c:dLbl>
            <c:dLbl>
              <c:idx val="3"/>
              <c:layout>
                <c:manualLayout>
                  <c:x val="-5.3282779307758394E-3"/>
                  <c:y val="3.1708981860682217E-3"/>
                </c:manualLayout>
              </c:layout>
              <c:showVal val="1"/>
            </c:dLbl>
            <c:dLbl>
              <c:idx val="4"/>
              <c:layout>
                <c:manualLayout>
                  <c:x val="-6.5240939710121734E-3"/>
                  <c:y val="-2.2880906206414362E-3"/>
                </c:manualLayout>
              </c:layout>
              <c:showVal val="1"/>
            </c:dLbl>
            <c:dLbl>
              <c:idx val="5"/>
              <c:layout>
                <c:manualLayout>
                  <c:x val="-4.148481439819939E-3"/>
                  <c:y val="-4.5692213226347454E-3"/>
                </c:manualLayout>
              </c:layout>
              <c:showVal val="1"/>
            </c:dLbl>
            <c:dLbl>
              <c:idx val="6"/>
              <c:layout>
                <c:manualLayout>
                  <c:x val="-5.3442974800564534E-3"/>
                  <c:y val="-1.4917712738271836E-2"/>
                </c:manualLayout>
              </c:layout>
              <c:showVal val="1"/>
            </c:dLbl>
            <c:dLbl>
              <c:idx val="7"/>
              <c:layout>
                <c:manualLayout>
                  <c:x val="-6.5401135202925514E-3"/>
                  <c:y val="-1.2718392337513908E-2"/>
                </c:manualLayout>
              </c:layout>
              <c:showVal val="1"/>
            </c:dLbl>
            <c:dLbl>
              <c:idx val="8"/>
              <c:layout>
                <c:manualLayout>
                  <c:x val="-5.9307241767197994E-4"/>
                  <c:y val="-1.3451499137766621E-2"/>
                </c:manualLayout>
              </c:layout>
              <c:showVal val="1"/>
            </c:dLbl>
            <c:spPr>
              <a:noFill/>
              <a:ln w="24935">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Sheet1!$B$1:$M$1</c:f>
              <c:strCache>
                <c:ptCount val="12"/>
                <c:pt idx="0">
                  <c:v>FY02</c:v>
                </c:pt>
                <c:pt idx="1">
                  <c:v>FY03</c:v>
                </c:pt>
                <c:pt idx="2">
                  <c:v>FY04</c:v>
                </c:pt>
                <c:pt idx="3">
                  <c:v>FY05</c:v>
                </c:pt>
                <c:pt idx="4">
                  <c:v>FY06</c:v>
                </c:pt>
                <c:pt idx="5">
                  <c:v>FY07</c:v>
                </c:pt>
                <c:pt idx="6">
                  <c:v>FY08</c:v>
                </c:pt>
                <c:pt idx="7">
                  <c:v>FY09</c:v>
                </c:pt>
                <c:pt idx="8">
                  <c:v>FY10</c:v>
                </c:pt>
                <c:pt idx="9">
                  <c:v>FY11</c:v>
                </c:pt>
                <c:pt idx="10">
                  <c:v>FY12</c:v>
                </c:pt>
                <c:pt idx="11">
                  <c:v>FY13</c:v>
                </c:pt>
              </c:strCache>
            </c:strRef>
          </c:cat>
          <c:val>
            <c:numRef>
              <c:f>Sheet1!$B$2:$M$2</c:f>
              <c:numCache>
                <c:formatCode>General</c:formatCode>
                <c:ptCount val="12"/>
                <c:pt idx="0">
                  <c:v>30</c:v>
                </c:pt>
                <c:pt idx="1">
                  <c:v>41</c:v>
                </c:pt>
                <c:pt idx="2">
                  <c:v>27</c:v>
                </c:pt>
                <c:pt idx="3">
                  <c:v>25</c:v>
                </c:pt>
                <c:pt idx="4">
                  <c:v>36</c:v>
                </c:pt>
                <c:pt idx="5">
                  <c:v>45</c:v>
                </c:pt>
                <c:pt idx="6">
                  <c:v>50</c:v>
                </c:pt>
                <c:pt idx="7">
                  <c:v>35</c:v>
                </c:pt>
                <c:pt idx="8">
                  <c:v>40</c:v>
                </c:pt>
                <c:pt idx="9">
                  <c:v>50</c:v>
                </c:pt>
              </c:numCache>
            </c:numRef>
          </c:val>
        </c:ser>
        <c:ser>
          <c:idx val="1"/>
          <c:order val="1"/>
          <c:tx>
            <c:strRef>
              <c:f>Sheet1!$A$3</c:f>
              <c:strCache>
                <c:ptCount val="1"/>
                <c:pt idx="0">
                  <c:v>Target</c:v>
                </c:pt>
              </c:strCache>
            </c:strRef>
          </c:tx>
          <c:spPr>
            <a:solidFill>
              <a:srgbClr val="9999FF"/>
            </a:solidFill>
            <a:ln w="12467">
              <a:solidFill>
                <a:srgbClr val="000000"/>
              </a:solidFill>
              <a:prstDash val="solid"/>
            </a:ln>
          </c:spPr>
          <c:dLbls>
            <c:dLbl>
              <c:idx val="0"/>
              <c:layout>
                <c:manualLayout>
                  <c:x val="0.70399983191756565"/>
                  <c:y val="-0.14953309735365647"/>
                </c:manualLayout>
              </c:layout>
              <c:showVal val="1"/>
            </c:dLbl>
            <c:dLbl>
              <c:idx val="1"/>
              <c:layout>
                <c:manualLayout>
                  <c:x val="0.63137544444876603"/>
                  <c:y val="-0.14953309735365647"/>
                </c:manualLayout>
              </c:layout>
              <c:showVal val="1"/>
            </c:dLbl>
            <c:dLbl>
              <c:idx val="2"/>
              <c:layout>
                <c:manualLayout>
                  <c:x val="0.64446534269423261"/>
                  <c:y val="-0.14953309735365647"/>
                </c:manualLayout>
              </c:layout>
              <c:showVal val="1"/>
            </c:dLbl>
            <c:dLbl>
              <c:idx val="3"/>
              <c:layout>
                <c:manualLayout>
                  <c:x val="0.55755524093971021"/>
                  <c:y val="-0.14953309735365647"/>
                </c:manualLayout>
              </c:layout>
              <c:showVal val="1"/>
            </c:dLbl>
            <c:dLbl>
              <c:idx val="4"/>
              <c:layout>
                <c:manualLayout>
                  <c:x val="0.18493085347090607"/>
                  <c:y val="-0.14953309735365647"/>
                </c:manualLayout>
              </c:layout>
              <c:showVal val="1"/>
            </c:dLbl>
            <c:dLbl>
              <c:idx val="5"/>
              <c:layout>
                <c:manualLayout>
                  <c:x val="0.48373503743066593"/>
                  <c:y val="-0.14953309735365647"/>
                </c:manualLayout>
              </c:layout>
              <c:showVal val="1"/>
            </c:dLbl>
            <c:dLbl>
              <c:idx val="6"/>
              <c:layout>
                <c:manualLayout>
                  <c:x val="0.39682493567615418"/>
                  <c:y val="-0.14953309735365647"/>
                </c:manualLayout>
              </c:layout>
              <c:showVal val="1"/>
            </c:dLbl>
            <c:dLbl>
              <c:idx val="7"/>
              <c:layout>
                <c:manualLayout>
                  <c:x val="0.32420054820733635"/>
                  <c:y val="-0.14953309735365647"/>
                </c:manualLayout>
              </c:layout>
              <c:showVal val="1"/>
            </c:dLbl>
            <c:dLbl>
              <c:idx val="8"/>
              <c:layout>
                <c:manualLayout>
                  <c:x val="8.7190178813856701E-3"/>
                  <c:y val="-0.14953309735365647"/>
                </c:manualLayout>
              </c:layout>
              <c:showVal val="1"/>
            </c:dLbl>
            <c:dLbl>
              <c:idx val="9"/>
              <c:layout>
                <c:manualLayout>
                  <c:x val="-5.9967935042614035E-4"/>
                  <c:y val="-1.1985285537261301E-2"/>
                </c:manualLayout>
              </c:layout>
              <c:showVal val="1"/>
            </c:dLbl>
            <c:dLbl>
              <c:idx val="10"/>
              <c:layout>
                <c:manualLayout>
                  <c:x val="-5.3669239620908983E-3"/>
                  <c:y val="-1.1985285537261301E-2"/>
                </c:manualLayout>
              </c:layout>
              <c:showVal val="1"/>
            </c:dLbl>
            <c:dLbl>
              <c:idx val="11"/>
              <c:layout>
                <c:manualLayout>
                  <c:x val="7.7229742833868952E-3"/>
                  <c:y val="-7.1775932295690438E-3"/>
                </c:manualLayout>
              </c:layout>
              <c:showVal val="1"/>
            </c:dLbl>
            <c:spPr>
              <a:noFill/>
              <a:ln w="24935">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Sheet1!$B$1:$M$1</c:f>
              <c:strCache>
                <c:ptCount val="12"/>
                <c:pt idx="0">
                  <c:v>FY02</c:v>
                </c:pt>
                <c:pt idx="1">
                  <c:v>FY03</c:v>
                </c:pt>
                <c:pt idx="2">
                  <c:v>FY04</c:v>
                </c:pt>
                <c:pt idx="3">
                  <c:v>FY05</c:v>
                </c:pt>
                <c:pt idx="4">
                  <c:v>FY06</c:v>
                </c:pt>
                <c:pt idx="5">
                  <c:v>FY07</c:v>
                </c:pt>
                <c:pt idx="6">
                  <c:v>FY08</c:v>
                </c:pt>
                <c:pt idx="7">
                  <c:v>FY09</c:v>
                </c:pt>
                <c:pt idx="8">
                  <c:v>FY10</c:v>
                </c:pt>
                <c:pt idx="9">
                  <c:v>FY11</c:v>
                </c:pt>
                <c:pt idx="10">
                  <c:v>FY12</c:v>
                </c:pt>
                <c:pt idx="11">
                  <c:v>FY13</c:v>
                </c:pt>
              </c:strCache>
            </c:strRef>
          </c:cat>
          <c:val>
            <c:numRef>
              <c:f>Sheet1!$B$3:$M$3</c:f>
              <c:numCache>
                <c:formatCode>General</c:formatCode>
                <c:ptCount val="12"/>
                <c:pt idx="10">
                  <c:v>30</c:v>
                </c:pt>
                <c:pt idx="11">
                  <c:v>30</c:v>
                </c:pt>
              </c:numCache>
            </c:numRef>
          </c:val>
        </c:ser>
        <c:dLbls>
          <c:showVal val="1"/>
        </c:dLbls>
        <c:gapDepth val="0"/>
        <c:shape val="box"/>
        <c:axId val="111243264"/>
        <c:axId val="111244800"/>
        <c:axId val="0"/>
      </c:bar3DChart>
      <c:catAx>
        <c:axId val="111243264"/>
        <c:scaling>
          <c:orientation val="minMax"/>
        </c:scaling>
        <c:axPos val="b"/>
        <c:numFmt formatCode="General" sourceLinked="1"/>
        <c:tickLblPos val="low"/>
        <c:spPr>
          <a:ln w="3117">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111244800"/>
        <c:crosses val="autoZero"/>
        <c:auto val="1"/>
        <c:lblAlgn val="ctr"/>
        <c:lblOffset val="100"/>
        <c:tickLblSkip val="2"/>
        <c:tickMarkSkip val="1"/>
      </c:catAx>
      <c:valAx>
        <c:axId val="111244800"/>
        <c:scaling>
          <c:orientation val="minMax"/>
        </c:scaling>
        <c:axPos val="l"/>
        <c:numFmt formatCode="General" sourceLinked="1"/>
        <c:tickLblPos val="nextTo"/>
        <c:spPr>
          <a:ln w="3117">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111243264"/>
        <c:crosses val="autoZero"/>
        <c:crossBetween val="between"/>
      </c:valAx>
      <c:spPr>
        <a:noFill/>
        <a:ln w="24935">
          <a:noFill/>
        </a:ln>
      </c:spPr>
    </c:plotArea>
    <c:legend>
      <c:legendPos val="b"/>
      <c:layout>
        <c:manualLayout>
          <c:xMode val="edge"/>
          <c:yMode val="edge"/>
          <c:x val="0.22142857142857117"/>
          <c:y val="0.88461538461538469"/>
          <c:w val="0.53214285714285769"/>
          <c:h val="0.11538461538461532"/>
        </c:manualLayout>
      </c:layout>
      <c:spPr>
        <a:noFill/>
        <a:ln w="24935">
          <a:noFill/>
        </a:ln>
      </c:spPr>
      <c:txPr>
        <a:bodyPr/>
        <a:lstStyle/>
        <a:p>
          <a:pPr>
            <a:defRPr sz="628"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85" b="1"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3" b="1" i="0" u="none" strike="noStrike" baseline="0">
                <a:solidFill>
                  <a:srgbClr val="000000"/>
                </a:solidFill>
                <a:latin typeface="Arial"/>
                <a:ea typeface="Arial"/>
                <a:cs typeface="Arial"/>
              </a:defRPr>
            </a:pPr>
            <a:r>
              <a:rPr lang="en-US"/>
              <a:t>CPOT-linked DTOs dismantled</a:t>
            </a:r>
          </a:p>
        </c:rich>
      </c:tx>
      <c:layout>
        <c:manualLayout>
          <c:xMode val="edge"/>
          <c:yMode val="edge"/>
          <c:x val="0.19615060707339638"/>
          <c:y val="4.3716148384677717E-2"/>
        </c:manualLayout>
      </c:layout>
      <c:spPr>
        <a:noFill/>
        <a:ln w="25170">
          <a:noFill/>
        </a:ln>
      </c:spPr>
    </c:title>
    <c:view3D>
      <c:hPercent val="67"/>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4626865671641784E-2"/>
          <c:y val="0.15311004784689444"/>
          <c:w val="0.85074626865671665"/>
          <c:h val="0.63636363636364668"/>
        </c:manualLayout>
      </c:layout>
      <c:bar3DChart>
        <c:barDir val="col"/>
        <c:grouping val="clustered"/>
        <c:ser>
          <c:idx val="2"/>
          <c:order val="0"/>
          <c:tx>
            <c:strRef>
              <c:f>Sheet1!$A$2</c:f>
              <c:strCache>
                <c:ptCount val="1"/>
                <c:pt idx="0">
                  <c:v>Actual</c:v>
                </c:pt>
              </c:strCache>
            </c:strRef>
          </c:tx>
          <c:spPr>
            <a:solidFill>
              <a:srgbClr val="993366"/>
            </a:solidFill>
            <a:ln w="12586">
              <a:solidFill>
                <a:srgbClr val="000000"/>
              </a:solidFill>
              <a:prstDash val="solid"/>
            </a:ln>
          </c:spPr>
          <c:dLbls>
            <c:dLbl>
              <c:idx val="0"/>
              <c:layout>
                <c:manualLayout>
                  <c:x val="-4.8939745841122383E-3"/>
                  <c:y val="-3.15967353395894E-3"/>
                </c:manualLayout>
              </c:layout>
              <c:showVal val="1"/>
            </c:dLbl>
            <c:dLbl>
              <c:idx val="1"/>
              <c:layout>
                <c:manualLayout>
                  <c:x val="1.263241375403614E-3"/>
                  <c:y val="5.9535708721341514E-3"/>
                </c:manualLayout>
              </c:layout>
              <c:showVal val="1"/>
            </c:dLbl>
            <c:dLbl>
              <c:idx val="2"/>
              <c:layout>
                <c:manualLayout>
                  <c:x val="1.0086670820823656E-2"/>
                  <c:y val="-3.6289984299907806E-4"/>
                </c:manualLayout>
              </c:layout>
              <c:showVal val="1"/>
            </c:dLbl>
            <c:dLbl>
              <c:idx val="3"/>
              <c:layout>
                <c:manualLayout>
                  <c:x val="-1.040351970392186E-2"/>
                  <c:y val="-4.5278586751998483E-3"/>
                </c:manualLayout>
              </c:layout>
              <c:showVal val="1"/>
            </c:dLbl>
            <c:dLbl>
              <c:idx val="4"/>
              <c:layout>
                <c:manualLayout>
                  <c:x val="-2.1163541607658754E-3"/>
                  <c:y val="-3.15967353395894E-3"/>
                </c:manualLayout>
              </c:layout>
              <c:showVal val="1"/>
            </c:dLbl>
            <c:dLbl>
              <c:idx val="5"/>
              <c:layout>
                <c:manualLayout>
                  <c:x val="-7.5530127079440003E-4"/>
                  <c:y val="-3.3878641882094098E-3"/>
                </c:manualLayout>
              </c:layout>
              <c:showVal val="1"/>
            </c:dLbl>
            <c:dLbl>
              <c:idx val="6"/>
              <c:layout>
                <c:manualLayout>
                  <c:x val="-4.190411450367265E-3"/>
                  <c:y val="9.4056736058679958E-4"/>
                </c:manualLayout>
              </c:layout>
              <c:showVal val="1"/>
            </c:dLbl>
            <c:dLbl>
              <c:idx val="7"/>
              <c:layout>
                <c:manualLayout>
                  <c:x val="-5.4959496969353904E-3"/>
                  <c:y val="1.6246599312072765E-3"/>
                </c:manualLayout>
              </c:layout>
              <c:showVal val="1"/>
            </c:dLbl>
            <c:dLbl>
              <c:idx val="8"/>
              <c:layout>
                <c:manualLayout>
                  <c:x val="9.1886176098491291E-3"/>
                  <c:y val="-2.7037716175889867E-3"/>
                </c:manualLayout>
              </c:layout>
              <c:showVal val="1"/>
            </c:dLbl>
            <c:dLbl>
              <c:idx val="9"/>
              <c:layout>
                <c:manualLayout>
                  <c:x val="-1.1726052229084011E-3"/>
                  <c:y val="-6.169776723115092E-4"/>
                </c:manualLayout>
              </c:layout>
              <c:showVal val="1"/>
            </c:dLbl>
            <c:spPr>
              <a:noFill/>
              <a:ln w="25170">
                <a:noFill/>
              </a:ln>
            </c:spPr>
            <c:txPr>
              <a:bodyPr/>
              <a:lstStyle/>
              <a:p>
                <a:pPr>
                  <a:defRPr sz="793" b="1" i="0" u="none" strike="noStrike" baseline="0">
                    <a:solidFill>
                      <a:srgbClr val="000000"/>
                    </a:solidFill>
                    <a:latin typeface="Arial"/>
                    <a:ea typeface="Arial"/>
                    <a:cs typeface="Arial"/>
                  </a:defRPr>
                </a:pPr>
                <a:endParaRPr lang="en-US"/>
              </a:p>
            </c:txPr>
            <c:showVal val="1"/>
          </c:dLbls>
          <c:cat>
            <c:strRef>
              <c:f>Sheet1!$B$1:$N$1</c:f>
              <c:strCache>
                <c:ptCount val="13"/>
                <c:pt idx="0">
                  <c:v>FY01 </c:v>
                </c:pt>
                <c:pt idx="1">
                  <c:v>FY02</c:v>
                </c:pt>
                <c:pt idx="2">
                  <c:v>FY03</c:v>
                </c:pt>
                <c:pt idx="3">
                  <c:v>FY04</c:v>
                </c:pt>
                <c:pt idx="4">
                  <c:v>FY05</c:v>
                </c:pt>
                <c:pt idx="5">
                  <c:v>FY06</c:v>
                </c:pt>
                <c:pt idx="6">
                  <c:v>FY07</c:v>
                </c:pt>
                <c:pt idx="7">
                  <c:v>FY08</c:v>
                </c:pt>
                <c:pt idx="8">
                  <c:v>FY09</c:v>
                </c:pt>
                <c:pt idx="9">
                  <c:v>FY10</c:v>
                </c:pt>
                <c:pt idx="10">
                  <c:v>FY11</c:v>
                </c:pt>
                <c:pt idx="11">
                  <c:v>FY12</c:v>
                </c:pt>
                <c:pt idx="12">
                  <c:v>FY13</c:v>
                </c:pt>
              </c:strCache>
            </c:strRef>
          </c:cat>
          <c:val>
            <c:numRef>
              <c:f>Sheet1!$B$2:$N$2</c:f>
              <c:numCache>
                <c:formatCode>General</c:formatCode>
                <c:ptCount val="13"/>
                <c:pt idx="0">
                  <c:v>18</c:v>
                </c:pt>
                <c:pt idx="1">
                  <c:v>16</c:v>
                </c:pt>
                <c:pt idx="2">
                  <c:v>15</c:v>
                </c:pt>
                <c:pt idx="3">
                  <c:v>12</c:v>
                </c:pt>
                <c:pt idx="4">
                  <c:v>18</c:v>
                </c:pt>
                <c:pt idx="5">
                  <c:v>17</c:v>
                </c:pt>
                <c:pt idx="6">
                  <c:v>15</c:v>
                </c:pt>
                <c:pt idx="7">
                  <c:v>18</c:v>
                </c:pt>
                <c:pt idx="8">
                  <c:v>20</c:v>
                </c:pt>
                <c:pt idx="9">
                  <c:v>12</c:v>
                </c:pt>
                <c:pt idx="10">
                  <c:v>22</c:v>
                </c:pt>
              </c:numCache>
            </c:numRef>
          </c:val>
        </c:ser>
        <c:ser>
          <c:idx val="1"/>
          <c:order val="1"/>
          <c:tx>
            <c:strRef>
              <c:f>Sheet1!$A$3</c:f>
              <c:strCache>
                <c:ptCount val="1"/>
                <c:pt idx="0">
                  <c:v>Target</c:v>
                </c:pt>
              </c:strCache>
            </c:strRef>
          </c:tx>
          <c:spPr>
            <a:solidFill>
              <a:srgbClr val="9999FF"/>
            </a:solidFill>
            <a:ln w="12586">
              <a:solidFill>
                <a:srgbClr val="000000"/>
              </a:solidFill>
              <a:prstDash val="solid"/>
            </a:ln>
          </c:spPr>
          <c:dLbls>
            <c:dLbl>
              <c:idx val="6"/>
              <c:layout>
                <c:manualLayout>
                  <c:x val="0.42832797999467864"/>
                  <c:y val="-8.2903198743992726E-2"/>
                </c:manualLayout>
              </c:layout>
              <c:showVal val="1"/>
            </c:dLbl>
            <c:dLbl>
              <c:idx val="7"/>
              <c:layout>
                <c:manualLayout>
                  <c:x val="0.34386819654630035"/>
                  <c:y val="-8.2903198743992726E-2"/>
                </c:manualLayout>
              </c:layout>
              <c:showVal val="1"/>
            </c:dLbl>
            <c:dLbl>
              <c:idx val="8"/>
              <c:layout>
                <c:manualLayout>
                  <c:x val="-0.63611397496176258"/>
                  <c:y val="-8.2903198743992726E-2"/>
                </c:manualLayout>
              </c:layout>
              <c:showVal val="1"/>
            </c:dLbl>
            <c:dLbl>
              <c:idx val="9"/>
              <c:layout>
                <c:manualLayout>
                  <c:x val="0.13763519681375577"/>
                  <c:y val="-8.2903198743992726E-2"/>
                </c:manualLayout>
              </c:layout>
              <c:showVal val="1"/>
            </c:dLbl>
            <c:dLbl>
              <c:idx val="10"/>
              <c:layout>
                <c:manualLayout>
                  <c:x val="-1.5046362252071406E-2"/>
                  <c:y val="5.7254627926050343E-3"/>
                </c:manualLayout>
              </c:layout>
              <c:showVal val="1"/>
            </c:dLbl>
            <c:dLbl>
              <c:idx val="11"/>
              <c:layout>
                <c:manualLayout>
                  <c:x val="-1.9634056534300181E-3"/>
                  <c:y val="1.0510193075180673E-2"/>
                </c:manualLayout>
              </c:layout>
              <c:showVal val="1"/>
            </c:dLbl>
            <c:dLbl>
              <c:idx val="12"/>
              <c:layout>
                <c:manualLayout>
                  <c:x val="4.1938103060858356E-3"/>
                  <c:y val="1.529500593247762E-2"/>
                </c:manualLayout>
              </c:layout>
              <c:showVal val="1"/>
            </c:dLbl>
            <c:spPr>
              <a:noFill/>
              <a:ln w="25170">
                <a:noFill/>
              </a:ln>
            </c:spPr>
            <c:txPr>
              <a:bodyPr/>
              <a:lstStyle/>
              <a:p>
                <a:pPr>
                  <a:defRPr sz="793" b="1" i="0" u="none" strike="noStrike" baseline="0">
                    <a:solidFill>
                      <a:srgbClr val="000000"/>
                    </a:solidFill>
                    <a:latin typeface="Arial"/>
                    <a:ea typeface="Arial"/>
                    <a:cs typeface="Arial"/>
                  </a:defRPr>
                </a:pPr>
                <a:endParaRPr lang="en-US"/>
              </a:p>
            </c:txPr>
            <c:showVal val="1"/>
          </c:dLbls>
          <c:cat>
            <c:strRef>
              <c:f>Sheet1!$B$1:$N$1</c:f>
              <c:strCache>
                <c:ptCount val="13"/>
                <c:pt idx="0">
                  <c:v>FY01 </c:v>
                </c:pt>
                <c:pt idx="1">
                  <c:v>FY02</c:v>
                </c:pt>
                <c:pt idx="2">
                  <c:v>FY03</c:v>
                </c:pt>
                <c:pt idx="3">
                  <c:v>FY04</c:v>
                </c:pt>
                <c:pt idx="4">
                  <c:v>FY05</c:v>
                </c:pt>
                <c:pt idx="5">
                  <c:v>FY06</c:v>
                </c:pt>
                <c:pt idx="6">
                  <c:v>FY07</c:v>
                </c:pt>
                <c:pt idx="7">
                  <c:v>FY08</c:v>
                </c:pt>
                <c:pt idx="8">
                  <c:v>FY09</c:v>
                </c:pt>
                <c:pt idx="9">
                  <c:v>FY10</c:v>
                </c:pt>
                <c:pt idx="10">
                  <c:v>FY11</c:v>
                </c:pt>
                <c:pt idx="11">
                  <c:v>FY12</c:v>
                </c:pt>
                <c:pt idx="12">
                  <c:v>FY13</c:v>
                </c:pt>
              </c:strCache>
            </c:strRef>
          </c:cat>
          <c:val>
            <c:numRef>
              <c:f>Sheet1!$B$3:$N$3</c:f>
              <c:numCache>
                <c:formatCode>General</c:formatCode>
                <c:ptCount val="13"/>
                <c:pt idx="11">
                  <c:v>15</c:v>
                </c:pt>
                <c:pt idx="12">
                  <c:v>15</c:v>
                </c:pt>
              </c:numCache>
            </c:numRef>
          </c:val>
        </c:ser>
        <c:dLbls>
          <c:showVal val="1"/>
        </c:dLbls>
        <c:gapWidth val="80"/>
        <c:gapDepth val="0"/>
        <c:shape val="box"/>
        <c:axId val="110881792"/>
        <c:axId val="111280896"/>
        <c:axId val="0"/>
      </c:bar3DChart>
      <c:catAx>
        <c:axId val="110881792"/>
        <c:scaling>
          <c:orientation val="minMax"/>
        </c:scaling>
        <c:axPos val="b"/>
        <c:numFmt formatCode="General" sourceLinked="1"/>
        <c:tickLblPos val="nextTo"/>
        <c:spPr>
          <a:ln w="3146">
            <a:solidFill>
              <a:srgbClr val="000000"/>
            </a:solidFill>
            <a:prstDash val="solid"/>
          </a:ln>
        </c:spPr>
        <c:txPr>
          <a:bodyPr rot="0" vert="horz"/>
          <a:lstStyle/>
          <a:p>
            <a:pPr>
              <a:defRPr sz="793" b="1" i="0" u="none" strike="noStrike" baseline="0">
                <a:solidFill>
                  <a:srgbClr val="000000"/>
                </a:solidFill>
                <a:latin typeface="Arial"/>
                <a:ea typeface="Arial"/>
                <a:cs typeface="Arial"/>
              </a:defRPr>
            </a:pPr>
            <a:endParaRPr lang="en-US"/>
          </a:p>
        </c:txPr>
        <c:crossAx val="111280896"/>
        <c:crosses val="autoZero"/>
        <c:auto val="1"/>
        <c:lblAlgn val="ctr"/>
        <c:lblOffset val="100"/>
        <c:tickLblSkip val="2"/>
        <c:tickMarkSkip val="1"/>
      </c:catAx>
      <c:valAx>
        <c:axId val="111280896"/>
        <c:scaling>
          <c:orientation val="minMax"/>
          <c:max val="25"/>
        </c:scaling>
        <c:axPos val="l"/>
        <c:numFmt formatCode="General" sourceLinked="1"/>
        <c:tickLblPos val="nextTo"/>
        <c:spPr>
          <a:ln w="3146">
            <a:solidFill>
              <a:srgbClr val="000000"/>
            </a:solidFill>
            <a:prstDash val="solid"/>
          </a:ln>
        </c:spPr>
        <c:txPr>
          <a:bodyPr rot="0" vert="horz"/>
          <a:lstStyle/>
          <a:p>
            <a:pPr>
              <a:defRPr sz="793" b="1" i="0" u="none" strike="noStrike" baseline="0">
                <a:solidFill>
                  <a:srgbClr val="000000"/>
                </a:solidFill>
                <a:latin typeface="Arial"/>
                <a:ea typeface="Arial"/>
                <a:cs typeface="Arial"/>
              </a:defRPr>
            </a:pPr>
            <a:endParaRPr lang="en-US"/>
          </a:p>
        </c:txPr>
        <c:crossAx val="110881792"/>
        <c:crosses val="autoZero"/>
        <c:crossBetween val="between"/>
        <c:majorUnit val="5"/>
        <c:minorUnit val="1"/>
      </c:valAx>
      <c:spPr>
        <a:noFill/>
        <a:ln w="25170">
          <a:noFill/>
        </a:ln>
      </c:spPr>
    </c:plotArea>
    <c:legend>
      <c:legendPos val="b"/>
      <c:layout>
        <c:manualLayout>
          <c:xMode val="edge"/>
          <c:yMode val="edge"/>
          <c:x val="0.32835820895522838"/>
          <c:y val="0.92344497607655562"/>
          <c:w val="0.36194029850746545"/>
          <c:h val="7.1770334928229734E-2"/>
        </c:manualLayout>
      </c:layout>
      <c:spPr>
        <a:noFill/>
        <a:ln w="25171">
          <a:noFill/>
        </a:ln>
      </c:spPr>
      <c:txPr>
        <a:bodyPr/>
        <a:lstStyle/>
        <a:p>
          <a:pPr>
            <a:defRPr sz="614"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93" b="1"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50" b="1" i="0" u="none" strike="noStrike" baseline="0">
                <a:solidFill>
                  <a:srgbClr val="000000"/>
                </a:solidFill>
                <a:latin typeface="Arial"/>
                <a:ea typeface="Arial"/>
                <a:cs typeface="Arial"/>
              </a:defRPr>
            </a:pPr>
            <a:r>
              <a:rPr lang="en-US"/>
              <a:t>Organized Criminal 
Enterprises Dismantled</a:t>
            </a:r>
          </a:p>
        </c:rich>
      </c:tx>
      <c:layout>
        <c:manualLayout>
          <c:xMode val="edge"/>
          <c:yMode val="edge"/>
          <c:x val="0.26071439994731882"/>
          <c:y val="1.990049751243805E-2"/>
        </c:manualLayout>
      </c:layout>
      <c:spPr>
        <a:noFill/>
        <a:ln w="26992">
          <a:noFill/>
        </a:ln>
      </c:spPr>
    </c:title>
    <c:view3D>
      <c:hPercent val="5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2857142857143568E-2"/>
          <c:y val="0.25373134328357699"/>
          <c:w val="0.86785714285714288"/>
          <c:h val="0.51243781094527352"/>
        </c:manualLayout>
      </c:layout>
      <c:bar3DChart>
        <c:barDir val="col"/>
        <c:grouping val="clustered"/>
        <c:ser>
          <c:idx val="0"/>
          <c:order val="0"/>
          <c:tx>
            <c:strRef>
              <c:f>Sheet1!$A$2</c:f>
              <c:strCache>
                <c:ptCount val="1"/>
                <c:pt idx="0">
                  <c:v>Actual</c:v>
                </c:pt>
              </c:strCache>
            </c:strRef>
          </c:tx>
          <c:spPr>
            <a:solidFill>
              <a:srgbClr val="993366"/>
            </a:solidFill>
            <a:ln w="13492">
              <a:solidFill>
                <a:srgbClr val="000000"/>
              </a:solidFill>
              <a:prstDash val="solid"/>
            </a:ln>
          </c:spPr>
          <c:dLbls>
            <c:dLbl>
              <c:idx val="0"/>
              <c:layout>
                <c:manualLayout>
                  <c:x val="-1.2487775657152864E-3"/>
                  <c:y val="8.3525254759889004E-4"/>
                </c:manualLayout>
              </c:layout>
              <c:showVal val="1"/>
            </c:dLbl>
            <c:dLbl>
              <c:idx val="1"/>
              <c:layout>
                <c:manualLayout>
                  <c:x val="-1.6907355711371392E-3"/>
                  <c:y val="-3.1691042582167261E-3"/>
                </c:manualLayout>
              </c:layout>
              <c:showVal val="1"/>
            </c:dLbl>
            <c:dLbl>
              <c:idx val="2"/>
              <c:layout>
                <c:manualLayout>
                  <c:x val="-2.1323314696031792E-3"/>
                  <c:y val="-4.8375862606395365E-3"/>
                </c:manualLayout>
              </c:layout>
              <c:showVal val="1"/>
            </c:dLbl>
            <c:dLbl>
              <c:idx val="3"/>
              <c:layout>
                <c:manualLayout>
                  <c:x val="9.9713909640361878E-4"/>
                  <c:y val="-5.5049790616087885E-3"/>
                </c:manualLayout>
              </c:layout>
              <c:showVal val="1"/>
            </c:dLbl>
            <c:dLbl>
              <c:idx val="4"/>
              <c:layout>
                <c:manualLayout>
                  <c:x val="4.1266096624104093E-3"/>
                  <c:y val="-7.8408538650011923E-3"/>
                </c:manualLayout>
              </c:layout>
              <c:showVal val="1"/>
            </c:dLbl>
            <c:dLbl>
              <c:idx val="5"/>
              <c:layout>
                <c:manualLayout>
                  <c:x val="1.1322308555991343E-4"/>
                  <c:y val="-4.8375862606395365E-3"/>
                </c:manualLayout>
              </c:layout>
              <c:showVal val="1"/>
            </c:dLbl>
            <c:dLbl>
              <c:idx val="6"/>
              <c:layout>
                <c:manualLayout>
                  <c:x val="3.2426936515668734E-3"/>
                  <c:y val="-7.8408538650011923E-3"/>
                </c:manualLayout>
              </c:layout>
              <c:showVal val="1"/>
            </c:dLbl>
            <c:dLbl>
              <c:idx val="7"/>
              <c:layout>
                <c:manualLayout>
                  <c:x val="-7.9135500681407431E-3"/>
                  <c:y val="-6.5060682630627515E-3"/>
                </c:manualLayout>
              </c:layout>
              <c:showVal val="1"/>
            </c:dLbl>
            <c:spPr>
              <a:noFill/>
              <a:ln w="26992">
                <a:noFill/>
              </a:ln>
            </c:spPr>
            <c:txPr>
              <a:bodyPr/>
              <a:lstStyle/>
              <a:p>
                <a:pPr>
                  <a:defRPr sz="850"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Sheet1!$B$2:$L$2</c:f>
              <c:numCache>
                <c:formatCode>General</c:formatCode>
                <c:ptCount val="11"/>
                <c:pt idx="0">
                  <c:v>17</c:v>
                </c:pt>
                <c:pt idx="1">
                  <c:v>29</c:v>
                </c:pt>
                <c:pt idx="2">
                  <c:v>34</c:v>
                </c:pt>
                <c:pt idx="3">
                  <c:v>36</c:v>
                </c:pt>
                <c:pt idx="4">
                  <c:v>43</c:v>
                </c:pt>
                <c:pt idx="5">
                  <c:v>34</c:v>
                </c:pt>
                <c:pt idx="6">
                  <c:v>43</c:v>
                </c:pt>
                <c:pt idx="7">
                  <c:v>39</c:v>
                </c:pt>
                <c:pt idx="8">
                  <c:v>39</c:v>
                </c:pt>
              </c:numCache>
            </c:numRef>
          </c:val>
        </c:ser>
        <c:ser>
          <c:idx val="1"/>
          <c:order val="1"/>
          <c:tx>
            <c:strRef>
              <c:f>Sheet1!$A$3</c:f>
              <c:strCache>
                <c:ptCount val="1"/>
                <c:pt idx="0">
                  <c:v>Target</c:v>
                </c:pt>
              </c:strCache>
            </c:strRef>
          </c:tx>
          <c:spPr>
            <a:solidFill>
              <a:srgbClr val="9999FF"/>
            </a:solidFill>
            <a:ln w="13492">
              <a:solidFill>
                <a:srgbClr val="000000"/>
              </a:solidFill>
              <a:prstDash val="solid"/>
            </a:ln>
          </c:spPr>
          <c:dLbls>
            <c:dLbl>
              <c:idx val="0"/>
              <c:layout>
                <c:manualLayout>
                  <c:x val="0.68582522623280207"/>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Val val="1"/>
            </c:dLbl>
            <c:dLbl>
              <c:idx val="1"/>
              <c:layout>
                <c:manualLayout>
                  <c:x val="9.9668982513082274E-2"/>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Val val="1"/>
            </c:dLbl>
            <c:dLbl>
              <c:idx val="2"/>
              <c:layout>
                <c:manualLayout>
                  <c:x val="0.56351273879337149"/>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Val val="1"/>
            </c:dLbl>
            <c:dLbl>
              <c:idx val="3"/>
              <c:layout>
                <c:manualLayout>
                  <c:x val="0.48807078078796029"/>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Val val="1"/>
            </c:dLbl>
            <c:dLbl>
              <c:idx val="4"/>
              <c:layout>
                <c:manualLayout>
                  <c:x val="0.12691453706824249"/>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Val val="1"/>
            </c:dLbl>
            <c:dLbl>
              <c:idx val="5"/>
              <c:layout>
                <c:manualLayout>
                  <c:x val="0.45504400763425434"/>
                  <c:y val="-0.17933095752411479"/>
                </c:manualLayout>
              </c:layout>
              <c:showVal val="1"/>
            </c:dLbl>
            <c:dLbl>
              <c:idx val="6"/>
              <c:layout>
                <c:manualLayout>
                  <c:x val="0.37603062105739887"/>
                  <c:y val="-0.17933095752411479"/>
                </c:manualLayout>
              </c:layout>
              <c:showVal val="1"/>
            </c:dLbl>
            <c:dLbl>
              <c:idx val="7"/>
              <c:delete val="1"/>
            </c:dLbl>
            <c:dLbl>
              <c:idx val="8"/>
              <c:layout>
                <c:manualLayout>
                  <c:x val="-8.2861710577755709E-4"/>
                  <c:y val="-8.635510839838412E-4"/>
                </c:manualLayout>
              </c:layout>
              <c:showVal val="1"/>
            </c:dLbl>
            <c:dLbl>
              <c:idx val="9"/>
              <c:layout>
                <c:manualLayout>
                  <c:x val="-1.2705751111990043E-3"/>
                  <c:y val="4.1115732941255133E-3"/>
                </c:manualLayout>
              </c:layout>
              <c:showVal val="1"/>
            </c:dLbl>
            <c:dLbl>
              <c:idx val="10"/>
              <c:layout>
                <c:manualLayout>
                  <c:x val="1.8588954548074761E-3"/>
                  <c:y val="4.1115732941255133E-3"/>
                </c:manualLayout>
              </c:layout>
              <c:showVal val="1"/>
            </c:dLbl>
            <c:spPr>
              <a:noFill/>
              <a:ln w="26992">
                <a:noFill/>
              </a:ln>
            </c:spPr>
            <c:txPr>
              <a:bodyPr/>
              <a:lstStyle/>
              <a:p>
                <a:pPr>
                  <a:defRPr sz="850"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Sheet1!$B$3:$L$3</c:f>
              <c:numCache>
                <c:formatCode>General</c:formatCode>
                <c:ptCount val="11"/>
                <c:pt idx="7">
                  <c:v>0</c:v>
                </c:pt>
                <c:pt idx="9">
                  <c:v>37</c:v>
                </c:pt>
                <c:pt idx="10">
                  <c:v>38</c:v>
                </c:pt>
              </c:numCache>
            </c:numRef>
          </c:val>
        </c:ser>
        <c:dLbls>
          <c:showVal val="1"/>
        </c:dLbls>
        <c:gapDepth val="0"/>
        <c:shape val="box"/>
        <c:axId val="111340928"/>
        <c:axId val="111346816"/>
        <c:axId val="0"/>
      </c:bar3DChart>
      <c:catAx>
        <c:axId val="111340928"/>
        <c:scaling>
          <c:orientation val="minMax"/>
        </c:scaling>
        <c:axPos val="b"/>
        <c:numFmt formatCode="General" sourceLinked="1"/>
        <c:tickLblPos val="low"/>
        <c:spPr>
          <a:ln w="3373">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n-US"/>
          </a:p>
        </c:txPr>
        <c:crossAx val="111346816"/>
        <c:crosses val="autoZero"/>
        <c:auto val="1"/>
        <c:lblAlgn val="ctr"/>
        <c:lblOffset val="100"/>
        <c:tickLblSkip val="2"/>
        <c:tickMarkSkip val="1"/>
      </c:catAx>
      <c:valAx>
        <c:axId val="111346816"/>
        <c:scaling>
          <c:orientation val="minMax"/>
        </c:scaling>
        <c:axPos val="l"/>
        <c:numFmt formatCode="General" sourceLinked="1"/>
        <c:tickLblPos val="nextTo"/>
        <c:spPr>
          <a:ln w="3373">
            <a:solidFill>
              <a:srgbClr val="000000"/>
            </a:solidFill>
            <a:prstDash val="solid"/>
          </a:ln>
        </c:spPr>
        <c:txPr>
          <a:bodyPr rot="0" vert="horz"/>
          <a:lstStyle/>
          <a:p>
            <a:pPr>
              <a:defRPr sz="877" b="1" i="0" u="none" strike="noStrike" baseline="0">
                <a:solidFill>
                  <a:srgbClr val="000000"/>
                </a:solidFill>
                <a:latin typeface="Arial"/>
                <a:ea typeface="Arial"/>
                <a:cs typeface="Arial"/>
              </a:defRPr>
            </a:pPr>
            <a:endParaRPr lang="en-US"/>
          </a:p>
        </c:txPr>
        <c:crossAx val="111340928"/>
        <c:crosses val="autoZero"/>
        <c:crossBetween val="between"/>
      </c:valAx>
      <c:spPr>
        <a:noFill/>
        <a:ln w="26992">
          <a:noFill/>
        </a:ln>
      </c:spPr>
    </c:plotArea>
    <c:legend>
      <c:legendPos val="r"/>
      <c:layout>
        <c:manualLayout>
          <c:xMode val="edge"/>
          <c:yMode val="edge"/>
          <c:x val="0.30357124714249706"/>
          <c:y val="0.88059701492537312"/>
          <c:w val="0.36785708238083525"/>
          <c:h val="9.9502487562189268E-2"/>
        </c:manualLayout>
      </c:layout>
      <c:spPr>
        <a:noFill/>
        <a:ln w="26983">
          <a:noFill/>
        </a:ln>
      </c:spPr>
      <c:txPr>
        <a:bodyPr/>
        <a:lstStyle/>
        <a:p>
          <a:pPr>
            <a:defRPr sz="781" b="1" i="0" u="none" strike="noStrike" baseline="0">
              <a:solidFill>
                <a:srgbClr val="000000"/>
              </a:solidFill>
              <a:latin typeface="Arial"/>
              <a:ea typeface="Arial"/>
              <a:cs typeface="Arial"/>
            </a:defRPr>
          </a:pPr>
          <a:endParaRPr lang="en-US"/>
        </a:p>
      </c:txPr>
    </c:legend>
    <c:plotVisOnly val="1"/>
    <c:dispBlanksAs val="gap"/>
  </c:chart>
  <c:spPr>
    <a:noFill/>
    <a:ln w="10122" cap="flat" cmpd="sng"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76" b="1" i="0" u="none" strike="noStrike" baseline="0">
                <a:solidFill>
                  <a:srgbClr val="000000"/>
                </a:solidFill>
                <a:latin typeface="Arial"/>
                <a:ea typeface="Arial"/>
                <a:cs typeface="Arial"/>
              </a:defRPr>
            </a:pPr>
            <a:r>
              <a:rPr lang="en-US"/>
              <a:t>Gangs/Criminal Enterprises 
Dismantled</a:t>
            </a:r>
          </a:p>
        </c:rich>
      </c:tx>
      <c:layout>
        <c:manualLayout>
          <c:xMode val="edge"/>
          <c:yMode val="edge"/>
          <c:x val="0.3038611350051833"/>
          <c:y val="3.9359075748719212E-2"/>
        </c:manualLayout>
      </c:layout>
      <c:spPr>
        <a:noFill/>
        <a:ln w="24653">
          <a:noFill/>
        </a:ln>
      </c:spPr>
    </c:title>
    <c:view3D>
      <c:rotX val="39"/>
      <c:hPercent val="46"/>
      <c:rotY val="44"/>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9164265129683031E-2"/>
          <c:y val="0.18584070796460178"/>
          <c:w val="0.93371757925072041"/>
          <c:h val="0.57964601769913604"/>
        </c:manualLayout>
      </c:layout>
      <c:bar3DChart>
        <c:barDir val="col"/>
        <c:grouping val="clustered"/>
        <c:ser>
          <c:idx val="2"/>
          <c:order val="0"/>
          <c:tx>
            <c:strRef>
              <c:f>Sheet1!$A$2</c:f>
              <c:strCache>
                <c:ptCount val="1"/>
                <c:pt idx="0">
                  <c:v>Actual</c:v>
                </c:pt>
              </c:strCache>
            </c:strRef>
          </c:tx>
          <c:spPr>
            <a:solidFill>
              <a:srgbClr val="993366"/>
            </a:solidFill>
            <a:ln w="12326">
              <a:solidFill>
                <a:srgbClr val="000000"/>
              </a:solidFill>
              <a:prstDash val="solid"/>
            </a:ln>
          </c:spPr>
          <c:dLbls>
            <c:dLbl>
              <c:idx val="0"/>
              <c:layout>
                <c:manualLayout>
                  <c:x val="6.3894318685668739E-3"/>
                  <c:y val="-2.5321666987516752E-2"/>
                </c:manualLayout>
              </c:layout>
              <c:showVal val="1"/>
            </c:dLbl>
            <c:dLbl>
              <c:idx val="1"/>
              <c:layout>
                <c:manualLayout>
                  <c:x val="6.9172790932920756E-3"/>
                  <c:y val="-2.1277018826225083E-2"/>
                </c:manualLayout>
              </c:layout>
              <c:showVal val="1"/>
            </c:dLbl>
            <c:dLbl>
              <c:idx val="2"/>
              <c:layout>
                <c:manualLayout>
                  <c:x val="1.0326676617533469E-2"/>
                  <c:y val="-1.9630912155179654E-2"/>
                </c:manualLayout>
              </c:layout>
              <c:showVal val="1"/>
            </c:dLbl>
            <c:dLbl>
              <c:idx val="3"/>
              <c:layout>
                <c:manualLayout>
                  <c:x val="2.2381901363872202E-2"/>
                  <c:y val="-3.8976133870471802E-2"/>
                </c:manualLayout>
              </c:layout>
              <c:showVal val="1"/>
            </c:dLbl>
            <c:dLbl>
              <c:idx val="4"/>
              <c:layout>
                <c:manualLayout>
                  <c:x val="1.6615570112559461E-2"/>
                  <c:y val="-1.1905778726811995E-2"/>
                </c:manualLayout>
              </c:layout>
              <c:showVal val="1"/>
            </c:dLbl>
            <c:dLbl>
              <c:idx val="5"/>
              <c:layout>
                <c:manualLayout>
                  <c:x val="1.7673673143798203E-2"/>
                  <c:y val="-3.5000667289470891E-2"/>
                </c:manualLayout>
              </c:layout>
              <c:showVal val="1"/>
            </c:dLbl>
            <c:dLbl>
              <c:idx val="6"/>
              <c:layout>
                <c:manualLayout>
                  <c:x val="1.3936199151576642E-2"/>
                  <c:y val="-1.5606121268740142E-2"/>
                </c:manualLayout>
              </c:layout>
              <c:showVal val="1"/>
            </c:dLbl>
            <c:dLbl>
              <c:idx val="7"/>
              <c:layout>
                <c:manualLayout>
                  <c:x val="2.4492702100998288E-2"/>
                  <c:y val="-3.9126531862383268E-2"/>
                </c:manualLayout>
              </c:layout>
              <c:showVal val="1"/>
            </c:dLbl>
            <c:dLbl>
              <c:idx val="8"/>
              <c:layout>
                <c:manualLayout>
                  <c:x val="2.2138704945319991E-2"/>
                  <c:y val="-2.3454098948595729E-2"/>
                </c:manualLayout>
              </c:layout>
              <c:showVal val="1"/>
            </c:dLbl>
            <c:spPr>
              <a:noFill/>
              <a:ln w="24653">
                <a:noFill/>
              </a:ln>
            </c:spPr>
            <c:txPr>
              <a:bodyPr/>
              <a:lstStyle/>
              <a:p>
                <a:pPr>
                  <a:defRPr sz="776" b="1" i="0" u="none" strike="noStrike" baseline="0">
                    <a:solidFill>
                      <a:srgbClr val="000000"/>
                    </a:solidFill>
                    <a:latin typeface="Arial"/>
                    <a:ea typeface="Arial"/>
                    <a:cs typeface="Arial"/>
                  </a:defRPr>
                </a:pPr>
                <a:endParaRPr lang="en-US"/>
              </a:p>
            </c:txPr>
            <c:showVal val="1"/>
          </c:dLbls>
          <c:cat>
            <c:strRef>
              <c:f>Sheet1!$B$1:$N$1</c:f>
              <c:strCache>
                <c:ptCount val="12"/>
                <c:pt idx="0">
                  <c:v>FY02</c:v>
                </c:pt>
                <c:pt idx="1">
                  <c:v>FY03</c:v>
                </c:pt>
                <c:pt idx="2">
                  <c:v>FY04</c:v>
                </c:pt>
                <c:pt idx="3">
                  <c:v>FY05</c:v>
                </c:pt>
                <c:pt idx="4">
                  <c:v>FY06</c:v>
                </c:pt>
                <c:pt idx="5">
                  <c:v>FY07</c:v>
                </c:pt>
                <c:pt idx="6">
                  <c:v>FY08</c:v>
                </c:pt>
                <c:pt idx="7">
                  <c:v>FY09</c:v>
                </c:pt>
                <c:pt idx="8">
                  <c:v>FY10</c:v>
                </c:pt>
                <c:pt idx="9">
                  <c:v>FY11</c:v>
                </c:pt>
                <c:pt idx="10">
                  <c:v>FY12</c:v>
                </c:pt>
                <c:pt idx="11">
                  <c:v>FY13</c:v>
                </c:pt>
              </c:strCache>
            </c:strRef>
          </c:cat>
          <c:val>
            <c:numRef>
              <c:f>Sheet1!$B$2:$N$2</c:f>
              <c:numCache>
                <c:formatCode>General</c:formatCode>
                <c:ptCount val="12"/>
                <c:pt idx="0">
                  <c:v>185</c:v>
                </c:pt>
                <c:pt idx="1">
                  <c:v>138</c:v>
                </c:pt>
                <c:pt idx="2">
                  <c:v>112</c:v>
                </c:pt>
                <c:pt idx="3">
                  <c:v>138</c:v>
                </c:pt>
                <c:pt idx="4">
                  <c:v>119</c:v>
                </c:pt>
                <c:pt idx="5">
                  <c:v>144</c:v>
                </c:pt>
                <c:pt idx="6">
                  <c:v>114</c:v>
                </c:pt>
                <c:pt idx="7">
                  <c:v>135</c:v>
                </c:pt>
                <c:pt idx="8">
                  <c:v>124</c:v>
                </c:pt>
                <c:pt idx="9">
                  <c:v>165</c:v>
                </c:pt>
              </c:numCache>
            </c:numRef>
          </c:val>
        </c:ser>
        <c:ser>
          <c:idx val="1"/>
          <c:order val="1"/>
          <c:tx>
            <c:strRef>
              <c:f>Sheet1!$A$3</c:f>
              <c:strCache>
                <c:ptCount val="1"/>
                <c:pt idx="0">
                  <c:v>Target</c:v>
                </c:pt>
              </c:strCache>
            </c:strRef>
          </c:tx>
          <c:spPr>
            <a:solidFill>
              <a:srgbClr val="9999FF"/>
            </a:solidFill>
            <a:ln w="12326">
              <a:solidFill>
                <a:srgbClr val="000000"/>
              </a:solidFill>
              <a:prstDash val="solid"/>
            </a:ln>
          </c:spPr>
          <c:dLbls>
            <c:dLbl>
              <c:idx val="6"/>
              <c:layout>
                <c:manualLayout>
                  <c:x val="0.42615732365545017"/>
                  <c:y val="-0.14479069353619381"/>
                </c:manualLayout>
              </c:layout>
              <c:showVal val="1"/>
            </c:dLbl>
            <c:dLbl>
              <c:idx val="7"/>
              <c:layout>
                <c:manualLayout>
                  <c:x val="0.36328459451129402"/>
                  <c:y val="-0.14479069353619381"/>
                </c:manualLayout>
              </c:layout>
              <c:showVal val="1"/>
            </c:dLbl>
            <c:dLbl>
              <c:idx val="8"/>
              <c:layout>
                <c:manualLayout>
                  <c:x val="0.25430206119981108"/>
                  <c:y val="-0.14479069353619381"/>
                </c:manualLayout>
              </c:layout>
              <c:showVal val="1"/>
            </c:dLbl>
            <c:dLbl>
              <c:idx val="9"/>
              <c:layout>
                <c:manualLayout>
                  <c:x val="1.7838467767389499E-2"/>
                  <c:y val="-1.8807858819657786E-2"/>
                </c:manualLayout>
              </c:layout>
              <c:showVal val="1"/>
            </c:dLbl>
            <c:dLbl>
              <c:idx val="10"/>
              <c:layout>
                <c:manualLayout>
                  <c:x val="2.1247865291631182E-2"/>
                  <c:y val="-1.438308005859544E-2"/>
                </c:manualLayout>
              </c:layout>
              <c:showVal val="1"/>
            </c:dLbl>
            <c:dLbl>
              <c:idx val="11"/>
              <c:layout>
                <c:manualLayout>
                  <c:x val="2.1775712516356797E-2"/>
                  <c:y val="-5.5335225364715433E-3"/>
                </c:manualLayout>
              </c:layout>
              <c:showVal val="1"/>
            </c:dLbl>
            <c:spPr>
              <a:noFill/>
              <a:ln w="24653">
                <a:noFill/>
              </a:ln>
            </c:spPr>
            <c:txPr>
              <a:bodyPr/>
              <a:lstStyle/>
              <a:p>
                <a:pPr>
                  <a:defRPr sz="776" b="1" i="0" u="none" strike="noStrike" baseline="0">
                    <a:solidFill>
                      <a:srgbClr val="000000"/>
                    </a:solidFill>
                    <a:latin typeface="Arial"/>
                    <a:ea typeface="Arial"/>
                    <a:cs typeface="Arial"/>
                  </a:defRPr>
                </a:pPr>
                <a:endParaRPr lang="en-US"/>
              </a:p>
            </c:txPr>
            <c:showVal val="1"/>
          </c:dLbls>
          <c:cat>
            <c:strRef>
              <c:f>Sheet1!$B$1:$N$1</c:f>
              <c:strCache>
                <c:ptCount val="12"/>
                <c:pt idx="0">
                  <c:v>FY02</c:v>
                </c:pt>
                <c:pt idx="1">
                  <c:v>FY03</c:v>
                </c:pt>
                <c:pt idx="2">
                  <c:v>FY04</c:v>
                </c:pt>
                <c:pt idx="3">
                  <c:v>FY05</c:v>
                </c:pt>
                <c:pt idx="4">
                  <c:v>FY06</c:v>
                </c:pt>
                <c:pt idx="5">
                  <c:v>FY07</c:v>
                </c:pt>
                <c:pt idx="6">
                  <c:v>FY08</c:v>
                </c:pt>
                <c:pt idx="7">
                  <c:v>FY09</c:v>
                </c:pt>
                <c:pt idx="8">
                  <c:v>FY10</c:v>
                </c:pt>
                <c:pt idx="9">
                  <c:v>FY11</c:v>
                </c:pt>
                <c:pt idx="10">
                  <c:v>FY12</c:v>
                </c:pt>
                <c:pt idx="11">
                  <c:v>FY13</c:v>
                </c:pt>
              </c:strCache>
            </c:strRef>
          </c:cat>
          <c:val>
            <c:numRef>
              <c:f>Sheet1!$B$3:$N$3</c:f>
              <c:numCache>
                <c:formatCode>General</c:formatCode>
                <c:ptCount val="12"/>
                <c:pt idx="10">
                  <c:v>99</c:v>
                </c:pt>
                <c:pt idx="11">
                  <c:v>99</c:v>
                </c:pt>
              </c:numCache>
            </c:numRef>
          </c:val>
        </c:ser>
        <c:dLbls>
          <c:showVal val="1"/>
        </c:dLbls>
        <c:gapWidth val="80"/>
        <c:gapDepth val="0"/>
        <c:shape val="box"/>
        <c:axId val="111403008"/>
        <c:axId val="111404544"/>
        <c:axId val="0"/>
      </c:bar3DChart>
      <c:catAx>
        <c:axId val="111403008"/>
        <c:scaling>
          <c:orientation val="minMax"/>
        </c:scaling>
        <c:axPos val="b"/>
        <c:numFmt formatCode="General" sourceLinked="1"/>
        <c:tickLblPos val="low"/>
        <c:spPr>
          <a:ln w="3082">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111404544"/>
        <c:crosses val="autoZero"/>
        <c:auto val="1"/>
        <c:lblAlgn val="ctr"/>
        <c:lblOffset val="100"/>
        <c:tickLblSkip val="2"/>
        <c:tickMarkSkip val="1"/>
      </c:catAx>
      <c:valAx>
        <c:axId val="111404544"/>
        <c:scaling>
          <c:orientation val="minMax"/>
          <c:max val="175"/>
          <c:min val="0"/>
        </c:scaling>
        <c:axPos val="l"/>
        <c:numFmt formatCode="General" sourceLinked="1"/>
        <c:tickLblPos val="nextTo"/>
        <c:spPr>
          <a:ln w="3082">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111403008"/>
        <c:crosses val="autoZero"/>
        <c:crossBetween val="between"/>
        <c:majorUnit val="50"/>
        <c:minorUnit val="50"/>
      </c:valAx>
      <c:spPr>
        <a:noFill/>
        <a:ln w="24653">
          <a:noFill/>
        </a:ln>
      </c:spPr>
    </c:plotArea>
    <c:legend>
      <c:legendPos val="r"/>
      <c:layout>
        <c:manualLayout>
          <c:xMode val="edge"/>
          <c:yMode val="edge"/>
          <c:x val="0.34293948126801188"/>
          <c:y val="0.87610619469026552"/>
          <c:w val="0.31700288184438596"/>
          <c:h val="9.2920353982301043E-2"/>
        </c:manualLayout>
      </c:layout>
      <c:spPr>
        <a:noFill/>
        <a:ln w="24652">
          <a:noFill/>
        </a:ln>
      </c:spPr>
      <c:txPr>
        <a:bodyPr/>
        <a:lstStyle/>
        <a:p>
          <a:pPr>
            <a:defRPr sz="801"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71" b="1" i="0" u="none" strike="noStrike" baseline="0">
          <a:solidFill>
            <a:srgbClr val="000000"/>
          </a:solidFill>
          <a:latin typeface="Arial"/>
          <a:ea typeface="Arial"/>
          <a:cs typeface="Arial"/>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1" b="1" i="0" u="none" strike="noStrike" baseline="0">
                <a:solidFill>
                  <a:srgbClr val="000000"/>
                </a:solidFill>
                <a:latin typeface="Arial"/>
                <a:ea typeface="Arial"/>
                <a:cs typeface="Arial"/>
              </a:defRPr>
            </a:pPr>
            <a:r>
              <a:rPr lang="en-US"/>
              <a:t>Number of Agents serving on Violent Crime task forces</a:t>
            </a:r>
          </a:p>
        </c:rich>
      </c:tx>
      <c:layout>
        <c:manualLayout>
          <c:xMode val="edge"/>
          <c:yMode val="edge"/>
          <c:x val="0.11815575268281379"/>
          <c:y val="4.4247381698647014E-3"/>
        </c:manualLayout>
      </c:layout>
      <c:spPr>
        <a:noFill/>
        <a:ln w="25108">
          <a:noFill/>
        </a:ln>
      </c:spPr>
    </c:title>
    <c:view3D>
      <c:rotX val="39"/>
      <c:hPercent val="46"/>
      <c:rotY val="44"/>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9164265129683031E-2"/>
          <c:y val="0.16371681415929523"/>
          <c:w val="0.93371757925072041"/>
          <c:h val="0.60176991150443648"/>
        </c:manualLayout>
      </c:layout>
      <c:bar3DChart>
        <c:barDir val="col"/>
        <c:grouping val="clustered"/>
        <c:ser>
          <c:idx val="2"/>
          <c:order val="0"/>
          <c:tx>
            <c:strRef>
              <c:f>Sheet1!$A$2</c:f>
              <c:strCache>
                <c:ptCount val="1"/>
                <c:pt idx="0">
                  <c:v>Actual</c:v>
                </c:pt>
              </c:strCache>
            </c:strRef>
          </c:tx>
          <c:spPr>
            <a:solidFill>
              <a:srgbClr val="993366"/>
            </a:solidFill>
            <a:ln w="12553">
              <a:solidFill>
                <a:srgbClr val="000000"/>
              </a:solidFill>
              <a:prstDash val="solid"/>
            </a:ln>
          </c:spPr>
          <c:dLbls>
            <c:dLbl>
              <c:idx val="0"/>
              <c:layout>
                <c:manualLayout>
                  <c:x val="0.10390655228106672"/>
                  <c:y val="-0.2105823212776369"/>
                </c:manualLayout>
              </c:layout>
              <c:showVal val="1"/>
            </c:dLbl>
            <c:dLbl>
              <c:idx val="1"/>
              <c:layout>
                <c:manualLayout>
                  <c:x val="-0.16363650339605157"/>
                  <c:y val="-0.2105823212776369"/>
                </c:manualLayout>
              </c:layout>
              <c:showVal val="1"/>
            </c:dLbl>
            <c:dLbl>
              <c:idx val="2"/>
              <c:layout>
                <c:manualLayout>
                  <c:xMode val="edge"/>
                  <c:yMode val="edge"/>
                  <c:x val="0.24495677233429394"/>
                  <c:y val="0.27433628318585096"/>
                </c:manualLayout>
              </c:layout>
              <c:showVal val="1"/>
            </c:dLbl>
            <c:dLbl>
              <c:idx val="3"/>
              <c:layout>
                <c:manualLayout>
                  <c:xMode val="edge"/>
                  <c:yMode val="edge"/>
                  <c:x val="0.31123919308357351"/>
                  <c:y val="0.18584070796460178"/>
                </c:manualLayout>
              </c:layout>
              <c:showVal val="1"/>
            </c:dLbl>
            <c:dLbl>
              <c:idx val="4"/>
              <c:layout>
                <c:manualLayout>
                  <c:xMode val="edge"/>
                  <c:yMode val="edge"/>
                  <c:x val="0.37463976945245642"/>
                  <c:y val="0.26106194690265488"/>
                </c:manualLayout>
              </c:layout>
              <c:showVal val="1"/>
            </c:dLbl>
            <c:dLbl>
              <c:idx val="5"/>
              <c:layout>
                <c:manualLayout>
                  <c:xMode val="edge"/>
                  <c:yMode val="edge"/>
                  <c:x val="0.41786743515850538"/>
                  <c:y val="0.15929203539823464"/>
                </c:manualLayout>
              </c:layout>
              <c:showVal val="1"/>
            </c:dLbl>
            <c:dLbl>
              <c:idx val="6"/>
              <c:layout>
                <c:manualLayout>
                  <c:xMode val="edge"/>
                  <c:yMode val="edge"/>
                  <c:x val="0.48991354466858789"/>
                  <c:y val="0.26548672566372167"/>
                </c:manualLayout>
              </c:layout>
              <c:showVal val="1"/>
            </c:dLbl>
            <c:dLbl>
              <c:idx val="7"/>
              <c:layout>
                <c:manualLayout>
                  <c:xMode val="edge"/>
                  <c:yMode val="edge"/>
                  <c:x val="0.5417867435158501"/>
                  <c:y val="0.19469026548672574"/>
                </c:manualLayout>
              </c:layout>
              <c:showVal val="1"/>
            </c:dLbl>
            <c:dLbl>
              <c:idx val="8"/>
              <c:layout>
                <c:manualLayout>
                  <c:xMode val="edge"/>
                  <c:yMode val="edge"/>
                  <c:x val="0.59942363112391928"/>
                  <c:y val="0.23893805309734975"/>
                </c:manualLayout>
              </c:layout>
              <c:showVal val="1"/>
            </c:dLbl>
            <c:spPr>
              <a:noFill/>
              <a:ln w="25108">
                <a:noFill/>
              </a:ln>
            </c:spPr>
            <c:txPr>
              <a:bodyPr/>
              <a:lstStyle/>
              <a:p>
                <a:pPr>
                  <a:defRPr sz="791" b="1" i="0" u="none" strike="noStrike" baseline="0">
                    <a:solidFill>
                      <a:srgbClr val="000000"/>
                    </a:solidFill>
                    <a:latin typeface="Arial"/>
                    <a:ea typeface="Arial"/>
                    <a:cs typeface="Arial"/>
                  </a:defRPr>
                </a:pPr>
                <a:endParaRPr lang="en-US"/>
              </a:p>
            </c:txPr>
            <c:showVal val="1"/>
          </c:dLbls>
          <c:cat>
            <c:strRef>
              <c:f>Sheet1!$B$1:$C$1</c:f>
              <c:strCache>
                <c:ptCount val="2"/>
                <c:pt idx="0">
                  <c:v>FY12</c:v>
                </c:pt>
                <c:pt idx="1">
                  <c:v>FY13</c:v>
                </c:pt>
              </c:strCache>
            </c:strRef>
          </c:cat>
          <c:val>
            <c:numRef>
              <c:f>Sheet1!$B$2:$C$2</c:f>
              <c:numCache>
                <c:formatCode>General</c:formatCode>
                <c:ptCount val="2"/>
              </c:numCache>
            </c:numRef>
          </c:val>
        </c:ser>
        <c:ser>
          <c:idx val="1"/>
          <c:order val="1"/>
          <c:tx>
            <c:strRef>
              <c:f>Sheet1!$A$3</c:f>
              <c:strCache>
                <c:ptCount val="1"/>
                <c:pt idx="0">
                  <c:v>Target</c:v>
                </c:pt>
              </c:strCache>
            </c:strRef>
          </c:tx>
          <c:spPr>
            <a:solidFill>
              <a:srgbClr val="9999FF"/>
            </a:solidFill>
            <a:ln w="12553">
              <a:solidFill>
                <a:srgbClr val="000000"/>
              </a:solidFill>
              <a:prstDash val="solid"/>
            </a:ln>
          </c:spPr>
          <c:dLbls>
            <c:dLbl>
              <c:idx val="0"/>
              <c:layout>
                <c:manualLayout>
                  <c:x val="0.19794584500466891"/>
                  <c:y val="-3.9548022598870081E-2"/>
                </c:manualLayout>
              </c:layout>
              <c:showVal val="1"/>
            </c:dLbl>
            <c:dLbl>
              <c:idx val="1"/>
              <c:layout>
                <c:manualLayout>
                  <c:x val="0.19421101774043173"/>
                  <c:y val="-3.9548467458516839E-2"/>
                </c:manualLayout>
              </c:layout>
              <c:showVal val="1"/>
            </c:dLbl>
            <c:dLbl>
              <c:idx val="6"/>
              <c:layout>
                <c:manualLayout>
                  <c:xMode val="edge"/>
                  <c:yMode val="edge"/>
                  <c:x val="0.88472622478386154"/>
                  <c:y val="0"/>
                </c:manualLayout>
              </c:layout>
              <c:showVal val="1"/>
            </c:dLbl>
            <c:dLbl>
              <c:idx val="7"/>
              <c:layout>
                <c:manualLayout>
                  <c:xMode val="edge"/>
                  <c:yMode val="edge"/>
                  <c:x val="0.88472622478386154"/>
                  <c:y val="0"/>
                </c:manualLayout>
              </c:layout>
              <c:showVal val="1"/>
            </c:dLbl>
            <c:dLbl>
              <c:idx val="8"/>
              <c:layout>
                <c:manualLayout>
                  <c:xMode val="edge"/>
                  <c:yMode val="edge"/>
                  <c:x val="0.88472622478386154"/>
                  <c:y val="0"/>
                </c:manualLayout>
              </c:layout>
              <c:showVal val="1"/>
            </c:dLbl>
            <c:dLbl>
              <c:idx val="9"/>
              <c:layout>
                <c:manualLayout>
                  <c:xMode val="edge"/>
                  <c:yMode val="edge"/>
                  <c:x val="0.69164265129683944"/>
                  <c:y val="0.23451327433628341"/>
                </c:manualLayout>
              </c:layout>
              <c:showVal val="1"/>
            </c:dLbl>
            <c:dLbl>
              <c:idx val="10"/>
              <c:layout>
                <c:manualLayout>
                  <c:xMode val="edge"/>
                  <c:yMode val="edge"/>
                  <c:x val="0.76080691642652976"/>
                  <c:y val="0.25221238938053098"/>
                </c:manualLayout>
              </c:layout>
              <c:showVal val="1"/>
            </c:dLbl>
            <c:spPr>
              <a:noFill/>
              <a:ln w="25108">
                <a:noFill/>
              </a:ln>
            </c:spPr>
            <c:txPr>
              <a:bodyPr/>
              <a:lstStyle/>
              <a:p>
                <a:pPr>
                  <a:defRPr sz="791" b="1" i="0" u="none" strike="noStrike" baseline="0">
                    <a:solidFill>
                      <a:srgbClr val="000000"/>
                    </a:solidFill>
                    <a:latin typeface="Arial"/>
                    <a:ea typeface="Arial"/>
                    <a:cs typeface="Arial"/>
                  </a:defRPr>
                </a:pPr>
                <a:endParaRPr lang="en-US"/>
              </a:p>
            </c:txPr>
            <c:showVal val="1"/>
          </c:dLbls>
          <c:cat>
            <c:strRef>
              <c:f>Sheet1!$B$1:$C$1</c:f>
              <c:strCache>
                <c:ptCount val="2"/>
                <c:pt idx="0">
                  <c:v>FY12</c:v>
                </c:pt>
                <c:pt idx="1">
                  <c:v>FY13</c:v>
                </c:pt>
              </c:strCache>
            </c:strRef>
          </c:cat>
          <c:val>
            <c:numRef>
              <c:f>Sheet1!$B$3:$C$3</c:f>
              <c:numCache>
                <c:formatCode>#,##0</c:formatCode>
                <c:ptCount val="2"/>
                <c:pt idx="0">
                  <c:v>1012</c:v>
                </c:pt>
                <c:pt idx="1">
                  <c:v>1042</c:v>
                </c:pt>
              </c:numCache>
            </c:numRef>
          </c:val>
        </c:ser>
        <c:dLbls>
          <c:showVal val="1"/>
        </c:dLbls>
        <c:gapWidth val="80"/>
        <c:gapDepth val="0"/>
        <c:shape val="box"/>
        <c:axId val="111541248"/>
        <c:axId val="111555328"/>
        <c:axId val="0"/>
      </c:bar3DChart>
      <c:catAx>
        <c:axId val="111541248"/>
        <c:scaling>
          <c:orientation val="minMax"/>
        </c:scaling>
        <c:axPos val="b"/>
        <c:numFmt formatCode="General" sourceLinked="0"/>
        <c:tickLblPos val="low"/>
        <c:spPr>
          <a:ln w="3138">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111555328"/>
        <c:crosses val="autoZero"/>
        <c:auto val="1"/>
        <c:lblAlgn val="ctr"/>
        <c:lblOffset val="100"/>
        <c:tickLblSkip val="1"/>
        <c:tickMarkSkip val="1"/>
      </c:catAx>
      <c:valAx>
        <c:axId val="111555328"/>
        <c:scaling>
          <c:orientation val="minMax"/>
          <c:max val="175"/>
          <c:min val="0"/>
        </c:scaling>
        <c:axPos val="l"/>
        <c:numFmt formatCode="General" sourceLinked="1"/>
        <c:tickLblPos val="nextTo"/>
        <c:spPr>
          <a:ln w="3138">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111541248"/>
        <c:crosses val="autoZero"/>
        <c:crossBetween val="between"/>
        <c:majorUnit val="50"/>
        <c:minorUnit val="50"/>
      </c:valAx>
      <c:spPr>
        <a:noFill/>
        <a:ln w="25108">
          <a:noFill/>
        </a:ln>
      </c:spPr>
    </c:plotArea>
    <c:legend>
      <c:legendPos val="r"/>
      <c:layout>
        <c:manualLayout>
          <c:xMode val="edge"/>
          <c:yMode val="edge"/>
          <c:x val="0.34293963254593179"/>
          <c:y val="0.87610631195372424"/>
          <c:w val="0.31700289046147978"/>
          <c:h val="9.2920520857223007E-2"/>
        </c:manualLayout>
      </c:layout>
      <c:spPr>
        <a:noFill/>
        <a:ln w="25107">
          <a:noFill/>
        </a:ln>
      </c:spPr>
      <c:txPr>
        <a:bodyPr/>
        <a:lstStyle/>
        <a:p>
          <a:pPr>
            <a:defRPr sz="816"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88" b="1" i="0" u="none" strike="noStrike" baseline="0">
          <a:solidFill>
            <a:srgbClr val="000000"/>
          </a:solidFill>
          <a:latin typeface="Arial"/>
          <a:ea typeface="Arial"/>
          <a:cs typeface="Arial"/>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68" b="1" i="0" u="none" strike="noStrike" baseline="0">
                <a:solidFill>
                  <a:srgbClr val="000000"/>
                </a:solidFill>
                <a:latin typeface="Arial"/>
                <a:ea typeface="Arial"/>
                <a:cs typeface="Arial"/>
              </a:defRPr>
            </a:pPr>
            <a:r>
              <a:rPr lang="en-US"/>
              <a:t>Average length of sentence in months: Violent Crime</a:t>
            </a:r>
          </a:p>
        </c:rich>
      </c:tx>
      <c:layout>
        <c:manualLayout>
          <c:xMode val="edge"/>
          <c:yMode val="edge"/>
          <c:x val="0.12968288799965427"/>
          <c:y val="4.4249205691393786E-3"/>
        </c:manualLayout>
      </c:layout>
      <c:spPr>
        <a:noFill/>
        <a:ln w="24382">
          <a:noFill/>
        </a:ln>
      </c:spPr>
    </c:title>
    <c:view3D>
      <c:rotX val="39"/>
      <c:hPercent val="46"/>
      <c:rotY val="44"/>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9164265129683031E-2"/>
          <c:y val="0.16371681415929523"/>
          <c:w val="0.93371757925072041"/>
          <c:h val="0.60176991150443648"/>
        </c:manualLayout>
      </c:layout>
      <c:bar3DChart>
        <c:barDir val="col"/>
        <c:grouping val="clustered"/>
        <c:ser>
          <c:idx val="2"/>
          <c:order val="0"/>
          <c:tx>
            <c:strRef>
              <c:f>Sheet1!$A$2</c:f>
              <c:strCache>
                <c:ptCount val="1"/>
                <c:pt idx="0">
                  <c:v>Actual</c:v>
                </c:pt>
              </c:strCache>
            </c:strRef>
          </c:tx>
          <c:spPr>
            <a:solidFill>
              <a:srgbClr val="993366"/>
            </a:solidFill>
            <a:ln w="12190">
              <a:solidFill>
                <a:srgbClr val="000000"/>
              </a:solidFill>
              <a:prstDash val="solid"/>
            </a:ln>
          </c:spPr>
          <c:dLbls>
            <c:dLbl>
              <c:idx val="0"/>
              <c:layout>
                <c:manualLayout>
                  <c:x val="0.36039070213697488"/>
                  <c:y val="-0.2105823212776369"/>
                </c:manualLayout>
              </c:layout>
              <c:showVal val="1"/>
            </c:dLbl>
            <c:dLbl>
              <c:idx val="1"/>
              <c:layout>
                <c:manualLayout>
                  <c:x val="9.2847646459856228E-2"/>
                  <c:y val="-0.2105823212776369"/>
                </c:manualLayout>
              </c:layout>
              <c:showVal val="1"/>
            </c:dLbl>
            <c:dLbl>
              <c:idx val="2"/>
              <c:layout>
                <c:manualLayout>
                  <c:xMode val="edge"/>
                  <c:yMode val="edge"/>
                  <c:x val="0.24495677233429394"/>
                  <c:y val="0.27433628318585096"/>
                </c:manualLayout>
              </c:layout>
              <c:showVal val="1"/>
            </c:dLbl>
            <c:dLbl>
              <c:idx val="3"/>
              <c:layout>
                <c:manualLayout>
                  <c:xMode val="edge"/>
                  <c:yMode val="edge"/>
                  <c:x val="0.31123919308357351"/>
                  <c:y val="0.18584070796460178"/>
                </c:manualLayout>
              </c:layout>
              <c:showVal val="1"/>
            </c:dLbl>
            <c:dLbl>
              <c:idx val="4"/>
              <c:layout>
                <c:manualLayout>
                  <c:xMode val="edge"/>
                  <c:yMode val="edge"/>
                  <c:x val="0.37463976945245642"/>
                  <c:y val="0.26106194690265488"/>
                </c:manualLayout>
              </c:layout>
              <c:showVal val="1"/>
            </c:dLbl>
            <c:dLbl>
              <c:idx val="5"/>
              <c:layout>
                <c:manualLayout>
                  <c:xMode val="edge"/>
                  <c:yMode val="edge"/>
                  <c:x val="0.41786743515850538"/>
                  <c:y val="0.15929203539823464"/>
                </c:manualLayout>
              </c:layout>
              <c:showVal val="1"/>
            </c:dLbl>
            <c:dLbl>
              <c:idx val="6"/>
              <c:layout>
                <c:manualLayout>
                  <c:xMode val="edge"/>
                  <c:yMode val="edge"/>
                  <c:x val="0.48991354466858789"/>
                  <c:y val="0.26548672566372167"/>
                </c:manualLayout>
              </c:layout>
              <c:showVal val="1"/>
            </c:dLbl>
            <c:dLbl>
              <c:idx val="7"/>
              <c:layout>
                <c:manualLayout>
                  <c:xMode val="edge"/>
                  <c:yMode val="edge"/>
                  <c:x val="0.5417867435158501"/>
                  <c:y val="0.19469026548672574"/>
                </c:manualLayout>
              </c:layout>
              <c:showVal val="1"/>
            </c:dLbl>
            <c:dLbl>
              <c:idx val="8"/>
              <c:layout>
                <c:manualLayout>
                  <c:xMode val="edge"/>
                  <c:yMode val="edge"/>
                  <c:x val="0.59942363112391928"/>
                  <c:y val="0.23893805309734975"/>
                </c:manualLayout>
              </c:layout>
              <c:showVal val="1"/>
            </c:dLbl>
            <c:spPr>
              <a:noFill/>
              <a:ln w="24382">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Sheet1!$B$1:$C$1</c:f>
              <c:strCache>
                <c:ptCount val="2"/>
                <c:pt idx="0">
                  <c:v>FY12</c:v>
                </c:pt>
                <c:pt idx="1">
                  <c:v>FY13</c:v>
                </c:pt>
              </c:strCache>
            </c:strRef>
          </c:cat>
          <c:val>
            <c:numRef>
              <c:f>Sheet1!$B$2:$C$2</c:f>
              <c:numCache>
                <c:formatCode>General</c:formatCode>
                <c:ptCount val="2"/>
              </c:numCache>
            </c:numRef>
          </c:val>
        </c:ser>
        <c:ser>
          <c:idx val="1"/>
          <c:order val="1"/>
          <c:tx>
            <c:strRef>
              <c:f>Sheet1!$A$3</c:f>
              <c:strCache>
                <c:ptCount val="1"/>
                <c:pt idx="0">
                  <c:v>Target</c:v>
                </c:pt>
              </c:strCache>
            </c:strRef>
          </c:tx>
          <c:spPr>
            <a:solidFill>
              <a:srgbClr val="9999FF"/>
            </a:solidFill>
            <a:ln w="12190">
              <a:solidFill>
                <a:srgbClr val="000000"/>
              </a:solidFill>
              <a:prstDash val="solid"/>
            </a:ln>
          </c:spPr>
          <c:dLbls>
            <c:dLbl>
              <c:idx val="0"/>
              <c:layout>
                <c:manualLayout>
                  <c:x val="0.19047619047619352"/>
                  <c:y val="-5.6497175141242938E-2"/>
                </c:manualLayout>
              </c:layout>
              <c:showVal val="1"/>
            </c:dLbl>
            <c:dLbl>
              <c:idx val="1"/>
              <c:layout>
                <c:manualLayout>
                  <c:x val="0.19047619047619352"/>
                  <c:y val="-5.0847457627118814E-2"/>
                </c:manualLayout>
              </c:layout>
              <c:showVal val="1"/>
            </c:dLbl>
            <c:dLbl>
              <c:idx val="6"/>
              <c:layout>
                <c:manualLayout>
                  <c:xMode val="edge"/>
                  <c:yMode val="edge"/>
                  <c:x val="0.88472622478386154"/>
                  <c:y val="0"/>
                </c:manualLayout>
              </c:layout>
              <c:showVal val="1"/>
            </c:dLbl>
            <c:dLbl>
              <c:idx val="7"/>
              <c:layout>
                <c:manualLayout>
                  <c:xMode val="edge"/>
                  <c:yMode val="edge"/>
                  <c:x val="0.88472622478386154"/>
                  <c:y val="0"/>
                </c:manualLayout>
              </c:layout>
              <c:showVal val="1"/>
            </c:dLbl>
            <c:dLbl>
              <c:idx val="8"/>
              <c:layout>
                <c:manualLayout>
                  <c:xMode val="edge"/>
                  <c:yMode val="edge"/>
                  <c:x val="0.88472622478386154"/>
                  <c:y val="0"/>
                </c:manualLayout>
              </c:layout>
              <c:showVal val="1"/>
            </c:dLbl>
            <c:dLbl>
              <c:idx val="9"/>
              <c:layout>
                <c:manualLayout>
                  <c:xMode val="edge"/>
                  <c:yMode val="edge"/>
                  <c:x val="0.69164265129683944"/>
                  <c:y val="0.23451327433628341"/>
                </c:manualLayout>
              </c:layout>
              <c:showVal val="1"/>
            </c:dLbl>
            <c:dLbl>
              <c:idx val="10"/>
              <c:layout>
                <c:manualLayout>
                  <c:xMode val="edge"/>
                  <c:yMode val="edge"/>
                  <c:x val="0.76080691642652976"/>
                  <c:y val="0.25221238938053098"/>
                </c:manualLayout>
              </c:layout>
              <c:showVal val="1"/>
            </c:dLbl>
            <c:spPr>
              <a:noFill/>
              <a:ln w="24382">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Sheet1!$B$1:$C$1</c:f>
              <c:strCache>
                <c:ptCount val="2"/>
                <c:pt idx="0">
                  <c:v>FY12</c:v>
                </c:pt>
                <c:pt idx="1">
                  <c:v>FY13</c:v>
                </c:pt>
              </c:strCache>
            </c:strRef>
          </c:cat>
          <c:val>
            <c:numRef>
              <c:f>Sheet1!$B$3:$C$3</c:f>
              <c:numCache>
                <c:formatCode>General</c:formatCode>
                <c:ptCount val="2"/>
                <c:pt idx="0">
                  <c:v>100</c:v>
                </c:pt>
                <c:pt idx="1">
                  <c:v>100</c:v>
                </c:pt>
              </c:numCache>
            </c:numRef>
          </c:val>
        </c:ser>
        <c:dLbls>
          <c:showVal val="1"/>
        </c:dLbls>
        <c:gapWidth val="80"/>
        <c:gapDepth val="0"/>
        <c:shape val="box"/>
        <c:axId val="111728128"/>
        <c:axId val="111729664"/>
        <c:axId val="0"/>
      </c:bar3DChart>
      <c:catAx>
        <c:axId val="111728128"/>
        <c:scaling>
          <c:orientation val="minMax"/>
        </c:scaling>
        <c:axPos val="b"/>
        <c:numFmt formatCode="General" sourceLinked="1"/>
        <c:tickLblPos val="low"/>
        <c:spPr>
          <a:ln w="3048">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111729664"/>
        <c:crosses val="autoZero"/>
        <c:auto val="1"/>
        <c:lblAlgn val="ctr"/>
        <c:lblOffset val="100"/>
        <c:tickLblSkip val="1"/>
        <c:tickMarkSkip val="1"/>
      </c:catAx>
      <c:valAx>
        <c:axId val="111729664"/>
        <c:scaling>
          <c:orientation val="minMax"/>
          <c:max val="175"/>
          <c:min val="0"/>
        </c:scaling>
        <c:axPos val="l"/>
        <c:numFmt formatCode="General" sourceLinked="1"/>
        <c:tickLblPos val="nextTo"/>
        <c:spPr>
          <a:ln w="3048">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111728128"/>
        <c:crosses val="autoZero"/>
        <c:crossBetween val="between"/>
        <c:majorUnit val="50"/>
        <c:minorUnit val="50"/>
      </c:valAx>
      <c:spPr>
        <a:noFill/>
        <a:ln w="24382">
          <a:noFill/>
        </a:ln>
      </c:spPr>
    </c:plotArea>
    <c:legend>
      <c:legendPos val="r"/>
      <c:layout>
        <c:manualLayout>
          <c:xMode val="edge"/>
          <c:yMode val="edge"/>
          <c:x val="0.34293946043629775"/>
          <c:y val="0.87610609200165768"/>
          <c:w val="0.31700288283636996"/>
          <c:h val="9.2920569139384068E-2"/>
        </c:manualLayout>
      </c:layout>
      <c:spPr>
        <a:noFill/>
        <a:ln w="24381">
          <a:noFill/>
        </a:ln>
      </c:spPr>
      <c:txPr>
        <a:bodyPr/>
        <a:lstStyle/>
        <a:p>
          <a:pPr>
            <a:defRPr sz="792"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960" b="1" i="0" u="none" strike="noStrike" baseline="0">
          <a:solidFill>
            <a:srgbClr val="000000"/>
          </a:solidFill>
          <a:latin typeface="Arial"/>
          <a:ea typeface="Arial"/>
          <a:cs typeface="Arial"/>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Average daily identification searches (excluding CBP searches)
(in thousands)</a:t>
            </a:r>
          </a:p>
        </c:rich>
      </c:tx>
      <c:layout>
        <c:manualLayout>
          <c:xMode val="edge"/>
          <c:yMode val="edge"/>
          <c:x val="0.16071428571428831"/>
          <c:y val="0"/>
        </c:manualLayout>
      </c:layout>
      <c:spPr>
        <a:noFill/>
        <a:ln w="25400">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5714285714285715E-2"/>
          <c:y val="0.2863849765258325"/>
          <c:w val="0.9142857142857147"/>
          <c:h val="0.48826291079812206"/>
        </c:manualLayout>
      </c:layout>
      <c:bar3DChart>
        <c:barDir val="col"/>
        <c:grouping val="clustered"/>
        <c:ser>
          <c:idx val="0"/>
          <c:order val="0"/>
          <c:tx>
            <c:strRef>
              <c:f>Sheet1!$A$2</c:f>
              <c:strCache>
                <c:ptCount val="1"/>
                <c:pt idx="0">
                  <c:v>Actual </c:v>
                </c:pt>
              </c:strCache>
            </c:strRef>
          </c:tx>
          <c:spPr>
            <a:solidFill>
              <a:srgbClr val="993366"/>
            </a:solidFill>
            <a:ln w="12700">
              <a:solidFill>
                <a:srgbClr val="000000"/>
              </a:solidFill>
              <a:prstDash val="solid"/>
            </a:ln>
          </c:spPr>
          <c:dLbls>
            <c:dLbl>
              <c:idx val="0"/>
              <c:layout>
                <c:manualLayout>
                  <c:x val="-3.3248904231798983E-3"/>
                  <c:y val="2.1278326124727783E-3"/>
                </c:manualLayout>
              </c:layout>
              <c:numFmt formatCode="0"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Val val="1"/>
            </c:dLbl>
            <c:dLbl>
              <c:idx val="1"/>
              <c:layout>
                <c:manualLayout>
                  <c:x val="8.5680152049959265E-3"/>
                  <c:y val="-2.0263408777938634E-2"/>
                </c:manualLayout>
              </c:layout>
              <c:tx>
                <c:rich>
                  <a:bodyPr/>
                  <a:lstStyle/>
                  <a:p>
                    <a:r>
                      <a:rPr lang="en-US" sz="800"/>
                      <a:t>139</a:t>
                    </a:r>
                  </a:p>
                </c:rich>
              </c:tx>
              <c:showVal val="1"/>
            </c:dLbl>
            <c:dLbl>
              <c:idx val="2"/>
              <c:layout>
                <c:manualLayout>
                  <c:x val="0.13595049325731179"/>
                  <c:y val="-0.22953097230559186"/>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Val val="1"/>
            </c:dLbl>
            <c:dLbl>
              <c:idx val="3"/>
              <c:layout>
                <c:manualLayout>
                  <c:x val="-0.36835840347543486"/>
                  <c:y val="-0.22953097230559186"/>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Val val="1"/>
            </c:dLbl>
            <c:dLbl>
              <c:idx val="4"/>
              <c:layout>
                <c:manualLayout>
                  <c:xMode val="edge"/>
                  <c:yMode val="edge"/>
                  <c:x val="0.48571428571429442"/>
                  <c:y val="0.18779342723004694"/>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Val val="1"/>
            </c:dLbl>
            <c:dLbl>
              <c:idx val="5"/>
              <c:layout>
                <c:manualLayout>
                  <c:xMode val="edge"/>
                  <c:yMode val="edge"/>
                  <c:x val="0.56785714285714251"/>
                  <c:y val="0.18779342723004694"/>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Val val="1"/>
            </c:dLbl>
            <c:dLbl>
              <c:idx val="6"/>
              <c:layout>
                <c:manualLayout>
                  <c:xMode val="edge"/>
                  <c:yMode val="edge"/>
                  <c:x val="0.36428571428571432"/>
                  <c:y val="4.6948356807511738E-3"/>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Val val="1"/>
            </c:dLbl>
            <c:numFmt formatCode="General"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Sheet1!$B$2:$E$2</c:f>
              <c:numCache>
                <c:formatCode>General</c:formatCode>
                <c:ptCount val="4"/>
                <c:pt idx="0">
                  <c:v>132.06399999999999</c:v>
                </c:pt>
                <c:pt idx="1">
                  <c:v>139.125</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dLbls>
            <c:dLbl>
              <c:idx val="0"/>
              <c:layout>
                <c:manualLayout>
                  <c:x val="4.1471497097347034E-3"/>
                  <c:y val="-2.0012853979685798E-2"/>
                </c:manualLayout>
              </c:layout>
              <c:showVal val="1"/>
            </c:dLbl>
            <c:dLbl>
              <c:idx val="1"/>
              <c:layout>
                <c:manualLayout>
                  <c:x val="3.4093195247145692E-3"/>
                  <c:y val="-1.8089577683608398E-2"/>
                </c:manualLayout>
              </c:layout>
              <c:showVal val="1"/>
            </c:dLbl>
            <c:dLbl>
              <c:idx val="2"/>
              <c:layout>
                <c:manualLayout>
                  <c:x val="2.6718513634074992E-3"/>
                  <c:y val="-1.8120053252675301E-2"/>
                </c:manualLayout>
              </c:layout>
              <c:showVal val="1"/>
            </c:dLbl>
            <c:dLbl>
              <c:idx val="3"/>
              <c:layout>
                <c:manualLayout>
                  <c:x val="-1.6370453693287255E-3"/>
                  <c:y val="5.7326030734506392E-4"/>
                </c:manualLayout>
              </c:layout>
              <c:showVal val="1"/>
            </c:dLbl>
            <c:dLbl>
              <c:idx val="4"/>
              <c:layout>
                <c:manualLayout>
                  <c:xMode val="edge"/>
                  <c:yMode val="edge"/>
                  <c:x val="0.96785714285714286"/>
                  <c:y val="4.6948356807511738E-3"/>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5"/>
              <c:layout>
                <c:manualLayout>
                  <c:xMode val="edge"/>
                  <c:yMode val="edge"/>
                  <c:x val="0.88214285714285712"/>
                  <c:y val="4.6948356807511738E-3"/>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6"/>
              <c:layout>
                <c:manualLayout>
                  <c:xMode val="edge"/>
                  <c:yMode val="edge"/>
                  <c:x val="0.70357142857142863"/>
                  <c:y val="0.16901408450704691"/>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7"/>
              <c:layout>
                <c:manualLayout>
                  <c:xMode val="edge"/>
                  <c:yMode val="edge"/>
                  <c:x val="0.77857142857144013"/>
                  <c:y val="0.16901408450704691"/>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8"/>
              <c:layout>
                <c:manualLayout>
                  <c:xMode val="edge"/>
                  <c:yMode val="edge"/>
                  <c:x val="0.86785714285714288"/>
                  <c:y val="0.16901408450704691"/>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Sheet1!$B$3:$E$3</c:f>
              <c:numCache>
                <c:formatCode>General</c:formatCode>
                <c:ptCount val="4"/>
                <c:pt idx="2">
                  <c:v>187.70599999999999</c:v>
                </c:pt>
                <c:pt idx="3">
                  <c:v>200.232</c:v>
                </c:pt>
              </c:numCache>
            </c:numRef>
          </c:val>
        </c:ser>
        <c:dLbls>
          <c:showVal val="1"/>
        </c:dLbls>
        <c:gapWidth val="10"/>
        <c:gapDepth val="0"/>
        <c:shape val="box"/>
        <c:axId val="107881216"/>
        <c:axId val="107882752"/>
        <c:axId val="0"/>
      </c:bar3DChart>
      <c:catAx>
        <c:axId val="10788121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7882752"/>
        <c:crosses val="autoZero"/>
        <c:auto val="1"/>
        <c:lblAlgn val="ctr"/>
        <c:lblOffset val="100"/>
        <c:tickLblSkip val="1"/>
        <c:tickMarkSkip val="1"/>
      </c:catAx>
      <c:valAx>
        <c:axId val="107882752"/>
        <c:scaling>
          <c:orientation val="minMax"/>
          <c:max val="300"/>
          <c:min val="0"/>
        </c:scaling>
        <c:axPos val="l"/>
        <c:numFmt formatCode="General"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7881216"/>
        <c:crosses val="autoZero"/>
        <c:crossBetween val="between"/>
        <c:majorUnit val="50"/>
        <c:minorUnit val="10"/>
      </c:valAx>
      <c:spPr>
        <a:noFill/>
        <a:ln w="25400">
          <a:noFill/>
        </a:ln>
      </c:spPr>
    </c:plotArea>
    <c:legend>
      <c:legendPos val="b"/>
      <c:layout>
        <c:manualLayout>
          <c:xMode val="edge"/>
          <c:yMode val="edge"/>
          <c:x val="0.26428571428571435"/>
          <c:y val="0.91079812206572774"/>
          <c:w val="0.44285714285714284"/>
          <c:h val="9.3896713615023525E-2"/>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Average daily latent searches</a:t>
            </a:r>
          </a:p>
        </c:rich>
      </c:tx>
      <c:layout>
        <c:manualLayout>
          <c:xMode val="edge"/>
          <c:yMode val="edge"/>
          <c:x val="0.18928571428571428"/>
          <c:y val="0"/>
        </c:manualLayout>
      </c:layout>
      <c:spPr>
        <a:noFill/>
        <a:ln w="25400">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8.5714285714285715E-2"/>
          <c:y val="0.2863849765258325"/>
          <c:w val="0.9142857142857147"/>
          <c:h val="0.48826291079812206"/>
        </c:manualLayout>
      </c:layout>
      <c:bar3DChart>
        <c:barDir val="col"/>
        <c:grouping val="clustered"/>
        <c:ser>
          <c:idx val="0"/>
          <c:order val="0"/>
          <c:tx>
            <c:strRef>
              <c:f>Sheet1!$A$2</c:f>
              <c:strCache>
                <c:ptCount val="1"/>
                <c:pt idx="0">
                  <c:v>Actual </c:v>
                </c:pt>
              </c:strCache>
            </c:strRef>
          </c:tx>
          <c:spPr>
            <a:solidFill>
              <a:srgbClr val="993366"/>
            </a:solidFill>
            <a:ln w="12700">
              <a:solidFill>
                <a:srgbClr val="000000"/>
              </a:solidFill>
              <a:prstDash val="solid"/>
            </a:ln>
          </c:spPr>
          <c:dLbls>
            <c:dLbl>
              <c:idx val="0"/>
              <c:layout>
                <c:manualLayout>
                  <c:x val="-3.3248904231798983E-3"/>
                  <c:y val="-1.9859647273137729E-2"/>
                </c:manualLayout>
              </c:layout>
              <c:showVal val="1"/>
            </c:dLbl>
            <c:dLbl>
              <c:idx val="1"/>
              <c:layout>
                <c:manualLayout>
                  <c:x val="1.3165716354421214E-2"/>
                  <c:y val="-2.6242482021585866E-2"/>
                </c:manualLayout>
              </c:layout>
              <c:showVal val="1"/>
            </c:dLbl>
            <c:dLbl>
              <c:idx val="2"/>
              <c:layout>
                <c:manualLayout>
                  <c:x val="0.13595049325731179"/>
                  <c:y val="-0.22953097230559186"/>
                </c:manualLayout>
              </c:layout>
              <c:showVal val="1"/>
            </c:dLbl>
            <c:dLbl>
              <c:idx val="3"/>
              <c:layout>
                <c:manualLayout>
                  <c:x val="-0.36835840347543486"/>
                  <c:y val="-0.22953097230559186"/>
                </c:manualLayout>
              </c:layout>
              <c:showVal val="1"/>
            </c:dLbl>
            <c:dLbl>
              <c:idx val="4"/>
              <c:layout>
                <c:manualLayout>
                  <c:xMode val="edge"/>
                  <c:yMode val="edge"/>
                  <c:x val="0.48571428571429442"/>
                  <c:y val="0.18779342723004694"/>
                </c:manualLayout>
              </c:layout>
              <c:showVal val="1"/>
            </c:dLbl>
            <c:dLbl>
              <c:idx val="5"/>
              <c:layout>
                <c:manualLayout>
                  <c:xMode val="edge"/>
                  <c:yMode val="edge"/>
                  <c:x val="0.56785714285714251"/>
                  <c:y val="0.18779342723004694"/>
                </c:manualLayout>
              </c:layout>
              <c:showVal val="1"/>
            </c:dLbl>
            <c:dLbl>
              <c:idx val="6"/>
              <c:layout>
                <c:manualLayout>
                  <c:xMode val="edge"/>
                  <c:yMode val="edge"/>
                  <c:x val="0.36428571428571432"/>
                  <c:y val="4.6948356807511738E-3"/>
                </c:manualLayout>
              </c:layout>
              <c:showVal val="1"/>
            </c:dLbl>
            <c:numFmt formatCode="General"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Sheet1!$B$2:$E$2</c:f>
              <c:numCache>
                <c:formatCode>General</c:formatCode>
                <c:ptCount val="4"/>
                <c:pt idx="0">
                  <c:v>682</c:v>
                </c:pt>
                <c:pt idx="1">
                  <c:v>597</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dLbls>
            <c:dLbl>
              <c:idx val="0"/>
              <c:layout>
                <c:manualLayout>
                  <c:x val="4.1471497097347034E-3"/>
                  <c:y val="-1.7931013218181142E-2"/>
                </c:manualLayout>
              </c:layout>
              <c:showVal val="1"/>
            </c:dLbl>
            <c:dLbl>
              <c:idx val="1"/>
              <c:layout>
                <c:manualLayout>
                  <c:x val="3.4093195247145692E-3"/>
                  <c:y val="-1.9455103323352221E-2"/>
                </c:manualLayout>
              </c:layout>
              <c:showVal val="1"/>
            </c:dLbl>
            <c:dLbl>
              <c:idx val="2"/>
              <c:layout>
                <c:manualLayout>
                  <c:x val="2.6718513634074992E-3"/>
                  <c:y val="-2.2316332229456056E-2"/>
                </c:manualLayout>
              </c:layout>
              <c:showVal val="1"/>
            </c:dLbl>
            <c:dLbl>
              <c:idx val="3"/>
              <c:layout>
                <c:manualLayout>
                  <c:x val="-1.6370453693287255E-3"/>
                  <c:y val="-3.5998238172606292E-3"/>
                </c:manualLayout>
              </c:layout>
              <c:showVal val="1"/>
            </c:dLbl>
            <c:dLbl>
              <c:idx val="4"/>
              <c:layout>
                <c:manualLayout>
                  <c:xMode val="edge"/>
                  <c:yMode val="edge"/>
                  <c:x val="0.96785714285714286"/>
                  <c:y val="4.6948356807511738E-3"/>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5"/>
              <c:layout>
                <c:manualLayout>
                  <c:xMode val="edge"/>
                  <c:yMode val="edge"/>
                  <c:x val="0.88214285714285712"/>
                  <c:y val="4.6948356807511738E-3"/>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6"/>
              <c:layout>
                <c:manualLayout>
                  <c:xMode val="edge"/>
                  <c:yMode val="edge"/>
                  <c:x val="0.70357142857142863"/>
                  <c:y val="0.16901408450704691"/>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7"/>
              <c:layout>
                <c:manualLayout>
                  <c:xMode val="edge"/>
                  <c:yMode val="edge"/>
                  <c:x val="0.77857142857144013"/>
                  <c:y val="0.16901408450704691"/>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8"/>
              <c:layout>
                <c:manualLayout>
                  <c:xMode val="edge"/>
                  <c:yMode val="edge"/>
                  <c:x val="0.86785714285714288"/>
                  <c:y val="0.16901408450704691"/>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numFmt formatCode="General"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Sheet1!$B$3:$E$3</c:f>
              <c:numCache>
                <c:formatCode>General</c:formatCode>
                <c:ptCount val="4"/>
                <c:pt idx="2">
                  <c:v>686</c:v>
                </c:pt>
                <c:pt idx="3">
                  <c:v>753</c:v>
                </c:pt>
              </c:numCache>
            </c:numRef>
          </c:val>
        </c:ser>
        <c:dLbls>
          <c:showVal val="1"/>
        </c:dLbls>
        <c:gapWidth val="10"/>
        <c:gapDepth val="0"/>
        <c:shape val="box"/>
        <c:axId val="108173184"/>
        <c:axId val="108174720"/>
        <c:axId val="0"/>
      </c:bar3DChart>
      <c:catAx>
        <c:axId val="1081731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8174720"/>
        <c:crosses val="autoZero"/>
        <c:auto val="1"/>
        <c:lblAlgn val="ctr"/>
        <c:lblOffset val="100"/>
        <c:tickLblSkip val="1"/>
        <c:tickMarkSkip val="1"/>
      </c:catAx>
      <c:valAx>
        <c:axId val="108174720"/>
        <c:scaling>
          <c:orientation val="minMax"/>
          <c:max val="800"/>
          <c:min val="0"/>
        </c:scaling>
        <c:axPos val="l"/>
        <c:numFmt formatCode="General"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8173184"/>
        <c:crosses val="autoZero"/>
        <c:crossBetween val="between"/>
        <c:minorUnit val="10"/>
      </c:valAx>
      <c:spPr>
        <a:noFill/>
        <a:ln w="25400">
          <a:noFill/>
        </a:ln>
      </c:spPr>
    </c:plotArea>
    <c:legend>
      <c:legendPos val="b"/>
      <c:layout>
        <c:manualLayout>
          <c:xMode val="edge"/>
          <c:yMode val="edge"/>
          <c:x val="0.26428571428571435"/>
          <c:y val="0.91079812206572774"/>
          <c:w val="0.44285714285714284"/>
          <c:h val="9.3896713615023525E-2"/>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Number of Datasets </a:t>
            </a:r>
          </a:p>
          <a:p>
            <a:pPr>
              <a:defRPr sz="800" b="1" i="0" u="none" strike="noStrike" baseline="0">
                <a:solidFill>
                  <a:srgbClr val="000000"/>
                </a:solidFill>
                <a:latin typeface="Arial"/>
                <a:ea typeface="Arial"/>
                <a:cs typeface="Arial"/>
              </a:defRPr>
            </a:pPr>
            <a:r>
              <a:rPr lang="en-US"/>
              <a:t>Incorporated</a:t>
            </a:r>
            <a:r>
              <a:rPr lang="en-US" baseline="0"/>
              <a:t> into DIVS</a:t>
            </a:r>
            <a:endParaRPr lang="en-US"/>
          </a:p>
        </c:rich>
      </c:tx>
      <c:layout>
        <c:manualLayout>
          <c:xMode val="edge"/>
          <c:yMode val="edge"/>
          <c:x val="0.30499891474649748"/>
          <c:y val="2.5224393247140403E-2"/>
        </c:manualLayout>
      </c:layout>
      <c:spPr>
        <a:noFill/>
        <a:ln w="25393">
          <a:noFill/>
        </a:ln>
      </c:spPr>
    </c:title>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230215827338267"/>
          <c:y val="0.21285140562249352"/>
          <c:w val="0.86330935251799445"/>
          <c:h val="0.59036144578312511"/>
        </c:manualLayout>
      </c:layout>
      <c:bar3DChart>
        <c:barDir val="col"/>
        <c:grouping val="clustered"/>
        <c:ser>
          <c:idx val="0"/>
          <c:order val="0"/>
          <c:tx>
            <c:strRef>
              <c:f>Sheet1!$A$2</c:f>
              <c:strCache>
                <c:ptCount val="1"/>
                <c:pt idx="0">
                  <c:v>Actual</c:v>
                </c:pt>
              </c:strCache>
            </c:strRef>
          </c:tx>
          <c:spPr>
            <a:solidFill>
              <a:srgbClr val="993366"/>
            </a:solidFill>
            <a:ln w="12696">
              <a:solidFill>
                <a:srgbClr val="000000"/>
              </a:solidFill>
              <a:prstDash val="solid"/>
            </a:ln>
          </c:spPr>
          <c:dLbls>
            <c:dLbl>
              <c:idx val="0"/>
              <c:layout>
                <c:manualLayout>
                  <c:x val="2.9575847419722284E-2"/>
                  <c:y val="-2.1109476305194916E-2"/>
                </c:manualLayout>
              </c:layout>
              <c:showVal val="1"/>
            </c:dLbl>
            <c:dLbl>
              <c:idx val="1"/>
              <c:layout>
                <c:manualLayout>
                  <c:x val="0.49134100125011632"/>
                  <c:y val="-0.16998021359585544"/>
                </c:manualLayout>
              </c:layout>
              <c:showVal val="1"/>
            </c:dLbl>
            <c:dLbl>
              <c:idx val="2"/>
              <c:layout>
                <c:manualLayout>
                  <c:x val="0.23573794352860394"/>
                  <c:y val="-0.16998021359585544"/>
                </c:manualLayout>
              </c:layout>
              <c:showVal val="1"/>
            </c:dLbl>
            <c:dLbl>
              <c:idx val="3"/>
              <c:layout>
                <c:manualLayout>
                  <c:xMode val="edge"/>
                  <c:yMode val="edge"/>
                  <c:x val="0.41366906474820142"/>
                  <c:y val="0.26104417670682734"/>
                </c:manualLayout>
              </c:layout>
              <c:showVal val="1"/>
            </c:dLbl>
            <c:dLbl>
              <c:idx val="4"/>
              <c:layout>
                <c:manualLayout>
                  <c:xMode val="edge"/>
                  <c:yMode val="edge"/>
                  <c:x val="0.51079136690647564"/>
                  <c:y val="0.25301204819277107"/>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Sheet1!$B$2:$D$2</c:f>
              <c:numCache>
                <c:formatCode>General</c:formatCode>
                <c:ptCount val="3"/>
                <c:pt idx="0">
                  <c:v>51</c:v>
                </c:pt>
              </c:numCache>
            </c:numRef>
          </c:val>
        </c:ser>
        <c:ser>
          <c:idx val="1"/>
          <c:order val="1"/>
          <c:tx>
            <c:strRef>
              <c:f>Sheet1!$A$3</c:f>
              <c:strCache>
                <c:ptCount val="1"/>
                <c:pt idx="0">
                  <c:v>Target</c:v>
                </c:pt>
              </c:strCache>
            </c:strRef>
          </c:tx>
          <c:spPr>
            <a:solidFill>
              <a:srgbClr val="9999FF"/>
            </a:solidFill>
            <a:ln w="12696">
              <a:solidFill>
                <a:srgbClr val="000000"/>
              </a:solidFill>
              <a:prstDash val="solid"/>
            </a:ln>
          </c:spPr>
          <c:dLbls>
            <c:dLbl>
              <c:idx val="0"/>
              <c:layout>
                <c:manualLayout>
                  <c:x val="7.4588435677377021E-3"/>
                  <c:y val="-3.5173946676690077E-2"/>
                </c:manualLayout>
              </c:layout>
              <c:showVal val="1"/>
            </c:dLbl>
            <c:dLbl>
              <c:idx val="1"/>
              <c:layout>
                <c:manualLayout>
                  <c:x val="1.0361082580009152E-2"/>
                  <c:y val="-1.0507094834083085E-2"/>
                </c:manualLayout>
              </c:layout>
              <c:showVal val="1"/>
            </c:dLbl>
            <c:dLbl>
              <c:idx val="2"/>
              <c:layout>
                <c:manualLayout>
                  <c:x val="2.8139319822526123E-2"/>
                  <c:y val="-2.198522676383095E-2"/>
                </c:manualLayout>
              </c:layout>
              <c:showVal val="1"/>
            </c:dLbl>
            <c:dLbl>
              <c:idx val="3"/>
              <c:layout>
                <c:manualLayout>
                  <c:xMode val="edge"/>
                  <c:yMode val="edge"/>
                  <c:x val="0.98561151079136256"/>
                  <c:y val="0"/>
                </c:manualLayout>
              </c:layout>
              <c:showVal val="1"/>
            </c:dLbl>
            <c:dLbl>
              <c:idx val="4"/>
              <c:layout>
                <c:manualLayout>
                  <c:xMode val="edge"/>
                  <c:yMode val="edge"/>
                  <c:x val="0"/>
                  <c:y val="0"/>
                </c:manualLayout>
              </c:layout>
              <c:showVal val="1"/>
            </c:dLbl>
            <c:dLbl>
              <c:idx val="5"/>
              <c:layout>
                <c:manualLayout>
                  <c:xMode val="edge"/>
                  <c:yMode val="edge"/>
                  <c:x val="0.62589928057555644"/>
                  <c:y val="0.22891566265060251"/>
                </c:manualLayout>
              </c:layout>
              <c:showVal val="1"/>
            </c:dLbl>
            <c:dLbl>
              <c:idx val="6"/>
              <c:layout>
                <c:manualLayout>
                  <c:xMode val="edge"/>
                  <c:yMode val="edge"/>
                  <c:x val="0.71582733812950738"/>
                  <c:y val="0.22891566265060251"/>
                </c:manualLayout>
              </c:layout>
              <c:showVal val="1"/>
            </c:dLbl>
            <c:dLbl>
              <c:idx val="7"/>
              <c:layout>
                <c:manualLayout>
                  <c:xMode val="edge"/>
                  <c:yMode val="edge"/>
                  <c:x val="0.7985611510791365"/>
                  <c:y val="0.2088353413654658"/>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Sheet1!$B$3:$D$3</c:f>
              <c:numCache>
                <c:formatCode>#,##0</c:formatCode>
                <c:ptCount val="3"/>
                <c:pt idx="1">
                  <c:v>71</c:v>
                </c:pt>
                <c:pt idx="2">
                  <c:v>101</c:v>
                </c:pt>
              </c:numCache>
            </c:numRef>
          </c:val>
        </c:ser>
        <c:dLbls>
          <c:showVal val="1"/>
        </c:dLbls>
        <c:gapDepth val="0"/>
        <c:shape val="box"/>
        <c:axId val="104694912"/>
        <c:axId val="104696448"/>
        <c:axId val="0"/>
      </c:bar3DChart>
      <c:catAx>
        <c:axId val="104694912"/>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4696448"/>
        <c:crosses val="autoZero"/>
        <c:auto val="1"/>
        <c:lblAlgn val="ctr"/>
        <c:lblOffset val="100"/>
        <c:tickLblSkip val="1"/>
        <c:tickMarkSkip val="1"/>
      </c:catAx>
      <c:valAx>
        <c:axId val="104696448"/>
        <c:scaling>
          <c:orientation val="minMax"/>
        </c:scaling>
        <c:axPos val="l"/>
        <c:majorGridlines>
          <c:spPr>
            <a:ln w="0">
              <a:solidFill>
                <a:schemeClr val="bg1"/>
              </a:solidFill>
              <a:prstDash val="solid"/>
            </a:ln>
          </c:spPr>
        </c:majorGridlines>
        <c:numFmt formatCode="#,##0" sourceLinked="0"/>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4694912"/>
        <c:crosses val="autoZero"/>
        <c:crossBetween val="between"/>
        <c:minorUnit val="50"/>
      </c:valAx>
      <c:spPr>
        <a:noFill/>
        <a:ln w="25393">
          <a:noFill/>
        </a:ln>
      </c:spPr>
    </c:plotArea>
    <c:legend>
      <c:legendPos val="b"/>
      <c:layout>
        <c:manualLayout>
          <c:xMode val="edge"/>
          <c:yMode val="edge"/>
          <c:x val="4.3165467625899304E-2"/>
          <c:y val="0.88353413654618573"/>
          <c:w val="0.93525179856115104"/>
          <c:h val="0.11646586345381568"/>
        </c:manualLayout>
      </c:layout>
      <c:spPr>
        <a:noFill/>
        <a:ln w="3174">
          <a:no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chart>
  <c:spPr>
    <a:noFill/>
    <a:ln w="9525" cap="flat" cmpd="sng" algn="ctr">
      <a:solidFill>
        <a:srgbClr val="7F7F7F"/>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Response time for routine criminal submissions (in hours)</a:t>
            </a:r>
          </a:p>
        </c:rich>
      </c:tx>
      <c:layout>
        <c:manualLayout>
          <c:xMode val="edge"/>
          <c:yMode val="edge"/>
          <c:x val="0.13571428571428859"/>
          <c:y val="0"/>
        </c:manualLayout>
      </c:layout>
      <c:spPr>
        <a:noFill/>
        <a:ln w="25400">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5000000000000011E-2"/>
          <c:y val="0.2863849765258325"/>
          <c:w val="0.92500000000000004"/>
          <c:h val="0.48826291079812206"/>
        </c:manualLayout>
      </c:layout>
      <c:bar3DChart>
        <c:barDir val="col"/>
        <c:grouping val="clustered"/>
        <c:ser>
          <c:idx val="0"/>
          <c:order val="0"/>
          <c:tx>
            <c:strRef>
              <c:f>Sheet1!$A$2</c:f>
              <c:strCache>
                <c:ptCount val="1"/>
                <c:pt idx="0">
                  <c:v>Actual </c:v>
                </c:pt>
              </c:strCache>
            </c:strRef>
          </c:tx>
          <c:spPr>
            <a:solidFill>
              <a:srgbClr val="993366"/>
            </a:solidFill>
            <a:ln w="12700">
              <a:solidFill>
                <a:srgbClr val="000000"/>
              </a:solidFill>
              <a:prstDash val="solid"/>
            </a:ln>
          </c:spPr>
          <c:dLbls>
            <c:dLbl>
              <c:idx val="0"/>
              <c:layout>
                <c:manualLayout>
                  <c:x val="-3.1659620133690481E-3"/>
                  <c:y val="5.7154290691242334E-3"/>
                </c:manualLayout>
              </c:layout>
              <c:showVal val="1"/>
            </c:dLbl>
            <c:dLbl>
              <c:idx val="1"/>
              <c:layout>
                <c:manualLayout>
                  <c:x val="1.0173952393881799E-2"/>
                  <c:y val="-1.0863081576686327E-2"/>
                </c:manualLayout>
              </c:layout>
              <c:showVal val="1"/>
            </c:dLbl>
            <c:dLbl>
              <c:idx val="2"/>
              <c:layout>
                <c:manualLayout>
                  <c:x val="0.13745934344414204"/>
                  <c:y val="-0.25002601132258112"/>
                </c:manualLayout>
              </c:layout>
              <c:showVal val="1"/>
            </c:dLbl>
            <c:dLbl>
              <c:idx val="3"/>
              <c:layout>
                <c:manualLayout>
                  <c:x val="-0.36337514707213331"/>
                  <c:y val="-0.25002601132258112"/>
                </c:manualLayout>
              </c:layout>
              <c:showVal val="1"/>
            </c:dLbl>
            <c:dLbl>
              <c:idx val="4"/>
              <c:layout>
                <c:manualLayout>
                  <c:xMode val="edge"/>
                  <c:yMode val="edge"/>
                  <c:x val="0.48571428571429442"/>
                  <c:y val="0.18779342723004694"/>
                </c:manualLayout>
              </c:layout>
              <c:showVal val="1"/>
            </c:dLbl>
            <c:dLbl>
              <c:idx val="5"/>
              <c:layout>
                <c:manualLayout>
                  <c:xMode val="edge"/>
                  <c:yMode val="edge"/>
                  <c:x val="0.56785714285714251"/>
                  <c:y val="0.18779342723004694"/>
                </c:manualLayout>
              </c:layout>
              <c:showVal val="1"/>
            </c:dLbl>
            <c:dLbl>
              <c:idx val="6"/>
              <c:layout>
                <c:manualLayout>
                  <c:xMode val="edge"/>
                  <c:yMode val="edge"/>
                  <c:x val="0.36428571428571432"/>
                  <c:y val="4.6948356807511738E-3"/>
                </c:manualLayout>
              </c:layout>
              <c:showVal val="1"/>
            </c:dLbl>
            <c:numFmt formatCode="0.0"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Sheet1!$B$2:$E$2</c:f>
              <c:numCache>
                <c:formatCode>General</c:formatCode>
                <c:ptCount val="4"/>
                <c:pt idx="0">
                  <c:v>0.14500000000000021</c:v>
                </c:pt>
                <c:pt idx="1">
                  <c:v>0.16666666666666666</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dLbls>
            <c:dLbl>
              <c:idx val="0"/>
              <c:layout>
                <c:manualLayout>
                  <c:x val="3.2007162897741697E-3"/>
                  <c:y val="-1.5888009577657101E-2"/>
                </c:manualLayout>
              </c:layout>
              <c:showVal val="1"/>
            </c:dLbl>
            <c:dLbl>
              <c:idx val="1"/>
              <c:layout>
                <c:manualLayout>
                  <c:x val="2.3662257735025212E-3"/>
                  <c:y val="-1.5888009577657101E-2"/>
                </c:manualLayout>
              </c:layout>
              <c:showVal val="1"/>
            </c:dLbl>
            <c:dLbl>
              <c:idx val="2"/>
              <c:layout>
                <c:manualLayout>
                  <c:x val="1.5317352572307686E-3"/>
                  <c:y val="-1.6276188491659765E-2"/>
                </c:manualLayout>
              </c:layout>
              <c:showVal val="1"/>
            </c:dLbl>
            <c:dLbl>
              <c:idx val="3"/>
              <c:layout>
                <c:manualLayout>
                  <c:x val="-1.8151610359048301E-3"/>
                  <c:y val="4.6560118215503805E-3"/>
                </c:manualLayout>
              </c:layout>
              <c:showVal val="1"/>
            </c:dLbl>
            <c:dLbl>
              <c:idx val="4"/>
              <c:layout>
                <c:manualLayout>
                  <c:xMode val="edge"/>
                  <c:yMode val="edge"/>
                  <c:x val="0.96785714285714286"/>
                  <c:y val="4.6948356807511738E-3"/>
                </c:manualLayout>
              </c:layout>
              <c:numFmt formatCode="General" sourceLinked="0"/>
              <c:spPr>
                <a:noFill/>
                <a:ln w="25400">
                  <a:noFill/>
                </a:ln>
              </c:spPr>
              <c:txPr>
                <a:bodyPr/>
                <a:lstStyle/>
                <a:p>
                  <a:pPr>
                    <a:defRPr sz="450" b="1" i="0" u="none" strike="noStrike" baseline="0">
                      <a:solidFill>
                        <a:srgbClr val="000000"/>
                      </a:solidFill>
                      <a:latin typeface="Arial"/>
                      <a:ea typeface="Arial"/>
                      <a:cs typeface="Arial"/>
                    </a:defRPr>
                  </a:pPr>
                  <a:endParaRPr lang="en-US"/>
                </a:p>
              </c:txPr>
              <c:showVal val="1"/>
            </c:dLbl>
            <c:dLbl>
              <c:idx val="5"/>
              <c:layout>
                <c:manualLayout>
                  <c:xMode val="edge"/>
                  <c:yMode val="edge"/>
                  <c:x val="0.88214285714285712"/>
                  <c:y val="4.6948356807511738E-3"/>
                </c:manualLayout>
              </c:layout>
              <c:numFmt formatCode="General" sourceLinked="0"/>
              <c:spPr>
                <a:noFill/>
                <a:ln w="25400">
                  <a:noFill/>
                </a:ln>
              </c:spPr>
              <c:txPr>
                <a:bodyPr/>
                <a:lstStyle/>
                <a:p>
                  <a:pPr>
                    <a:defRPr sz="450" b="1" i="0" u="none" strike="noStrike" baseline="0">
                      <a:solidFill>
                        <a:srgbClr val="000000"/>
                      </a:solidFill>
                      <a:latin typeface="Arial"/>
                      <a:ea typeface="Arial"/>
                      <a:cs typeface="Arial"/>
                    </a:defRPr>
                  </a:pPr>
                  <a:endParaRPr lang="en-US"/>
                </a:p>
              </c:txPr>
              <c:showVal val="1"/>
            </c:dLbl>
            <c:dLbl>
              <c:idx val="6"/>
              <c:layout>
                <c:manualLayout>
                  <c:xMode val="edge"/>
                  <c:yMode val="edge"/>
                  <c:x val="0.70357142857142863"/>
                  <c:y val="0.16901408450704691"/>
                </c:manualLayout>
              </c:layout>
              <c:numFmt formatCode="General" sourceLinked="0"/>
              <c:spPr>
                <a:noFill/>
                <a:ln w="25400">
                  <a:noFill/>
                </a:ln>
              </c:spPr>
              <c:txPr>
                <a:bodyPr/>
                <a:lstStyle/>
                <a:p>
                  <a:pPr>
                    <a:defRPr sz="450" b="1" i="0" u="none" strike="noStrike" baseline="0">
                      <a:solidFill>
                        <a:srgbClr val="000000"/>
                      </a:solidFill>
                      <a:latin typeface="Arial"/>
                      <a:ea typeface="Arial"/>
                      <a:cs typeface="Arial"/>
                    </a:defRPr>
                  </a:pPr>
                  <a:endParaRPr lang="en-US"/>
                </a:p>
              </c:txPr>
              <c:showVal val="1"/>
            </c:dLbl>
            <c:dLbl>
              <c:idx val="7"/>
              <c:layout>
                <c:manualLayout>
                  <c:xMode val="edge"/>
                  <c:yMode val="edge"/>
                  <c:x val="0.77857142857144013"/>
                  <c:y val="0.16901408450704691"/>
                </c:manualLayout>
              </c:layout>
              <c:numFmt formatCode="General" sourceLinked="0"/>
              <c:spPr>
                <a:noFill/>
                <a:ln w="25400">
                  <a:noFill/>
                </a:ln>
              </c:spPr>
              <c:txPr>
                <a:bodyPr/>
                <a:lstStyle/>
                <a:p>
                  <a:pPr>
                    <a:defRPr sz="450" b="1" i="0" u="none" strike="noStrike" baseline="0">
                      <a:solidFill>
                        <a:srgbClr val="000000"/>
                      </a:solidFill>
                      <a:latin typeface="Arial"/>
                      <a:ea typeface="Arial"/>
                      <a:cs typeface="Arial"/>
                    </a:defRPr>
                  </a:pPr>
                  <a:endParaRPr lang="en-US"/>
                </a:p>
              </c:txPr>
              <c:showVal val="1"/>
            </c:dLbl>
            <c:dLbl>
              <c:idx val="8"/>
              <c:layout>
                <c:manualLayout>
                  <c:xMode val="edge"/>
                  <c:yMode val="edge"/>
                  <c:x val="0.86785714285714288"/>
                  <c:y val="0.16901408450704691"/>
                </c:manualLayout>
              </c:layout>
              <c:numFmt formatCode="General" sourceLinked="0"/>
              <c:spPr>
                <a:noFill/>
                <a:ln w="25400">
                  <a:noFill/>
                </a:ln>
              </c:spPr>
              <c:txPr>
                <a:bodyPr/>
                <a:lstStyle/>
                <a:p>
                  <a:pPr>
                    <a:defRPr sz="450" b="1" i="0" u="none" strike="noStrike" baseline="0">
                      <a:solidFill>
                        <a:srgbClr val="000000"/>
                      </a:solidFill>
                      <a:latin typeface="Arial"/>
                      <a:ea typeface="Arial"/>
                      <a:cs typeface="Arial"/>
                    </a:defRPr>
                  </a:pPr>
                  <a:endParaRPr lang="en-US"/>
                </a:p>
              </c:txPr>
              <c:showVal val="1"/>
            </c:dLbl>
            <c:numFmt formatCode="General"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Sheet1!$B$3:$E$3</c:f>
              <c:numCache>
                <c:formatCode>General</c:formatCode>
                <c:ptCount val="4"/>
                <c:pt idx="2">
                  <c:v>1</c:v>
                </c:pt>
                <c:pt idx="3">
                  <c:v>0.5</c:v>
                </c:pt>
              </c:numCache>
            </c:numRef>
          </c:val>
        </c:ser>
        <c:dLbls>
          <c:showVal val="1"/>
        </c:dLbls>
        <c:gapWidth val="10"/>
        <c:gapDepth val="0"/>
        <c:shape val="box"/>
        <c:axId val="113032192"/>
        <c:axId val="113443584"/>
        <c:axId val="0"/>
      </c:bar3DChart>
      <c:catAx>
        <c:axId val="1130321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443584"/>
        <c:crosses val="autoZero"/>
        <c:auto val="1"/>
        <c:lblAlgn val="ctr"/>
        <c:lblOffset val="100"/>
        <c:tickLblSkip val="1"/>
        <c:tickMarkSkip val="1"/>
      </c:catAx>
      <c:valAx>
        <c:axId val="113443584"/>
        <c:scaling>
          <c:orientation val="minMax"/>
          <c:min val="0"/>
        </c:scaling>
        <c:axPos val="l"/>
        <c:minorGridlines>
          <c:spPr>
            <a:ln>
              <a:solidFill>
                <a:sysClr val="window" lastClr="FFFFFF"/>
              </a:solidFill>
            </a:ln>
          </c:spPr>
        </c:minorGridlines>
        <c:numFmt formatCode="General"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032192"/>
        <c:crosses val="autoZero"/>
        <c:crossBetween val="between"/>
        <c:majorUnit val="0.5"/>
        <c:minorUnit val="0.25"/>
      </c:valAx>
      <c:spPr>
        <a:noFill/>
        <a:ln w="25400">
          <a:noFill/>
        </a:ln>
      </c:spPr>
    </c:plotArea>
    <c:legend>
      <c:legendPos val="b"/>
      <c:layout>
        <c:manualLayout>
          <c:xMode val="edge"/>
          <c:yMode val="edge"/>
          <c:x val="0.26428571428571435"/>
          <c:y val="0.90610328638497661"/>
          <c:w val="0.44285714285714284"/>
          <c:h val="9.3896713615023525E-2"/>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Response time for routine civil submissions (in hours)</a:t>
            </a:r>
          </a:p>
        </c:rich>
      </c:tx>
      <c:layout>
        <c:manualLayout>
          <c:xMode val="edge"/>
          <c:yMode val="edge"/>
          <c:x val="0.24396560774730774"/>
          <c:y val="3.5874439461883414E-2"/>
        </c:manualLayout>
      </c:layout>
      <c:spPr>
        <a:noFill/>
        <a:ln w="25400">
          <a:noFill/>
        </a:ln>
      </c:spPr>
    </c:title>
    <c:view3D>
      <c:rotX val="9"/>
      <c:hPercent val="48"/>
      <c:rotY val="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4285714285714293E-2"/>
          <c:y val="0.2863849765258325"/>
          <c:w val="0.9357142857142855"/>
          <c:h val="0.48826291079812206"/>
        </c:manualLayout>
      </c:layout>
      <c:bar3DChart>
        <c:barDir val="col"/>
        <c:grouping val="clustered"/>
        <c:ser>
          <c:idx val="0"/>
          <c:order val="0"/>
          <c:tx>
            <c:strRef>
              <c:f>Sheet1!$A$2</c:f>
              <c:strCache>
                <c:ptCount val="1"/>
                <c:pt idx="0">
                  <c:v>Actual </c:v>
                </c:pt>
              </c:strCache>
            </c:strRef>
          </c:tx>
          <c:spPr>
            <a:solidFill>
              <a:srgbClr val="993366"/>
            </a:solidFill>
            <a:ln w="12700">
              <a:solidFill>
                <a:srgbClr val="000000"/>
              </a:solidFill>
              <a:prstDash val="solid"/>
            </a:ln>
          </c:spPr>
          <c:dLbls>
            <c:dLbl>
              <c:idx val="0"/>
              <c:layout>
                <c:manualLayout>
                  <c:x val="-5.0384779488770884E-3"/>
                  <c:y val="5.1602777215535934E-3"/>
                </c:manualLayout>
              </c:layout>
              <c:showVal val="1"/>
            </c:dLbl>
            <c:dLbl>
              <c:idx val="1"/>
              <c:layout>
                <c:manualLayout>
                  <c:x val="3.6090143904426355E-3"/>
                  <c:y val="-8.042088909290002E-3"/>
                </c:manualLayout>
              </c:layout>
              <c:showVal val="1"/>
            </c:dLbl>
            <c:dLbl>
              <c:idx val="2"/>
              <c:layout>
                <c:manualLayout>
                  <c:x val="0.13539712708325266"/>
                  <c:y val="-0.22926779892423771"/>
                </c:manualLayout>
              </c:layout>
              <c:showVal val="1"/>
            </c:dLbl>
            <c:dLbl>
              <c:idx val="3"/>
              <c:layout>
                <c:manualLayout>
                  <c:x val="-0.35838899447914796"/>
                  <c:y val="-0.22926779892423771"/>
                </c:manualLayout>
              </c:layout>
              <c:showVal val="1"/>
            </c:dLbl>
            <c:dLbl>
              <c:idx val="4"/>
              <c:layout>
                <c:manualLayout>
                  <c:xMode val="edge"/>
                  <c:yMode val="edge"/>
                  <c:x val="0.48571428571429442"/>
                  <c:y val="0.18779342723004694"/>
                </c:manualLayout>
              </c:layout>
              <c:showVal val="1"/>
            </c:dLbl>
            <c:dLbl>
              <c:idx val="5"/>
              <c:layout>
                <c:manualLayout>
                  <c:xMode val="edge"/>
                  <c:yMode val="edge"/>
                  <c:x val="0.56785714285714251"/>
                  <c:y val="0.18779342723004694"/>
                </c:manualLayout>
              </c:layout>
              <c:showVal val="1"/>
            </c:dLbl>
            <c:dLbl>
              <c:idx val="6"/>
              <c:layout>
                <c:manualLayout>
                  <c:xMode val="edge"/>
                  <c:yMode val="edge"/>
                  <c:x val="0.36428571428571432"/>
                  <c:y val="4.6948356807511738E-3"/>
                </c:manualLayout>
              </c:layout>
              <c:showVal val="1"/>
            </c:dLbl>
            <c:numFmt formatCode="0.0"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Sheet1!$B$2:$E$2</c:f>
              <c:numCache>
                <c:formatCode>General</c:formatCode>
                <c:ptCount val="4"/>
                <c:pt idx="0">
                  <c:v>0.92300000000000004</c:v>
                </c:pt>
                <c:pt idx="1">
                  <c:v>1.08</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dLbls>
            <c:dLbl>
              <c:idx val="0"/>
              <c:layout>
                <c:manualLayout>
                  <c:x val="7.98727745238844E-4"/>
                  <c:y val="-2.3981792903058182E-2"/>
                </c:manualLayout>
              </c:layout>
              <c:showVal val="1"/>
            </c:dLbl>
            <c:dLbl>
              <c:idx val="1"/>
              <c:layout>
                <c:manualLayout>
                  <c:x val="7.0126061828480529E-3"/>
                  <c:y val="-2.3981792903058182E-2"/>
                </c:manualLayout>
              </c:layout>
              <c:showVal val="1"/>
            </c:dLbl>
            <c:dLbl>
              <c:idx val="2"/>
              <c:layout>
                <c:manualLayout>
                  <c:x val="2.5118368824590212E-3"/>
                  <c:y val="-1.8029097338642549E-2"/>
                </c:manualLayout>
              </c:layout>
              <c:showVal val="1"/>
            </c:dLbl>
            <c:dLbl>
              <c:idx val="3"/>
              <c:layout>
                <c:manualLayout>
                  <c:x val="-5.0757793206884123E-3"/>
                  <c:y val="1.3794107227785965E-3"/>
                </c:manualLayout>
              </c:layout>
              <c:showVal val="1"/>
            </c:dLbl>
            <c:dLbl>
              <c:idx val="4"/>
              <c:layout>
                <c:manualLayout>
                  <c:xMode val="edge"/>
                  <c:yMode val="edge"/>
                  <c:x val="0.96785714285714286"/>
                  <c:y val="4.6948356807511738E-3"/>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5"/>
              <c:layout>
                <c:manualLayout>
                  <c:xMode val="edge"/>
                  <c:yMode val="edge"/>
                  <c:x val="0.88214285714285712"/>
                  <c:y val="4.6948356807511738E-3"/>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6"/>
              <c:layout>
                <c:manualLayout>
                  <c:xMode val="edge"/>
                  <c:yMode val="edge"/>
                  <c:x val="0.70357142857142863"/>
                  <c:y val="0.16901408450704691"/>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7"/>
              <c:layout>
                <c:manualLayout>
                  <c:xMode val="edge"/>
                  <c:yMode val="edge"/>
                  <c:x val="0.77857142857144013"/>
                  <c:y val="0.16901408450704691"/>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dLbl>
              <c:idx val="8"/>
              <c:layout>
                <c:manualLayout>
                  <c:xMode val="edge"/>
                  <c:yMode val="edge"/>
                  <c:x val="0.86785714285714288"/>
                  <c:y val="0.16901408450704691"/>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Val val="1"/>
            </c:dLbl>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4"/>
                <c:pt idx="0">
                  <c:v>FY10</c:v>
                </c:pt>
                <c:pt idx="1">
                  <c:v>FY11</c:v>
                </c:pt>
                <c:pt idx="2">
                  <c:v>FY12</c:v>
                </c:pt>
                <c:pt idx="3">
                  <c:v>FY13</c:v>
                </c:pt>
              </c:strCache>
            </c:strRef>
          </c:cat>
          <c:val>
            <c:numRef>
              <c:f>Sheet1!$B$3:$E$3</c:f>
              <c:numCache>
                <c:formatCode>General</c:formatCode>
                <c:ptCount val="4"/>
                <c:pt idx="2">
                  <c:v>12</c:v>
                </c:pt>
                <c:pt idx="3">
                  <c:v>6</c:v>
                </c:pt>
              </c:numCache>
            </c:numRef>
          </c:val>
        </c:ser>
        <c:dLbls>
          <c:showVal val="1"/>
        </c:dLbls>
        <c:gapWidth val="10"/>
        <c:gapDepth val="0"/>
        <c:shape val="box"/>
        <c:axId val="113504640"/>
        <c:axId val="113506176"/>
        <c:axId val="0"/>
      </c:bar3DChart>
      <c:catAx>
        <c:axId val="1135046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506176"/>
        <c:crosses val="autoZero"/>
        <c:auto val="1"/>
        <c:lblAlgn val="ctr"/>
        <c:lblOffset val="100"/>
        <c:tickLblSkip val="1"/>
        <c:tickMarkSkip val="1"/>
      </c:catAx>
      <c:valAx>
        <c:axId val="113506176"/>
        <c:scaling>
          <c:orientation val="minMax"/>
          <c:min val="0"/>
        </c:scaling>
        <c:axPos val="l"/>
        <c:numFmt formatCode="General"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504640"/>
        <c:crosses val="autoZero"/>
        <c:crossBetween val="between"/>
        <c:majorUnit val="6"/>
        <c:minorUnit val="1"/>
      </c:valAx>
      <c:spPr>
        <a:noFill/>
        <a:ln w="25400">
          <a:noFill/>
        </a:ln>
      </c:spPr>
    </c:plotArea>
    <c:legend>
      <c:legendPos val="b"/>
      <c:layout>
        <c:manualLayout>
          <c:xMode val="edge"/>
          <c:yMode val="edge"/>
          <c:x val="0.26428571428571435"/>
          <c:y val="0.90610328638497661"/>
          <c:w val="0.44285714285714284"/>
          <c:h val="9.3896713615023525E-2"/>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Number of active LEO members
(in thousands)</a:t>
            </a:r>
          </a:p>
        </c:rich>
      </c:tx>
      <c:layout>
        <c:manualLayout>
          <c:xMode val="edge"/>
          <c:yMode val="edge"/>
          <c:x val="0.14748201438848921"/>
          <c:y val="2.0080321285140611E-2"/>
        </c:manualLayout>
      </c:layout>
      <c:spPr>
        <a:noFill/>
        <a:ln w="25393">
          <a:noFill/>
        </a:ln>
      </c:spPr>
    </c:title>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230215827338298"/>
          <c:y val="0.21285140562249438"/>
          <c:w val="0.86330935251799656"/>
          <c:h val="0.59036144578312377"/>
        </c:manualLayout>
      </c:layout>
      <c:bar3DChart>
        <c:barDir val="col"/>
        <c:grouping val="clustered"/>
        <c:ser>
          <c:idx val="0"/>
          <c:order val="0"/>
          <c:tx>
            <c:strRef>
              <c:f>Sheet1!$A$2</c:f>
              <c:strCache>
                <c:ptCount val="1"/>
                <c:pt idx="0">
                  <c:v>Actual</c:v>
                </c:pt>
              </c:strCache>
            </c:strRef>
          </c:tx>
          <c:spPr>
            <a:solidFill>
              <a:srgbClr val="993366"/>
            </a:solidFill>
            <a:ln w="12696">
              <a:solidFill>
                <a:srgbClr val="000000"/>
              </a:solidFill>
              <a:prstDash val="solid"/>
            </a:ln>
          </c:spPr>
          <c:dLbls>
            <c:dLbl>
              <c:idx val="0"/>
              <c:layout>
                <c:manualLayout>
                  <c:x val="2.5859829805011392E-2"/>
                  <c:y val="-2.0495575939605496E-2"/>
                </c:manualLayout>
              </c:layout>
              <c:showVal val="1"/>
            </c:dLbl>
            <c:dLbl>
              <c:idx val="1"/>
              <c:layout>
                <c:manualLayout>
                  <c:x val="0.49134100125011632"/>
                  <c:y val="-0.16998021359585541"/>
                </c:manualLayout>
              </c:layout>
              <c:showVal val="1"/>
            </c:dLbl>
            <c:dLbl>
              <c:idx val="2"/>
              <c:layout>
                <c:manualLayout>
                  <c:x val="0.23573794352860394"/>
                  <c:y val="-0.16998021359585541"/>
                </c:manualLayout>
              </c:layout>
              <c:showVal val="1"/>
            </c:dLbl>
            <c:dLbl>
              <c:idx val="3"/>
              <c:layout>
                <c:manualLayout>
                  <c:xMode val="edge"/>
                  <c:yMode val="edge"/>
                  <c:x val="0.41366906474820142"/>
                  <c:y val="0.26104417670682734"/>
                </c:manualLayout>
              </c:layout>
              <c:showVal val="1"/>
            </c:dLbl>
            <c:dLbl>
              <c:idx val="4"/>
              <c:layout>
                <c:manualLayout>
                  <c:xMode val="edge"/>
                  <c:yMode val="edge"/>
                  <c:x val="0.51079136690647564"/>
                  <c:y val="0.25301204819277107"/>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Sheet1!$B$2:$D$2</c:f>
              <c:numCache>
                <c:formatCode>General</c:formatCode>
                <c:ptCount val="3"/>
                <c:pt idx="0">
                  <c:v>55</c:v>
                </c:pt>
              </c:numCache>
            </c:numRef>
          </c:val>
        </c:ser>
        <c:ser>
          <c:idx val="1"/>
          <c:order val="1"/>
          <c:tx>
            <c:strRef>
              <c:f>Sheet1!$A$3</c:f>
              <c:strCache>
                <c:ptCount val="1"/>
                <c:pt idx="0">
                  <c:v>Target</c:v>
                </c:pt>
              </c:strCache>
            </c:strRef>
          </c:tx>
          <c:spPr>
            <a:solidFill>
              <a:srgbClr val="9999FF"/>
            </a:solidFill>
            <a:ln w="12696">
              <a:solidFill>
                <a:srgbClr val="000000"/>
              </a:solidFill>
              <a:prstDash val="solid"/>
            </a:ln>
          </c:spPr>
          <c:dLbls>
            <c:dLbl>
              <c:idx val="0"/>
              <c:layout>
                <c:manualLayout>
                  <c:x val="7.4588435677377133E-3"/>
                  <c:y val="-3.5173946676690243E-2"/>
                </c:manualLayout>
              </c:layout>
              <c:showVal val="1"/>
            </c:dLbl>
            <c:dLbl>
              <c:idx val="1"/>
              <c:layout>
                <c:manualLayout>
                  <c:x val="1.0361082580009152E-2"/>
                  <c:y val="-1.0507094834083085E-2"/>
                </c:manualLayout>
              </c:layout>
              <c:showVal val="1"/>
            </c:dLbl>
            <c:dLbl>
              <c:idx val="2"/>
              <c:layout>
                <c:manualLayout>
                  <c:x val="2.8139319822526258E-2"/>
                  <c:y val="-2.1985226763830992E-2"/>
                </c:manualLayout>
              </c:layout>
              <c:showVal val="1"/>
            </c:dLbl>
            <c:dLbl>
              <c:idx val="3"/>
              <c:layout>
                <c:manualLayout>
                  <c:xMode val="edge"/>
                  <c:yMode val="edge"/>
                  <c:x val="0.98561151079136256"/>
                  <c:y val="0"/>
                </c:manualLayout>
              </c:layout>
              <c:showVal val="1"/>
            </c:dLbl>
            <c:dLbl>
              <c:idx val="4"/>
              <c:layout>
                <c:manualLayout>
                  <c:xMode val="edge"/>
                  <c:yMode val="edge"/>
                  <c:x val="0"/>
                  <c:y val="0"/>
                </c:manualLayout>
              </c:layout>
              <c:showVal val="1"/>
            </c:dLbl>
            <c:dLbl>
              <c:idx val="5"/>
              <c:layout>
                <c:manualLayout>
                  <c:xMode val="edge"/>
                  <c:yMode val="edge"/>
                  <c:x val="0.62589928057556021"/>
                  <c:y val="0.2289156626506027"/>
                </c:manualLayout>
              </c:layout>
              <c:showVal val="1"/>
            </c:dLbl>
            <c:dLbl>
              <c:idx val="6"/>
              <c:layout>
                <c:manualLayout>
                  <c:xMode val="edge"/>
                  <c:yMode val="edge"/>
                  <c:x val="0.71582733812950983"/>
                  <c:y val="0.2289156626506027"/>
                </c:manualLayout>
              </c:layout>
              <c:showVal val="1"/>
            </c:dLbl>
            <c:dLbl>
              <c:idx val="7"/>
              <c:layout>
                <c:manualLayout>
                  <c:xMode val="edge"/>
                  <c:yMode val="edge"/>
                  <c:x val="0.7985611510791365"/>
                  <c:y val="0.20883534136546669"/>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Sheet1!$B$3:$D$3</c:f>
              <c:numCache>
                <c:formatCode>#,##0</c:formatCode>
                <c:ptCount val="3"/>
                <c:pt idx="1">
                  <c:v>65</c:v>
                </c:pt>
                <c:pt idx="2">
                  <c:v>189</c:v>
                </c:pt>
              </c:numCache>
            </c:numRef>
          </c:val>
        </c:ser>
        <c:dLbls>
          <c:showVal val="1"/>
        </c:dLbls>
        <c:gapDepth val="0"/>
        <c:shape val="box"/>
        <c:axId val="113658496"/>
        <c:axId val="113676672"/>
        <c:axId val="0"/>
      </c:bar3DChart>
      <c:catAx>
        <c:axId val="113658496"/>
        <c:scaling>
          <c:orientation val="minMax"/>
        </c:scaling>
        <c:axPos val="b"/>
        <c:numFmt formatCode="General" sourceLinked="1"/>
        <c:tickLblPos val="low"/>
        <c:spPr>
          <a:ln w="3174">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n-US"/>
          </a:p>
        </c:txPr>
        <c:crossAx val="113676672"/>
        <c:crosses val="autoZero"/>
        <c:auto val="1"/>
        <c:lblAlgn val="ctr"/>
        <c:lblOffset val="100"/>
        <c:tickLblSkip val="1"/>
        <c:tickMarkSkip val="1"/>
      </c:catAx>
      <c:valAx>
        <c:axId val="113676672"/>
        <c:scaling>
          <c:orientation val="minMax"/>
        </c:scaling>
        <c:axPos val="l"/>
        <c:majorGridlines>
          <c:spPr>
            <a:ln w="0">
              <a:solidFill>
                <a:schemeClr val="bg1"/>
              </a:solidFill>
              <a:prstDash val="solid"/>
            </a:ln>
          </c:spPr>
        </c:majorGridlines>
        <c:numFmt formatCode="#,##0" sourceLinked="0"/>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658496"/>
        <c:crosses val="autoZero"/>
        <c:crossBetween val="between"/>
        <c:minorUnit val="50"/>
      </c:valAx>
      <c:spPr>
        <a:noFill/>
        <a:ln w="25393">
          <a:noFill/>
        </a:ln>
      </c:spPr>
    </c:plotArea>
    <c:legend>
      <c:legendPos val="b"/>
      <c:layout>
        <c:manualLayout>
          <c:xMode val="edge"/>
          <c:yMode val="edge"/>
          <c:x val="4.3165467625899304E-2"/>
          <c:y val="0.88353413654618662"/>
          <c:w val="0.93525179856115104"/>
          <c:h val="0.11646586345381572"/>
        </c:manualLayout>
      </c:layout>
      <c:spPr>
        <a:noFill/>
        <a:ln w="3174">
          <a:no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w="9525" cap="flat" cmpd="sng" algn="ctr">
      <a:solidFill>
        <a:srgbClr val="7F7F7F"/>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Percent of population covered by N-DEx via state and local law enforement participation</a:t>
            </a:r>
            <a:r>
              <a:rPr lang="en-US" baseline="0"/>
              <a:t> </a:t>
            </a:r>
            <a:r>
              <a:rPr lang="en-US"/>
              <a:t>(percentage)</a:t>
            </a:r>
          </a:p>
        </c:rich>
      </c:tx>
      <c:layout>
        <c:manualLayout>
          <c:xMode val="edge"/>
          <c:yMode val="edge"/>
          <c:x val="0.14748213764946394"/>
          <c:y val="4.6876451885279414E-3"/>
        </c:manualLayout>
      </c:layout>
      <c:spPr>
        <a:noFill/>
        <a:ln w="25393">
          <a:noFill/>
        </a:ln>
      </c:spPr>
    </c:title>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230215827338312"/>
          <c:y val="0.21285140562249477"/>
          <c:w val="0.86330935251799756"/>
          <c:h val="0.59036144578312189"/>
        </c:manualLayout>
      </c:layout>
      <c:bar3DChart>
        <c:barDir val="col"/>
        <c:grouping val="clustered"/>
        <c:ser>
          <c:idx val="0"/>
          <c:order val="0"/>
          <c:tx>
            <c:strRef>
              <c:f>Sheet1!$A$2</c:f>
              <c:strCache>
                <c:ptCount val="1"/>
                <c:pt idx="0">
                  <c:v>Actual</c:v>
                </c:pt>
              </c:strCache>
            </c:strRef>
          </c:tx>
          <c:spPr>
            <a:solidFill>
              <a:srgbClr val="993366"/>
            </a:solidFill>
            <a:ln w="12696">
              <a:solidFill>
                <a:srgbClr val="000000"/>
              </a:solidFill>
              <a:prstDash val="solid"/>
            </a:ln>
          </c:spPr>
          <c:dLbls>
            <c:dLbl>
              <c:idx val="0"/>
              <c:layout>
                <c:manualLayout>
                  <c:x val="2.1164698162729617E-2"/>
                  <c:y val="-3.1447582648885156E-2"/>
                </c:manualLayout>
              </c:layout>
              <c:showVal val="1"/>
            </c:dLbl>
            <c:dLbl>
              <c:idx val="1"/>
              <c:layout>
                <c:manualLayout>
                  <c:x val="0.49134100125011632"/>
                  <c:y val="-0.16998021359585491"/>
                </c:manualLayout>
              </c:layout>
              <c:showVal val="1"/>
            </c:dLbl>
            <c:dLbl>
              <c:idx val="2"/>
              <c:layout>
                <c:manualLayout>
                  <c:x val="0.23573794352860394"/>
                  <c:y val="-0.16998021359585491"/>
                </c:manualLayout>
              </c:layout>
              <c:showVal val="1"/>
            </c:dLbl>
            <c:dLbl>
              <c:idx val="3"/>
              <c:layout>
                <c:manualLayout>
                  <c:xMode val="edge"/>
                  <c:yMode val="edge"/>
                  <c:x val="0.41366906474820142"/>
                  <c:y val="0.26104417670682734"/>
                </c:manualLayout>
              </c:layout>
              <c:showVal val="1"/>
            </c:dLbl>
            <c:dLbl>
              <c:idx val="4"/>
              <c:layout>
                <c:manualLayout>
                  <c:xMode val="edge"/>
                  <c:yMode val="edge"/>
                  <c:x val="0.51079136690647564"/>
                  <c:y val="0.25301204819277107"/>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Sheet1!$B$2:$D$2</c:f>
              <c:numCache>
                <c:formatCode>General</c:formatCode>
                <c:ptCount val="3"/>
                <c:pt idx="0">
                  <c:v>35</c:v>
                </c:pt>
              </c:numCache>
            </c:numRef>
          </c:val>
        </c:ser>
        <c:ser>
          <c:idx val="1"/>
          <c:order val="1"/>
          <c:tx>
            <c:strRef>
              <c:f>Sheet1!$A$3</c:f>
              <c:strCache>
                <c:ptCount val="1"/>
                <c:pt idx="0">
                  <c:v>Target</c:v>
                </c:pt>
              </c:strCache>
            </c:strRef>
          </c:tx>
          <c:spPr>
            <a:solidFill>
              <a:srgbClr val="9999FF"/>
            </a:solidFill>
            <a:ln w="12696">
              <a:solidFill>
                <a:srgbClr val="000000"/>
              </a:solidFill>
              <a:prstDash val="solid"/>
            </a:ln>
          </c:spPr>
          <c:dLbls>
            <c:dLbl>
              <c:idx val="0"/>
              <c:layout>
                <c:manualLayout>
                  <c:x val="7.4588435677376934E-3"/>
                  <c:y val="-3.5173946676690292E-2"/>
                </c:manualLayout>
              </c:layout>
              <c:showVal val="1"/>
            </c:dLbl>
            <c:dLbl>
              <c:idx val="1"/>
              <c:layout>
                <c:manualLayout>
                  <c:x val="1.0361082580009152E-2"/>
                  <c:y val="-1.050709483408308E-2"/>
                </c:manualLayout>
              </c:layout>
              <c:showVal val="1"/>
            </c:dLbl>
            <c:dLbl>
              <c:idx val="2"/>
              <c:layout>
                <c:manualLayout>
                  <c:x val="2.8139319822526303E-2"/>
                  <c:y val="-2.1985226763830912E-2"/>
                </c:manualLayout>
              </c:layout>
              <c:showVal val="1"/>
            </c:dLbl>
            <c:dLbl>
              <c:idx val="3"/>
              <c:layout>
                <c:manualLayout>
                  <c:xMode val="edge"/>
                  <c:yMode val="edge"/>
                  <c:x val="0.98561151079136256"/>
                  <c:y val="0"/>
                </c:manualLayout>
              </c:layout>
              <c:showVal val="1"/>
            </c:dLbl>
            <c:dLbl>
              <c:idx val="4"/>
              <c:layout>
                <c:manualLayout>
                  <c:xMode val="edge"/>
                  <c:yMode val="edge"/>
                  <c:x val="0"/>
                  <c:y val="0"/>
                </c:manualLayout>
              </c:layout>
              <c:showVal val="1"/>
            </c:dLbl>
            <c:dLbl>
              <c:idx val="5"/>
              <c:layout>
                <c:manualLayout>
                  <c:xMode val="edge"/>
                  <c:yMode val="edge"/>
                  <c:x val="0.62589928057556199"/>
                  <c:y val="0.2289156626506024"/>
                </c:manualLayout>
              </c:layout>
              <c:showVal val="1"/>
            </c:dLbl>
            <c:dLbl>
              <c:idx val="6"/>
              <c:layout>
                <c:manualLayout>
                  <c:xMode val="edge"/>
                  <c:yMode val="edge"/>
                  <c:x val="0.71582733812951094"/>
                  <c:y val="0.2289156626506024"/>
                </c:manualLayout>
              </c:layout>
              <c:showVal val="1"/>
            </c:dLbl>
            <c:dLbl>
              <c:idx val="7"/>
              <c:layout>
                <c:manualLayout>
                  <c:xMode val="edge"/>
                  <c:yMode val="edge"/>
                  <c:x val="0.7985611510791365"/>
                  <c:y val="0.20883534136546708"/>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Sheet1!$B$3:$D$3</c:f>
              <c:numCache>
                <c:formatCode>#,##0</c:formatCode>
                <c:ptCount val="3"/>
                <c:pt idx="1">
                  <c:v>50</c:v>
                </c:pt>
                <c:pt idx="2">
                  <c:v>58</c:v>
                </c:pt>
              </c:numCache>
            </c:numRef>
          </c:val>
        </c:ser>
        <c:dLbls>
          <c:showVal val="1"/>
        </c:dLbls>
        <c:gapDepth val="0"/>
        <c:shape val="box"/>
        <c:axId val="113592192"/>
        <c:axId val="113593728"/>
        <c:axId val="0"/>
      </c:bar3DChart>
      <c:catAx>
        <c:axId val="113592192"/>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593728"/>
        <c:crosses val="autoZero"/>
        <c:auto val="1"/>
        <c:lblAlgn val="ctr"/>
        <c:lblOffset val="100"/>
        <c:tickLblSkip val="1"/>
        <c:tickMarkSkip val="1"/>
      </c:catAx>
      <c:valAx>
        <c:axId val="113593728"/>
        <c:scaling>
          <c:orientation val="minMax"/>
        </c:scaling>
        <c:axPos val="l"/>
        <c:majorGridlines>
          <c:spPr>
            <a:ln w="0">
              <a:solidFill>
                <a:schemeClr val="bg1"/>
              </a:solidFill>
              <a:prstDash val="solid"/>
            </a:ln>
          </c:spPr>
        </c:majorGridlines>
        <c:numFmt formatCode="#,##0" sourceLinked="0"/>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3592192"/>
        <c:crosses val="autoZero"/>
        <c:crossBetween val="between"/>
        <c:minorUnit val="50"/>
      </c:valAx>
      <c:spPr>
        <a:noFill/>
        <a:ln w="25393">
          <a:noFill/>
        </a:ln>
      </c:spPr>
    </c:plotArea>
    <c:legend>
      <c:legendPos val="b"/>
      <c:layout>
        <c:manualLayout>
          <c:xMode val="edge"/>
          <c:yMode val="edge"/>
          <c:x val="4.3165467625899283E-2"/>
          <c:y val="0.88353413654618473"/>
          <c:w val="0.93525179856115104"/>
          <c:h val="0.11646586345381529"/>
        </c:manualLayout>
      </c:layout>
      <c:spPr>
        <a:noFill/>
        <a:ln w="3174">
          <a:no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w="9525" cap="flat" cmpd="sng" algn="ctr">
      <a:solidFill>
        <a:srgbClr val="7F7F7F"/>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Number of products and services deployed in support of customers</a:t>
            </a:r>
          </a:p>
        </c:rich>
      </c:tx>
      <c:layout>
        <c:manualLayout>
          <c:xMode val="edge"/>
          <c:yMode val="edge"/>
          <c:x val="0.16562612600254237"/>
          <c:y val="3.0341959558024073E-2"/>
        </c:manualLayout>
      </c:layout>
      <c:spPr>
        <a:noFill/>
        <a:ln w="25393">
          <a:noFill/>
        </a:ln>
      </c:spPr>
    </c:title>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230215827338317"/>
          <c:y val="0.21285140562249497"/>
          <c:w val="0.86330935251799812"/>
          <c:h val="0.59036144578312144"/>
        </c:manualLayout>
      </c:layout>
      <c:bar3DChart>
        <c:barDir val="col"/>
        <c:grouping val="clustered"/>
        <c:ser>
          <c:idx val="0"/>
          <c:order val="0"/>
          <c:tx>
            <c:v>Actual</c:v>
          </c:tx>
          <c:spPr>
            <a:solidFill>
              <a:srgbClr val="993366"/>
            </a:solidFill>
            <a:ln w="12696">
              <a:solidFill>
                <a:srgbClr val="000000"/>
              </a:solidFill>
              <a:prstDash val="solid"/>
            </a:ln>
          </c:spPr>
          <c:dLbls>
            <c:dLbl>
              <c:idx val="0"/>
              <c:layout>
                <c:manualLayout>
                  <c:x val="2.8693242612966807E-2"/>
                  <c:y val="4.0220343490840445E-3"/>
                </c:manualLayout>
              </c:layout>
              <c:showVal val="1"/>
            </c:dLbl>
            <c:dLbl>
              <c:idx val="1"/>
              <c:layout>
                <c:manualLayout>
                  <c:x val="0.49134100125011632"/>
                  <c:y val="-0.16998021359585491"/>
                </c:manualLayout>
              </c:layout>
              <c:showVal val="1"/>
            </c:dLbl>
            <c:dLbl>
              <c:idx val="2"/>
              <c:layout>
                <c:manualLayout>
                  <c:x val="0.23573794352860394"/>
                  <c:y val="-0.16998021359585491"/>
                </c:manualLayout>
              </c:layout>
              <c:showVal val="1"/>
            </c:dLbl>
            <c:dLbl>
              <c:idx val="3"/>
              <c:layout>
                <c:manualLayout>
                  <c:xMode val="edge"/>
                  <c:yMode val="edge"/>
                  <c:x val="0.41366906474820142"/>
                  <c:y val="0.26104417670682734"/>
                </c:manualLayout>
              </c:layout>
              <c:showVal val="1"/>
            </c:dLbl>
            <c:dLbl>
              <c:idx val="4"/>
              <c:layout>
                <c:manualLayout>
                  <c:xMode val="edge"/>
                  <c:yMode val="edge"/>
                  <c:x val="0.51079136690647564"/>
                  <c:y val="0.25301204819277107"/>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Sheet1!$B$2:$D$2</c:f>
              <c:numCache>
                <c:formatCode>General</c:formatCode>
                <c:ptCount val="3"/>
                <c:pt idx="0">
                  <c:v>299</c:v>
                </c:pt>
              </c:numCache>
            </c:numRef>
          </c:val>
        </c:ser>
        <c:ser>
          <c:idx val="1"/>
          <c:order val="1"/>
          <c:tx>
            <c:v>Target</c:v>
          </c:tx>
          <c:spPr>
            <a:solidFill>
              <a:srgbClr val="9999FF"/>
            </a:solidFill>
            <a:ln w="12696">
              <a:solidFill>
                <a:srgbClr val="000000"/>
              </a:solidFill>
              <a:prstDash val="solid"/>
            </a:ln>
          </c:spPr>
          <c:dLbls>
            <c:dLbl>
              <c:idx val="0"/>
              <c:layout>
                <c:manualLayout>
                  <c:x val="7.4588435677376934E-3"/>
                  <c:y val="-3.5173946676690319E-2"/>
                </c:manualLayout>
              </c:layout>
              <c:showVal val="1"/>
            </c:dLbl>
            <c:dLbl>
              <c:idx val="1"/>
              <c:layout>
                <c:manualLayout>
                  <c:x val="1.0361082580009152E-2"/>
                  <c:y val="-1.050709483408308E-2"/>
                </c:manualLayout>
              </c:layout>
              <c:showVal val="1"/>
            </c:dLbl>
            <c:dLbl>
              <c:idx val="2"/>
              <c:layout>
                <c:manualLayout>
                  <c:x val="2.8139319822526338E-2"/>
                  <c:y val="-2.1985226763830912E-2"/>
                </c:manualLayout>
              </c:layout>
              <c:showVal val="1"/>
            </c:dLbl>
            <c:dLbl>
              <c:idx val="3"/>
              <c:layout>
                <c:manualLayout>
                  <c:xMode val="edge"/>
                  <c:yMode val="edge"/>
                  <c:x val="0.98561151079136256"/>
                  <c:y val="0"/>
                </c:manualLayout>
              </c:layout>
              <c:showVal val="1"/>
            </c:dLbl>
            <c:dLbl>
              <c:idx val="4"/>
              <c:layout>
                <c:manualLayout>
                  <c:xMode val="edge"/>
                  <c:yMode val="edge"/>
                  <c:x val="0"/>
                  <c:y val="0"/>
                </c:manualLayout>
              </c:layout>
              <c:showVal val="1"/>
            </c:dLbl>
            <c:dLbl>
              <c:idx val="5"/>
              <c:layout>
                <c:manualLayout>
                  <c:xMode val="edge"/>
                  <c:yMode val="edge"/>
                  <c:x val="0.62589928057556288"/>
                  <c:y val="0.2289156626506024"/>
                </c:manualLayout>
              </c:layout>
              <c:showVal val="1"/>
            </c:dLbl>
            <c:dLbl>
              <c:idx val="6"/>
              <c:layout>
                <c:manualLayout>
                  <c:xMode val="edge"/>
                  <c:yMode val="edge"/>
                  <c:x val="0.7158273381295116"/>
                  <c:y val="0.2289156626506024"/>
                </c:manualLayout>
              </c:layout>
              <c:showVal val="1"/>
            </c:dLbl>
            <c:dLbl>
              <c:idx val="7"/>
              <c:layout>
                <c:manualLayout>
                  <c:xMode val="edge"/>
                  <c:yMode val="edge"/>
                  <c:x val="0.7985611510791365"/>
                  <c:y val="0.2088353413654673"/>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Sheet1!$B$1:$D$1</c:f>
              <c:strCache>
                <c:ptCount val="3"/>
                <c:pt idx="0">
                  <c:v>FY11</c:v>
                </c:pt>
                <c:pt idx="1">
                  <c:v>FY12</c:v>
                </c:pt>
                <c:pt idx="2">
                  <c:v>FY13</c:v>
                </c:pt>
              </c:strCache>
            </c:strRef>
          </c:cat>
          <c:val>
            <c:numRef>
              <c:f>Sheet1!$B$3:$D$3</c:f>
              <c:numCache>
                <c:formatCode>#,##0</c:formatCode>
                <c:ptCount val="3"/>
                <c:pt idx="1">
                  <c:v>260</c:v>
                </c:pt>
                <c:pt idx="2">
                  <c:v>265</c:v>
                </c:pt>
              </c:numCache>
            </c:numRef>
          </c:val>
        </c:ser>
        <c:dLbls>
          <c:showVal val="1"/>
        </c:dLbls>
        <c:gapDepth val="0"/>
        <c:shape val="box"/>
        <c:axId val="114828416"/>
        <c:axId val="114829952"/>
        <c:axId val="0"/>
      </c:bar3DChart>
      <c:catAx>
        <c:axId val="114828416"/>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4829952"/>
        <c:crosses val="autoZero"/>
        <c:auto val="1"/>
        <c:lblAlgn val="ctr"/>
        <c:lblOffset val="100"/>
        <c:tickLblSkip val="1"/>
        <c:tickMarkSkip val="1"/>
      </c:catAx>
      <c:valAx>
        <c:axId val="114829952"/>
        <c:scaling>
          <c:orientation val="minMax"/>
        </c:scaling>
        <c:axPos val="l"/>
        <c:majorGridlines>
          <c:spPr>
            <a:ln w="0">
              <a:solidFill>
                <a:schemeClr val="bg1"/>
              </a:solidFill>
              <a:prstDash val="solid"/>
            </a:ln>
          </c:spPr>
        </c:majorGridlines>
        <c:numFmt formatCode="#,##0" sourceLinked="0"/>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4828416"/>
        <c:crosses val="autoZero"/>
        <c:crossBetween val="between"/>
        <c:minorUnit val="50"/>
      </c:valAx>
      <c:spPr>
        <a:noFill/>
        <a:ln w="25393">
          <a:noFill/>
        </a:ln>
      </c:spPr>
    </c:plotArea>
    <c:legend>
      <c:legendPos val="b"/>
      <c:layout>
        <c:manualLayout>
          <c:xMode val="edge"/>
          <c:yMode val="edge"/>
          <c:x val="4.3165467625899283E-2"/>
          <c:y val="0.88353413654618473"/>
          <c:w val="0.93525179856115104"/>
          <c:h val="0.11646586345381529"/>
        </c:manualLayout>
      </c:layout>
      <c:spPr>
        <a:noFill/>
        <a:ln w="3174">
          <a:no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chart>
  <c:spPr>
    <a:noFill/>
    <a:ln w="9525" cap="flat" cmpd="sng" algn="ctr">
      <a:solidFill>
        <a:srgbClr val="7F7F7F"/>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State and Local Bomb Technicians Trained (Student-Weeks)</a:t>
            </a:r>
          </a:p>
        </c:rich>
      </c:tx>
      <c:layout>
        <c:manualLayout>
          <c:xMode val="edge"/>
          <c:yMode val="edge"/>
          <c:x val="0.13065326633165572"/>
          <c:y val="3.5971223021582892E-3"/>
        </c:manualLayout>
      </c:layout>
      <c:spPr>
        <a:noFill/>
        <a:ln w="25400">
          <a:noFill/>
        </a:ln>
      </c:spPr>
    </c:title>
    <c:view3D>
      <c:hPercent val="52"/>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5376884422110824E-2"/>
          <c:y val="0.16906474820143891"/>
          <c:w val="0.9246231155779"/>
          <c:h val="0.66187050359713695"/>
        </c:manualLayout>
      </c:layout>
      <c:bar3DChart>
        <c:barDir val="col"/>
        <c:grouping val="clustered"/>
        <c:ser>
          <c:idx val="0"/>
          <c:order val="0"/>
          <c:tx>
            <c:strRef>
              <c:f>Sheet1!$A$2</c:f>
              <c:strCache>
                <c:ptCount val="1"/>
                <c:pt idx="0">
                  <c:v>Actual </c:v>
                </c:pt>
              </c:strCache>
            </c:strRef>
          </c:tx>
          <c:spPr>
            <a:solidFill>
              <a:srgbClr val="800000"/>
            </a:solidFill>
            <a:ln w="12700">
              <a:solidFill>
                <a:srgbClr val="000000"/>
              </a:solidFill>
              <a:prstDash val="solid"/>
            </a:ln>
          </c:spPr>
          <c:dLbls>
            <c:dLbl>
              <c:idx val="0"/>
              <c:layout>
                <c:manualLayout>
                  <c:x val="6.3319492320334028E-3"/>
                  <c:y val="-1.7285900938042161E-2"/>
                </c:manualLayout>
              </c:layout>
              <c:showVal val="1"/>
            </c:dLbl>
            <c:dLbl>
              <c:idx val="1"/>
              <c:layout>
                <c:manualLayout>
                  <c:x val="6.9940278304703824E-3"/>
                  <c:y val="-1.5770108322790573E-2"/>
                </c:manualLayout>
              </c:layout>
              <c:showVal val="1"/>
            </c:dLbl>
            <c:dLbl>
              <c:idx val="2"/>
              <c:layout>
                <c:manualLayout>
                  <c:x val="2.6309808007667812E-3"/>
                  <c:y val="-2.3829998992931579E-2"/>
                </c:manualLayout>
              </c:layout>
              <c:showVal val="1"/>
            </c:dLbl>
            <c:dLbl>
              <c:idx val="3"/>
              <c:layout>
                <c:manualLayout>
                  <c:x val="8.3184423481205728E-3"/>
                  <c:y val="-1.2255104053240342E-2"/>
                </c:manualLayout>
              </c:layout>
              <c:showVal val="1"/>
            </c:dLbl>
            <c:dLbl>
              <c:idx val="4"/>
              <c:layout>
                <c:manualLayout>
                  <c:x val="6.4679581324873824E-3"/>
                  <c:y val="-2.4434166577499711E-2"/>
                </c:manualLayout>
              </c:layout>
              <c:showVal val="1"/>
            </c:dLbl>
            <c:dLbl>
              <c:idx val="5"/>
              <c:layout>
                <c:manualLayout>
                  <c:x val="2.1051684235599234E-3"/>
                  <c:y val="-1.4132473548720081E-2"/>
                </c:manualLayout>
              </c:layout>
              <c:showVal val="1"/>
            </c:dLbl>
            <c:dLbl>
              <c:idx val="6"/>
              <c:layout>
                <c:manualLayout>
                  <c:x val="5.2798098360672804E-3"/>
                  <c:y val="-2.0400333276685792E-2"/>
                </c:manualLayout>
              </c:layout>
              <c:showVal val="1"/>
            </c:dLbl>
            <c:dLbl>
              <c:idx val="7"/>
              <c:layout>
                <c:manualLayout>
                  <c:x val="1.0967014062645161E-2"/>
                  <c:y val="-2.1972309291674211E-2"/>
                </c:manualLayout>
              </c:layout>
              <c:showVal val="1"/>
            </c:dLbl>
            <c:dLbl>
              <c:idx val="8"/>
              <c:layout>
                <c:manualLayout>
                  <c:x val="6.5359477124184015E-3"/>
                  <c:y val="0"/>
                </c:manualLayout>
              </c:layout>
              <c:showVal val="1"/>
            </c:dLbl>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Sheet1!$B$2:$L$2</c:f>
              <c:numCache>
                <c:formatCode>#,##0</c:formatCode>
                <c:ptCount val="11"/>
                <c:pt idx="0">
                  <c:v>2245</c:v>
                </c:pt>
                <c:pt idx="1">
                  <c:v>2304</c:v>
                </c:pt>
                <c:pt idx="2">
                  <c:v>2593</c:v>
                </c:pt>
                <c:pt idx="3">
                  <c:v>2614</c:v>
                </c:pt>
                <c:pt idx="4">
                  <c:v>2159</c:v>
                </c:pt>
                <c:pt idx="5">
                  <c:v>2605</c:v>
                </c:pt>
                <c:pt idx="6">
                  <c:v>2437</c:v>
                </c:pt>
                <c:pt idx="7">
                  <c:v>2326</c:v>
                </c:pt>
                <c:pt idx="8">
                  <c:v>2295</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dLbls>
            <c:dLbl>
              <c:idx val="4"/>
              <c:layout>
                <c:manualLayout>
                  <c:x val="0.52240793411760456"/>
                  <c:y val="-0.13394320501604298"/>
                </c:manualLayout>
              </c:layout>
              <c:spPr>
                <a:noFill/>
                <a:ln w="25400">
                  <a:noFill/>
                </a:ln>
              </c:spPr>
              <c:txPr>
                <a:bodyPr/>
                <a:lstStyle/>
                <a:p>
                  <a:pPr>
                    <a:defRPr sz="650" b="1" i="0" u="none" strike="noStrike" baseline="0">
                      <a:solidFill>
                        <a:srgbClr val="000000"/>
                      </a:solidFill>
                      <a:latin typeface="Arial"/>
                      <a:ea typeface="Arial"/>
                      <a:cs typeface="Arial"/>
                    </a:defRPr>
                  </a:pPr>
                  <a:endParaRPr lang="en-US"/>
                </a:p>
              </c:txPr>
              <c:showVal val="1"/>
            </c:dLbl>
            <c:dLbl>
              <c:idx val="5"/>
              <c:layout>
                <c:manualLayout>
                  <c:x val="0.44518082280063787"/>
                  <c:y val="-0.13792468649752448"/>
                </c:manualLayout>
              </c:layout>
              <c:spPr>
                <a:noFill/>
                <a:ln w="25400">
                  <a:noFill/>
                </a:ln>
              </c:spPr>
              <c:txPr>
                <a:bodyPr/>
                <a:lstStyle/>
                <a:p>
                  <a:pPr>
                    <a:defRPr sz="575" b="1" i="0" u="none" strike="noStrike" baseline="0">
                      <a:solidFill>
                        <a:srgbClr val="000000"/>
                      </a:solidFill>
                      <a:latin typeface="Arial"/>
                      <a:ea typeface="Arial"/>
                      <a:cs typeface="Arial"/>
                    </a:defRPr>
                  </a:pPr>
                  <a:endParaRPr lang="en-US"/>
                </a:p>
              </c:txPr>
              <c:showVal val="1"/>
            </c:dLbl>
            <c:dLbl>
              <c:idx val="6"/>
              <c:layout>
                <c:manualLayout>
                  <c:x val="-0.62199629458083794"/>
                  <c:y val="-0.13926727909011374"/>
                </c:manualLayout>
              </c:layout>
              <c:spPr>
                <a:noFill/>
                <a:ln w="25400">
                  <a:noFill/>
                </a:ln>
              </c:spPr>
              <c:txPr>
                <a:bodyPr/>
                <a:lstStyle/>
                <a:p>
                  <a:pPr>
                    <a:defRPr sz="550" b="1" i="0" u="none" strike="noStrike" baseline="0">
                      <a:solidFill>
                        <a:srgbClr val="000000"/>
                      </a:solidFill>
                      <a:latin typeface="Arial"/>
                      <a:ea typeface="Arial"/>
                      <a:cs typeface="Arial"/>
                    </a:defRPr>
                  </a:pPr>
                  <a:endParaRPr lang="en-US"/>
                </a:p>
              </c:txPr>
              <c:showVal val="1"/>
            </c:dLbl>
            <c:dLbl>
              <c:idx val="7"/>
              <c:layout>
                <c:manualLayout>
                  <c:x val="0.29072608552515505"/>
                  <c:y val="-0.13926727909011374"/>
                </c:manualLayout>
              </c:layout>
              <c:spPr>
                <a:noFill/>
                <a:ln w="25400">
                  <a:noFill/>
                </a:ln>
              </c:spPr>
              <c:txPr>
                <a:bodyPr/>
                <a:lstStyle/>
                <a:p>
                  <a:pPr>
                    <a:defRPr sz="550" b="1" i="0" u="none" strike="noStrike" baseline="0">
                      <a:solidFill>
                        <a:srgbClr val="000000"/>
                      </a:solidFill>
                      <a:latin typeface="Arial"/>
                      <a:ea typeface="Arial"/>
                      <a:cs typeface="Arial"/>
                    </a:defRPr>
                  </a:pPr>
                  <a:endParaRPr lang="en-US"/>
                </a:p>
              </c:txPr>
              <c:showVal val="1"/>
            </c:dLbl>
            <c:dLbl>
              <c:idx val="8"/>
              <c:layout>
                <c:manualLayout>
                  <c:x val="1.2542793479517663E-2"/>
                  <c:y val="-2.9767865497628151E-2"/>
                </c:manualLayout>
              </c:layout>
              <c:showVal val="1"/>
            </c:dLbl>
            <c:dLbl>
              <c:idx val="9"/>
              <c:layout>
                <c:manualLayout>
                  <c:x val="1.3204872077954467E-2"/>
                  <c:y val="-2.6170743195469852E-2"/>
                </c:manualLayout>
              </c:layout>
              <c:showVal val="1"/>
            </c:dLbl>
            <c:dLbl>
              <c:idx val="10"/>
              <c:layout>
                <c:manualLayout>
                  <c:x val="1.3867207997167834E-2"/>
                  <c:y val="-1.8976498591153322E-2"/>
                </c:manualLayout>
              </c:layout>
              <c:showVal val="1"/>
            </c:dLbl>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Sheet1!$B$3:$L$3</c:f>
              <c:numCache>
                <c:formatCode>General</c:formatCode>
                <c:ptCount val="11"/>
                <c:pt idx="9" formatCode="#,##0">
                  <c:v>2668</c:v>
                </c:pt>
                <c:pt idx="10" formatCode="#,##0">
                  <c:v>2668</c:v>
                </c:pt>
              </c:numCache>
            </c:numRef>
          </c:val>
        </c:ser>
        <c:dLbls>
          <c:showVal val="1"/>
        </c:dLbls>
        <c:gapWidth val="10"/>
        <c:gapDepth val="0"/>
        <c:shape val="box"/>
        <c:axId val="114800896"/>
        <c:axId val="114884608"/>
        <c:axId val="0"/>
      </c:bar3DChart>
      <c:catAx>
        <c:axId val="11480089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4884608"/>
        <c:crosses val="autoZero"/>
        <c:auto val="1"/>
        <c:lblAlgn val="ctr"/>
        <c:lblOffset val="100"/>
        <c:tickLblSkip val="2"/>
        <c:tickMarkSkip val="1"/>
      </c:catAx>
      <c:valAx>
        <c:axId val="114884608"/>
        <c:scaling>
          <c:orientation val="minMax"/>
          <c:min val="0"/>
        </c:scaling>
        <c:axPos val="l"/>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4800896"/>
        <c:crosses val="autoZero"/>
        <c:crossBetween val="between"/>
        <c:majorUnit val="500"/>
        <c:minorUnit val="10"/>
      </c:valAx>
      <c:spPr>
        <a:noFill/>
        <a:ln w="25400">
          <a:noFill/>
        </a:ln>
      </c:spPr>
    </c:plotArea>
    <c:legend>
      <c:legendPos val="r"/>
      <c:layout>
        <c:manualLayout>
          <c:xMode val="edge"/>
          <c:yMode val="edge"/>
          <c:x val="0.32914572864321606"/>
          <c:y val="0.92086330935251759"/>
          <c:w val="0.31155778894472996"/>
          <c:h val="7.1942446043165464E-2"/>
        </c:manualLayout>
      </c:layout>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15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99" b="1" i="0" u="none" strike="noStrike" baseline="0">
                <a:solidFill>
                  <a:srgbClr val="000000"/>
                </a:solidFill>
                <a:latin typeface="Arial"/>
                <a:ea typeface="Arial"/>
                <a:cs typeface="Arial"/>
              </a:defRPr>
            </a:pPr>
            <a:r>
              <a:rPr lang="en-US"/>
              <a:t>Joint Terrorism Task Force Participants</a:t>
            </a:r>
          </a:p>
        </c:rich>
      </c:tx>
      <c:layout>
        <c:manualLayout>
          <c:xMode val="edge"/>
          <c:yMode val="edge"/>
          <c:x val="0.14772724226057091"/>
          <c:y val="2.0000000000000011E-2"/>
        </c:manualLayout>
      </c:layout>
      <c:spPr>
        <a:noFill/>
        <a:ln w="25367">
          <a:noFill/>
        </a:ln>
      </c:spPr>
    </c:title>
    <c:view3D>
      <c:hPercent val="79"/>
      <c:depthPercent val="100"/>
      <c:rAngAx val="1"/>
    </c:view3D>
    <c:floor>
      <c:spPr>
        <a:solidFill>
          <a:srgbClr val="C0C0C0"/>
        </a:solidFill>
        <a:ln w="3175">
          <a:solidFill>
            <a:srgbClr val="000000"/>
          </a:solidFill>
          <a:prstDash val="solid"/>
        </a:ln>
      </c:spPr>
    </c:floor>
    <c:sideWall>
      <c:spPr>
        <a:solidFill>
          <a:schemeClr val="bg1">
            <a:lumMod val="85000"/>
          </a:schemeClr>
        </a:solidFill>
        <a:ln w="25400">
          <a:noFill/>
        </a:ln>
      </c:spPr>
    </c:sideWall>
    <c:backWall>
      <c:spPr>
        <a:noFill/>
        <a:ln w="25400">
          <a:noFill/>
        </a:ln>
      </c:spPr>
    </c:backWall>
    <c:plotArea>
      <c:layout>
        <c:manualLayout>
          <c:layoutTarget val="inner"/>
          <c:xMode val="edge"/>
          <c:yMode val="edge"/>
          <c:x val="0.13636363636363635"/>
          <c:y val="0.1"/>
          <c:w val="0.8125"/>
          <c:h val="0.75333333333333363"/>
        </c:manualLayout>
      </c:layout>
      <c:bar3DChart>
        <c:barDir val="col"/>
        <c:grouping val="clustered"/>
        <c:ser>
          <c:idx val="1"/>
          <c:order val="0"/>
          <c:tx>
            <c:strRef>
              <c:f>Sheet1!$A$2</c:f>
              <c:strCache>
                <c:ptCount val="1"/>
                <c:pt idx="0">
                  <c:v>Actual</c:v>
                </c:pt>
              </c:strCache>
            </c:strRef>
          </c:tx>
          <c:spPr>
            <a:solidFill>
              <a:srgbClr val="993366"/>
            </a:solidFill>
            <a:ln w="12683">
              <a:solidFill>
                <a:srgbClr val="000000"/>
              </a:solidFill>
              <a:prstDash val="solid"/>
            </a:ln>
          </c:spPr>
          <c:dLbls>
            <c:dLbl>
              <c:idx val="0"/>
              <c:layout>
                <c:manualLayout>
                  <c:x val="2.8337466104029815E-2"/>
                  <c:y val="1.5490644314621962E-3"/>
                </c:manualLayout>
              </c:layout>
              <c:showVal val="1"/>
            </c:dLbl>
            <c:dLbl>
              <c:idx val="1"/>
              <c:layout>
                <c:manualLayout>
                  <c:x val="1.7649303756668761E-3"/>
                  <c:y val="-6.1583269833207308E-3"/>
                </c:manualLayout>
              </c:layout>
              <c:showVal val="1"/>
            </c:dLbl>
            <c:dLbl>
              <c:idx val="2"/>
              <c:layout>
                <c:manualLayout>
                  <c:x val="-1.6912747784979917E-2"/>
                  <c:y val="-1.9055118110236229E-2"/>
                </c:manualLayout>
              </c:layout>
              <c:showVal val="1"/>
            </c:dLbl>
            <c:dLbl>
              <c:idx val="3"/>
              <c:layout>
                <c:manualLayout>
                  <c:x val="-2.3410333376836182E-3"/>
                  <c:y val="-1.2741342816018965E-2"/>
                </c:manualLayout>
              </c:layout>
              <c:showVal val="1"/>
            </c:dLbl>
            <c:dLbl>
              <c:idx val="4"/>
              <c:layout>
                <c:manualLayout>
                  <c:x val="1.3914531401806821E-2"/>
                  <c:y val="1.1172635678604693E-2"/>
                </c:manualLayout>
              </c:layout>
              <c:showVal val="1"/>
            </c:dLbl>
            <c:dLbl>
              <c:idx val="5"/>
              <c:layout>
                <c:manualLayout>
                  <c:x val="3.7600962863068243E-3"/>
                  <c:y val="5.1010075353484039E-3"/>
                </c:manualLayout>
              </c:layout>
              <c:showVal val="1"/>
            </c:dLbl>
            <c:dLbl>
              <c:idx val="6"/>
              <c:layout>
                <c:manualLayout>
                  <c:x val="4.3410043357839994E-3"/>
                  <c:y val="8.5300143933621248E-3"/>
                </c:manualLayout>
              </c:layout>
              <c:showVal val="1"/>
            </c:dLbl>
            <c:dLbl>
              <c:idx val="7"/>
              <c:layout>
                <c:manualLayout>
                  <c:x val="1.8069923579994488E-2"/>
                  <c:y val="7.8506477012954094E-3"/>
                </c:manualLayout>
              </c:layout>
              <c:tx>
                <c:rich>
                  <a:bodyPr/>
                  <a:lstStyle/>
                  <a:p>
                    <a:r>
                      <a:rPr lang="en-US"/>
                      <a:t>4,404</a:t>
                    </a:r>
                  </a:p>
                </c:rich>
              </c:tx>
            </c:dLbl>
            <c:dLbl>
              <c:idx val="8"/>
              <c:layout>
                <c:manualLayout>
                  <c:x val="7.3664825046040978E-3"/>
                  <c:y val="-3.4408602150537634E-2"/>
                </c:manualLayout>
              </c:layout>
              <c:showVal val="1"/>
            </c:dLbl>
            <c:spPr>
              <a:noFill/>
              <a:ln w="25367">
                <a:noFill/>
              </a:ln>
            </c:spPr>
            <c:txPr>
              <a:bodyPr/>
              <a:lstStyle/>
              <a:p>
                <a:pPr>
                  <a:defRPr sz="899"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Sheet1!$B$2:$L$2</c:f>
              <c:numCache>
                <c:formatCode>#,##0</c:formatCode>
                <c:ptCount val="11"/>
                <c:pt idx="0">
                  <c:v>2394</c:v>
                </c:pt>
                <c:pt idx="1">
                  <c:v>3163</c:v>
                </c:pt>
                <c:pt idx="2">
                  <c:v>3714</c:v>
                </c:pt>
                <c:pt idx="3">
                  <c:v>3540</c:v>
                </c:pt>
                <c:pt idx="4">
                  <c:v>3557</c:v>
                </c:pt>
                <c:pt idx="5">
                  <c:v>4163</c:v>
                </c:pt>
                <c:pt idx="6">
                  <c:v>4597</c:v>
                </c:pt>
                <c:pt idx="7">
                  <c:v>4404</c:v>
                </c:pt>
                <c:pt idx="8">
                  <c:v>4492</c:v>
                </c:pt>
              </c:numCache>
            </c:numRef>
          </c:val>
        </c:ser>
        <c:ser>
          <c:idx val="2"/>
          <c:order val="1"/>
          <c:tx>
            <c:strRef>
              <c:f>Sheet1!$A$3</c:f>
              <c:strCache>
                <c:ptCount val="1"/>
                <c:pt idx="0">
                  <c:v>Target</c:v>
                </c:pt>
              </c:strCache>
            </c:strRef>
          </c:tx>
          <c:spPr>
            <a:solidFill>
              <a:srgbClr val="9999FF"/>
            </a:solidFill>
            <a:ln w="12683">
              <a:solidFill>
                <a:srgbClr val="000000"/>
              </a:solidFill>
              <a:prstDash val="solid"/>
            </a:ln>
          </c:spPr>
          <c:dLbls>
            <c:dLbl>
              <c:idx val="3"/>
              <c:layout>
                <c:manualLayout>
                  <c:x val="0.58439454579728045"/>
                  <c:y val="-5.9207857082380827E-2"/>
                </c:manualLayout>
              </c:layout>
              <c:showVal val="1"/>
            </c:dLbl>
            <c:dLbl>
              <c:idx val="4"/>
              <c:layout>
                <c:manualLayout>
                  <c:x val="0.51458059298338554"/>
                  <c:y val="-5.9207857082380827E-2"/>
                </c:manualLayout>
              </c:layout>
              <c:showVal val="1"/>
            </c:dLbl>
            <c:dLbl>
              <c:idx val="5"/>
              <c:layout>
                <c:manualLayout>
                  <c:x val="0.44476693018847258"/>
                  <c:y val="-5.9207857082380827E-2"/>
                </c:manualLayout>
              </c:layout>
              <c:showVal val="1"/>
            </c:dLbl>
            <c:dLbl>
              <c:idx val="6"/>
              <c:layout>
                <c:manualLayout>
                  <c:x val="0.37495326739356677"/>
                  <c:y val="-5.9207857082380827E-2"/>
                </c:manualLayout>
              </c:layout>
              <c:showVal val="1"/>
            </c:dLbl>
            <c:dLbl>
              <c:idx val="7"/>
              <c:layout>
                <c:manualLayout>
                  <c:x val="0.30513931457965032"/>
                  <c:y val="-5.9207857082380827E-2"/>
                </c:manualLayout>
              </c:layout>
              <c:showVal val="1"/>
            </c:dLbl>
            <c:dLbl>
              <c:idx val="8"/>
              <c:layout>
                <c:manualLayout>
                  <c:x val="-4.4603323222219124E-3"/>
                  <c:y val="-7.0099060198121057E-3"/>
                </c:manualLayout>
              </c:layout>
              <c:showVal val="1"/>
            </c:dLbl>
            <c:dLbl>
              <c:idx val="9"/>
              <c:layout>
                <c:manualLayout>
                  <c:x val="3.2725743536201652E-3"/>
                  <c:y val="4.8111082888832504E-3"/>
                </c:manualLayout>
              </c:layout>
              <c:showVal val="1"/>
            </c:dLbl>
            <c:dLbl>
              <c:idx val="10"/>
              <c:layout>
                <c:manualLayout>
                  <c:x val="4.6995838227403886E-2"/>
                  <c:y val="-2.5000423334179999E-3"/>
                </c:manualLayout>
              </c:layout>
              <c:showVal val="1"/>
            </c:dLbl>
            <c:numFmt formatCode="#,##0" sourceLinked="0"/>
            <c:spPr>
              <a:noFill/>
              <a:ln w="25367">
                <a:noFill/>
              </a:ln>
            </c:spPr>
            <c:txPr>
              <a:bodyPr/>
              <a:lstStyle/>
              <a:p>
                <a:pPr>
                  <a:defRPr sz="899"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Sheet1!$B$3:$L$3</c:f>
              <c:numCache>
                <c:formatCode>General</c:formatCode>
                <c:ptCount val="11"/>
                <c:pt idx="9">
                  <c:v>4570</c:v>
                </c:pt>
                <c:pt idx="10">
                  <c:v>4570</c:v>
                </c:pt>
              </c:numCache>
            </c:numRef>
          </c:val>
        </c:ser>
        <c:dLbls>
          <c:showVal val="1"/>
        </c:dLbls>
        <c:gapWidth val="20"/>
        <c:shape val="box"/>
        <c:axId val="106272256"/>
        <c:axId val="106273792"/>
        <c:axId val="0"/>
      </c:bar3DChart>
      <c:catAx>
        <c:axId val="106272256"/>
        <c:scaling>
          <c:orientation val="minMax"/>
        </c:scaling>
        <c:axPos val="b"/>
        <c:numFmt formatCode="General" sourceLinked="1"/>
        <c:tickLblPos val="low"/>
        <c:spPr>
          <a:ln w="3171">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en-US"/>
          </a:p>
        </c:txPr>
        <c:crossAx val="106273792"/>
        <c:crosses val="autoZero"/>
        <c:auto val="1"/>
        <c:lblAlgn val="ctr"/>
        <c:lblOffset val="100"/>
        <c:tickLblSkip val="2"/>
        <c:tickMarkSkip val="1"/>
      </c:catAx>
      <c:valAx>
        <c:axId val="106273792"/>
        <c:scaling>
          <c:orientation val="minMax"/>
          <c:max val="5000"/>
          <c:min val="0"/>
        </c:scaling>
        <c:axPos val="l"/>
        <c:numFmt formatCode="#,##0" sourceLinked="1"/>
        <c:tickLblPos val="nextTo"/>
        <c:spPr>
          <a:ln w="3171">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en-US"/>
          </a:p>
        </c:txPr>
        <c:crossAx val="106272256"/>
        <c:crosses val="autoZero"/>
        <c:crossBetween val="between"/>
        <c:majorUnit val="1000"/>
        <c:minorUnit val="1000"/>
      </c:valAx>
      <c:spPr>
        <a:noFill/>
        <a:ln w="25367">
          <a:noFill/>
        </a:ln>
      </c:spPr>
    </c:plotArea>
    <c:legend>
      <c:legendPos val="b"/>
      <c:layout>
        <c:manualLayout>
          <c:xMode val="edge"/>
          <c:yMode val="edge"/>
          <c:x val="0.25916620517512001"/>
          <c:y val="0.93709711286089681"/>
          <c:w val="0.5653407982259655"/>
          <c:h val="4.6666666666666301E-2"/>
        </c:manualLayout>
      </c:layout>
      <c:spPr>
        <a:solidFill>
          <a:srgbClr val="FFFFFF"/>
        </a:solidFill>
        <a:ln w="25367">
          <a:noFill/>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024"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7" b="1" i="0" u="none" strike="noStrike" baseline="0">
                <a:solidFill>
                  <a:srgbClr val="000000"/>
                </a:solidFill>
                <a:latin typeface="Arial"/>
                <a:ea typeface="Arial"/>
                <a:cs typeface="Arial"/>
              </a:defRPr>
            </a:pPr>
            <a:r>
              <a:rPr lang="en-US"/>
              <a:t>Percent CT Career Path Agents Completing Specialized CT Training</a:t>
            </a:r>
          </a:p>
        </c:rich>
      </c:tx>
      <c:layout>
        <c:manualLayout>
          <c:xMode val="edge"/>
          <c:yMode val="edge"/>
          <c:x val="0.1928103791539979"/>
          <c:y val="0"/>
        </c:manualLayout>
      </c:layout>
      <c:spPr>
        <a:noFill/>
        <a:ln w="25314">
          <a:noFill/>
        </a:ln>
      </c:spPr>
    </c:title>
    <c:view3D>
      <c:hPercent val="77"/>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4379084967320271"/>
          <c:y val="0.10465116279069768"/>
          <c:w val="0.80065359477123321"/>
          <c:h val="0.72868217054263551"/>
        </c:manualLayout>
      </c:layout>
      <c:bar3DChart>
        <c:barDir val="col"/>
        <c:grouping val="clustered"/>
        <c:ser>
          <c:idx val="1"/>
          <c:order val="0"/>
          <c:tx>
            <c:strRef>
              <c:f>Sheet1!$A$2</c:f>
              <c:strCache>
                <c:ptCount val="1"/>
                <c:pt idx="0">
                  <c:v>Actual</c:v>
                </c:pt>
              </c:strCache>
            </c:strRef>
          </c:tx>
          <c:spPr>
            <a:solidFill>
              <a:srgbClr val="993366"/>
            </a:solidFill>
            <a:ln w="12657">
              <a:solidFill>
                <a:srgbClr val="000000"/>
              </a:solidFill>
              <a:prstDash val="solid"/>
            </a:ln>
          </c:spPr>
          <c:dLbls>
            <c:dLbl>
              <c:idx val="0"/>
              <c:layout>
                <c:manualLayout>
                  <c:x val="2.2662546928469612E-2"/>
                  <c:y val="3.9565949778666096E-3"/>
                </c:manualLayout>
              </c:layout>
              <c:showVal val="1"/>
            </c:dLbl>
            <c:dLbl>
              <c:idx val="1"/>
              <c:layout>
                <c:manualLayout>
                  <c:x val="2.0352171168477359E-2"/>
                  <c:y val="1.2878912523993874E-2"/>
                </c:manualLayout>
              </c:layout>
              <c:showVal val="1"/>
            </c:dLbl>
            <c:dLbl>
              <c:idx val="2"/>
              <c:layout>
                <c:manualLayout>
                  <c:x val="1.7505564968935863E-2"/>
                  <c:y val="1.2053903709797469E-2"/>
                </c:manualLayout>
              </c:layout>
              <c:showVal val="1"/>
            </c:dLbl>
            <c:dLbl>
              <c:idx val="3"/>
              <c:layout>
                <c:manualLayout>
                  <c:x val="9.2527990963157058E-4"/>
                  <c:y val="1.4143064206526423E-2"/>
                </c:manualLayout>
              </c:layout>
              <c:showVal val="1"/>
            </c:dLbl>
            <c:dLbl>
              <c:idx val="4"/>
              <c:layout>
                <c:manualLayout>
                  <c:x val="1.1688760423934351E-2"/>
                  <c:y val="7.4466251420066349E-3"/>
                </c:manualLayout>
              </c:layout>
              <c:showVal val="1"/>
            </c:dLbl>
            <c:dLbl>
              <c:idx val="5"/>
              <c:layout>
                <c:manualLayout>
                  <c:x val="1.2110186710652285E-2"/>
                  <c:y val="-1.0299318277683159E-2"/>
                </c:manualLayout>
              </c:layout>
              <c:showVal val="1"/>
            </c:dLbl>
            <c:dLbl>
              <c:idx val="6"/>
              <c:layout>
                <c:manualLayout>
                  <c:x val="2.5603944890358582E-2"/>
                  <c:y val="-6.0781880744601524E-3"/>
                </c:manualLayout>
              </c:layout>
              <c:showVal val="1"/>
            </c:dLbl>
            <c:dLbl>
              <c:idx val="7"/>
              <c:layout>
                <c:manualLayout>
                  <c:x val="2.6025475408277664E-2"/>
                  <c:y val="-1.0280596650514081E-2"/>
                </c:manualLayout>
              </c:layout>
              <c:showVal val="1"/>
            </c:dLbl>
            <c:dLbl>
              <c:idx val="8"/>
              <c:layout>
                <c:manualLayout>
                  <c:x val="1.687763713080161E-2"/>
                  <c:y val="0"/>
                </c:manualLayout>
              </c:layout>
              <c:showVal val="1"/>
            </c:dLbl>
            <c:spPr>
              <a:noFill/>
              <a:ln w="25314">
                <a:noFill/>
              </a:ln>
            </c:spPr>
            <c:txPr>
              <a:bodyPr/>
              <a:lstStyle/>
              <a:p>
                <a:pPr>
                  <a:defRPr sz="797"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Sheet1!$B$2:$L$2</c:f>
              <c:numCache>
                <c:formatCode>0%</c:formatCode>
                <c:ptCount val="11"/>
                <c:pt idx="0">
                  <c:v>3.0000000000000002E-2</c:v>
                </c:pt>
                <c:pt idx="1">
                  <c:v>0.1</c:v>
                </c:pt>
                <c:pt idx="2">
                  <c:v>0.15000000000000024</c:v>
                </c:pt>
                <c:pt idx="3">
                  <c:v>0.74000000000000332</c:v>
                </c:pt>
                <c:pt idx="4">
                  <c:v>0.77000000000000379</c:v>
                </c:pt>
                <c:pt idx="5">
                  <c:v>0.8</c:v>
                </c:pt>
                <c:pt idx="6">
                  <c:v>0.92</c:v>
                </c:pt>
                <c:pt idx="7">
                  <c:v>0.47000000000000008</c:v>
                </c:pt>
                <c:pt idx="8">
                  <c:v>0.41000000000000031</c:v>
                </c:pt>
              </c:numCache>
            </c:numRef>
          </c:val>
        </c:ser>
        <c:ser>
          <c:idx val="2"/>
          <c:order val="1"/>
          <c:tx>
            <c:strRef>
              <c:f>Sheet1!$A$3</c:f>
              <c:strCache>
                <c:ptCount val="1"/>
                <c:pt idx="0">
                  <c:v>Target</c:v>
                </c:pt>
              </c:strCache>
            </c:strRef>
          </c:tx>
          <c:spPr>
            <a:solidFill>
              <a:srgbClr val="9999FF"/>
            </a:solidFill>
            <a:ln w="12657">
              <a:solidFill>
                <a:srgbClr val="000000"/>
              </a:solidFill>
              <a:prstDash val="solid"/>
            </a:ln>
          </c:spPr>
          <c:dLbls>
            <c:dLbl>
              <c:idx val="3"/>
              <c:layout>
                <c:manualLayout>
                  <c:x val="0.57720718361433421"/>
                  <c:y val="-6.0111254749872702E-2"/>
                </c:manualLayout>
              </c:layout>
              <c:showVal val="1"/>
            </c:dLbl>
            <c:dLbl>
              <c:idx val="4"/>
              <c:layout>
                <c:manualLayout>
                  <c:x val="0.50900126315186034"/>
                  <c:y val="-6.0111254749872702E-2"/>
                </c:manualLayout>
              </c:layout>
              <c:showVal val="1"/>
            </c:dLbl>
            <c:dLbl>
              <c:idx val="5"/>
              <c:layout>
                <c:manualLayout>
                  <c:x val="0.44079534268938103"/>
                  <c:y val="-6.0111254749872702E-2"/>
                </c:manualLayout>
              </c:layout>
              <c:showVal val="1"/>
            </c:dLbl>
            <c:dLbl>
              <c:idx val="6"/>
              <c:layout>
                <c:manualLayout>
                  <c:x val="0.37258975446386638"/>
                  <c:y val="-6.0111254749872702E-2"/>
                </c:manualLayout>
              </c:layout>
              <c:showVal val="1"/>
            </c:dLbl>
            <c:dLbl>
              <c:idx val="7"/>
              <c:layout>
                <c:manualLayout>
                  <c:x val="0.3043838340013903"/>
                  <c:y val="-6.0111254749872702E-2"/>
                </c:manualLayout>
              </c:layout>
              <c:showVal val="1"/>
            </c:dLbl>
            <c:dLbl>
              <c:idx val="8"/>
              <c:layout>
                <c:manualLayout>
                  <c:x val="-4.5556851931109433E-3"/>
                  <c:y val="-2.0489386067284211E-3"/>
                </c:manualLayout>
              </c:layout>
              <c:showVal val="1"/>
            </c:dLbl>
            <c:dLbl>
              <c:idx val="9"/>
              <c:layout>
                <c:manualLayout>
                  <c:x val="5.6697668934348952E-3"/>
                  <c:y val="-1.367684558347218E-2"/>
                </c:manualLayout>
              </c:layout>
              <c:showVal val="1"/>
            </c:dLbl>
            <c:dLbl>
              <c:idx val="10"/>
              <c:layout>
                <c:manualLayout>
                  <c:x val="1.5895218979980377E-2"/>
                  <c:y val="1.8270303855198789E-3"/>
                </c:manualLayout>
              </c:layout>
              <c:showVal val="1"/>
            </c:dLbl>
            <c:spPr>
              <a:noFill/>
              <a:ln w="25314">
                <a:noFill/>
              </a:ln>
            </c:spPr>
            <c:txPr>
              <a:bodyPr/>
              <a:lstStyle/>
              <a:p>
                <a:pPr>
                  <a:defRPr sz="797"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Sheet1!$B$3:$L$3</c:f>
              <c:numCache>
                <c:formatCode>General</c:formatCode>
                <c:ptCount val="11"/>
                <c:pt idx="9" formatCode="0%">
                  <c:v>0.30000000000000032</c:v>
                </c:pt>
                <c:pt idx="10" formatCode="0%">
                  <c:v>0.30000000000000032</c:v>
                </c:pt>
              </c:numCache>
            </c:numRef>
          </c:val>
        </c:ser>
        <c:dLbls>
          <c:showVal val="1"/>
        </c:dLbls>
        <c:gapWidth val="20"/>
        <c:shape val="box"/>
        <c:axId val="106312064"/>
        <c:axId val="106313600"/>
        <c:axId val="0"/>
      </c:bar3DChart>
      <c:catAx>
        <c:axId val="106312064"/>
        <c:scaling>
          <c:orientation val="minMax"/>
        </c:scaling>
        <c:axPos val="b"/>
        <c:numFmt formatCode="General" sourceLinked="1"/>
        <c:tickLblPos val="low"/>
        <c:spPr>
          <a:ln w="3164">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106313600"/>
        <c:crosses val="autoZero"/>
        <c:auto val="1"/>
        <c:lblAlgn val="ctr"/>
        <c:lblOffset val="100"/>
        <c:tickLblSkip val="2"/>
        <c:tickMarkSkip val="1"/>
      </c:catAx>
      <c:valAx>
        <c:axId val="106313600"/>
        <c:scaling>
          <c:orientation val="minMax"/>
          <c:max val="1"/>
          <c:min val="0"/>
        </c:scaling>
        <c:axPos val="l"/>
        <c:numFmt formatCode="0%" sourceLinked="1"/>
        <c:tickLblPos val="nextTo"/>
        <c:spPr>
          <a:ln w="3164">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106312064"/>
        <c:crosses val="autoZero"/>
        <c:crossBetween val="between"/>
        <c:majorUnit val="0.1"/>
        <c:minorUnit val="0.1"/>
      </c:valAx>
      <c:spPr>
        <a:noFill/>
        <a:ln w="25314">
          <a:noFill/>
        </a:ln>
      </c:spPr>
    </c:plotArea>
    <c:legend>
      <c:legendPos val="b"/>
      <c:layout>
        <c:manualLayout>
          <c:xMode val="edge"/>
          <c:yMode val="edge"/>
          <c:x val="0.20993643542351592"/>
          <c:y val="0.92305938531877063"/>
          <c:w val="0.65032666081125357"/>
          <c:h val="5.4263449326898833E-2"/>
        </c:manualLayout>
      </c:layout>
      <c:spPr>
        <a:solidFill>
          <a:srgbClr val="FFFFFF"/>
        </a:solidFill>
        <a:ln w="25313">
          <a:noFill/>
        </a:ln>
      </c:spPr>
      <c:txPr>
        <a:bodyPr/>
        <a:lstStyle/>
        <a:p>
          <a:pPr>
            <a:defRPr sz="733"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97"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9" b="1" i="0" u="none" strike="noStrike" baseline="0">
                <a:solidFill>
                  <a:srgbClr val="000000"/>
                </a:solidFill>
                <a:latin typeface="Arial"/>
                <a:ea typeface="Arial"/>
                <a:cs typeface="Arial"/>
              </a:defRPr>
            </a:pPr>
            <a:r>
              <a:rPr lang="en-US"/>
              <a:t>Percentage of Counterterrorism Investigations Targeting Top Priority Threats</a:t>
            </a:r>
          </a:p>
        </c:rich>
      </c:tx>
      <c:layout>
        <c:manualLayout>
          <c:xMode val="edge"/>
          <c:yMode val="edge"/>
          <c:x val="0.11894264441328817"/>
          <c:y val="2.291725387357372E-3"/>
        </c:manualLayout>
      </c:layout>
      <c:spPr>
        <a:noFill/>
        <a:ln w="25365">
          <a:noFill/>
        </a:ln>
      </c:spPr>
    </c:title>
    <c:view3D>
      <c:hPercent val="79"/>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2922195681841225"/>
          <c:y val="0.11258277890597802"/>
          <c:w val="0.81905440364790005"/>
          <c:h val="0.70683820454646562"/>
        </c:manualLayout>
      </c:layout>
      <c:bar3DChart>
        <c:barDir val="col"/>
        <c:grouping val="clustered"/>
        <c:ser>
          <c:idx val="1"/>
          <c:order val="0"/>
          <c:tx>
            <c:strRef>
              <c:f>Sheet1!$A$2</c:f>
              <c:strCache>
                <c:ptCount val="1"/>
                <c:pt idx="0">
                  <c:v>Actual</c:v>
                </c:pt>
              </c:strCache>
            </c:strRef>
          </c:tx>
          <c:spPr>
            <a:solidFill>
              <a:srgbClr val="993366"/>
            </a:solidFill>
            <a:ln w="12682">
              <a:solidFill>
                <a:srgbClr val="000000"/>
              </a:solidFill>
              <a:prstDash val="solid"/>
            </a:ln>
          </c:spPr>
          <c:dLbls>
            <c:dLbl>
              <c:idx val="0"/>
              <c:layout>
                <c:manualLayout>
                  <c:x val="2.8545124031805837E-2"/>
                  <c:y val="-1.9837652625782761E-3"/>
                </c:manualLayout>
              </c:layout>
              <c:showVal val="1"/>
            </c:dLbl>
            <c:dLbl>
              <c:idx val="1"/>
              <c:layout>
                <c:manualLayout>
                  <c:x val="2.0900063175140288E-2"/>
                  <c:y val="2.4876016340939192E-3"/>
                </c:manualLayout>
              </c:layout>
              <c:showVal val="1"/>
            </c:dLbl>
            <c:dLbl>
              <c:idx val="2"/>
              <c:layout>
                <c:manualLayout>
                  <c:x val="2.3123757724216782E-2"/>
                  <c:y val="-4.5352843427973492E-3"/>
                </c:manualLayout>
              </c:layout>
              <c:showVal val="1"/>
            </c:dLbl>
            <c:dLbl>
              <c:idx val="3"/>
              <c:layout>
                <c:manualLayout>
                  <c:x val="1.5478696867551356E-2"/>
                  <c:y val="3.1275509062451377E-3"/>
                </c:manualLayout>
              </c:layout>
              <c:showVal val="1"/>
            </c:dLbl>
            <c:dLbl>
              <c:idx val="4"/>
              <c:layout>
                <c:manualLayout>
                  <c:x val="2.4037390063084509E-2"/>
                  <c:y val="3.751412429378531E-3"/>
                </c:manualLayout>
              </c:layout>
              <c:showVal val="1"/>
            </c:dLbl>
            <c:dLbl>
              <c:idx val="5"/>
              <c:layout>
                <c:manualLayout>
                  <c:x val="7.7819219965926155E-3"/>
                  <c:y val="7.7743671871526084E-3"/>
                </c:manualLayout>
              </c:layout>
              <c:showVal val="1"/>
            </c:dLbl>
            <c:dLbl>
              <c:idx val="6"/>
              <c:layout>
                <c:manualLayout>
                  <c:x val="2.6452702184157052E-2"/>
                  <c:y val="-2.0596289870545868E-2"/>
                </c:manualLayout>
              </c:layout>
              <c:showVal val="1"/>
            </c:dLbl>
            <c:dLbl>
              <c:idx val="7"/>
              <c:layout>
                <c:manualLayout>
                  <c:x val="2.6727448542616401E-2"/>
                  <c:y val="1.0760621024066963E-2"/>
                </c:manualLayout>
              </c:layout>
              <c:showVal val="1"/>
            </c:dLbl>
            <c:spPr>
              <a:noFill/>
              <a:ln w="25365">
                <a:noFill/>
              </a:ln>
            </c:spPr>
            <c:txPr>
              <a:bodyPr/>
              <a:lstStyle/>
              <a:p>
                <a:pPr>
                  <a:defRPr sz="799" b="1" i="0" u="none" strike="noStrike" baseline="0">
                    <a:solidFill>
                      <a:srgbClr val="000000"/>
                    </a:solidFill>
                    <a:latin typeface="Arial"/>
                    <a:ea typeface="Arial"/>
                    <a:cs typeface="Arial"/>
                  </a:defRPr>
                </a:pPr>
                <a:endParaRPr lang="en-US"/>
              </a:p>
            </c:txPr>
            <c:showVal val="1"/>
          </c:dLbls>
          <c:cat>
            <c:strRef>
              <c:f>Sheet1!$B$1:$K$1</c:f>
              <c:strCache>
                <c:ptCount val="10"/>
                <c:pt idx="0">
                  <c:v>FY04</c:v>
                </c:pt>
                <c:pt idx="1">
                  <c:v>FY05</c:v>
                </c:pt>
                <c:pt idx="2">
                  <c:v>FY06</c:v>
                </c:pt>
                <c:pt idx="3">
                  <c:v>FY07</c:v>
                </c:pt>
                <c:pt idx="4">
                  <c:v>FY08</c:v>
                </c:pt>
                <c:pt idx="5">
                  <c:v>FY09</c:v>
                </c:pt>
                <c:pt idx="6">
                  <c:v>FY10</c:v>
                </c:pt>
                <c:pt idx="7">
                  <c:v>FY11</c:v>
                </c:pt>
                <c:pt idx="8">
                  <c:v>FY12</c:v>
                </c:pt>
                <c:pt idx="9">
                  <c:v>FY13</c:v>
                </c:pt>
              </c:strCache>
            </c:strRef>
          </c:cat>
          <c:val>
            <c:numRef>
              <c:f>Sheet1!$B$2:$K$2</c:f>
              <c:numCache>
                <c:formatCode>0%</c:formatCode>
                <c:ptCount val="10"/>
                <c:pt idx="0">
                  <c:v>0.35000000000000031</c:v>
                </c:pt>
                <c:pt idx="1">
                  <c:v>0.34</c:v>
                </c:pt>
                <c:pt idx="2">
                  <c:v>0.33000000000000212</c:v>
                </c:pt>
                <c:pt idx="3">
                  <c:v>0.33000000000000212</c:v>
                </c:pt>
                <c:pt idx="4">
                  <c:v>0.44</c:v>
                </c:pt>
                <c:pt idx="5" formatCode="0.0%">
                  <c:v>0.60100000000000064</c:v>
                </c:pt>
                <c:pt idx="6" formatCode="0.0%">
                  <c:v>0.62300000000000333</c:v>
                </c:pt>
                <c:pt idx="7" formatCode="0.0%">
                  <c:v>0.62700000000000367</c:v>
                </c:pt>
              </c:numCache>
            </c:numRef>
          </c:val>
        </c:ser>
        <c:ser>
          <c:idx val="2"/>
          <c:order val="1"/>
          <c:tx>
            <c:strRef>
              <c:f>Sheet1!$A$3</c:f>
              <c:strCache>
                <c:ptCount val="1"/>
                <c:pt idx="0">
                  <c:v>Target</c:v>
                </c:pt>
              </c:strCache>
            </c:strRef>
          </c:tx>
          <c:spPr>
            <a:solidFill>
              <a:srgbClr val="9999FF"/>
            </a:solidFill>
            <a:ln w="12682">
              <a:solidFill>
                <a:srgbClr val="000000"/>
              </a:solidFill>
              <a:prstDash val="solid"/>
            </a:ln>
          </c:spPr>
          <c:dLbls>
            <c:dLbl>
              <c:idx val="2"/>
              <c:layout>
                <c:manualLayout>
                  <c:x val="0.64833666366628762"/>
                  <c:y val="-7.0595345323531983E-2"/>
                </c:manualLayout>
              </c:layout>
              <c:spPr>
                <a:noFill/>
                <a:ln w="25365">
                  <a:noFill/>
                </a:ln>
              </c:spPr>
              <c:txPr>
                <a:bodyPr/>
                <a:lstStyle/>
                <a:p>
                  <a:pPr>
                    <a:defRPr sz="524" b="1" i="0" u="none" strike="noStrike" baseline="0">
                      <a:solidFill>
                        <a:srgbClr val="000000"/>
                      </a:solidFill>
                      <a:latin typeface="Arial"/>
                      <a:ea typeface="Arial"/>
                      <a:cs typeface="Arial"/>
                    </a:defRPr>
                  </a:pPr>
                  <a:endParaRPr lang="en-US"/>
                </a:p>
              </c:txPr>
              <c:showVal val="1"/>
            </c:dLbl>
            <c:dLbl>
              <c:idx val="3"/>
              <c:layout>
                <c:manualLayout>
                  <c:x val="0.57161265544120077"/>
                  <c:y val="-7.0595345323531983E-2"/>
                </c:manualLayout>
              </c:layout>
              <c:spPr>
                <a:noFill/>
                <a:ln w="25365">
                  <a:noFill/>
                </a:ln>
              </c:spPr>
              <c:txPr>
                <a:bodyPr/>
                <a:lstStyle/>
                <a:p>
                  <a:pPr>
                    <a:defRPr sz="524" b="1" i="0" u="none" strike="noStrike" baseline="0">
                      <a:solidFill>
                        <a:srgbClr val="000000"/>
                      </a:solidFill>
                      <a:latin typeface="Arial"/>
                      <a:ea typeface="Arial"/>
                      <a:cs typeface="Arial"/>
                    </a:defRPr>
                  </a:pPr>
                  <a:endParaRPr lang="en-US"/>
                </a:p>
              </c:txPr>
              <c:showVal val="1"/>
            </c:dLbl>
            <c:dLbl>
              <c:idx val="4"/>
              <c:layout>
                <c:manualLayout>
                  <c:x val="0.49488864721612025"/>
                  <c:y val="-7.0595345323531983E-2"/>
                </c:manualLayout>
              </c:layout>
              <c:spPr>
                <a:noFill/>
                <a:ln w="25365">
                  <a:noFill/>
                </a:ln>
              </c:spPr>
              <c:txPr>
                <a:bodyPr/>
                <a:lstStyle/>
                <a:p>
                  <a:pPr>
                    <a:defRPr sz="524" b="1" i="0" u="none" strike="noStrike" baseline="0">
                      <a:solidFill>
                        <a:srgbClr val="000000"/>
                      </a:solidFill>
                      <a:latin typeface="Arial"/>
                      <a:ea typeface="Arial"/>
                      <a:cs typeface="Arial"/>
                    </a:defRPr>
                  </a:pPr>
                  <a:endParaRPr lang="en-US"/>
                </a:p>
              </c:txPr>
              <c:showVal val="1"/>
            </c:dLbl>
            <c:dLbl>
              <c:idx val="5"/>
              <c:layout>
                <c:manualLayout>
                  <c:x val="0.41816497334414859"/>
                  <c:y val="-7.0595345323531983E-2"/>
                </c:manualLayout>
              </c:layout>
              <c:spPr>
                <a:noFill/>
                <a:ln w="25365">
                  <a:noFill/>
                </a:ln>
              </c:spPr>
              <c:txPr>
                <a:bodyPr/>
                <a:lstStyle/>
                <a:p>
                  <a:pPr>
                    <a:defRPr sz="524" b="1" i="0" u="none" strike="noStrike" baseline="0">
                      <a:solidFill>
                        <a:srgbClr val="000000"/>
                      </a:solidFill>
                      <a:latin typeface="Arial"/>
                      <a:ea typeface="Arial"/>
                      <a:cs typeface="Arial"/>
                    </a:defRPr>
                  </a:pPr>
                  <a:endParaRPr lang="en-US"/>
                </a:p>
              </c:txPr>
              <c:showVal val="1"/>
            </c:dLbl>
            <c:dLbl>
              <c:idx val="6"/>
              <c:layout>
                <c:manualLayout>
                  <c:x val="-0.64540114014410765"/>
                  <c:y val="-7.0595345323531983E-2"/>
                </c:manualLayout>
              </c:layout>
              <c:spPr>
                <a:noFill/>
                <a:ln w="25365">
                  <a:noFill/>
                </a:ln>
              </c:spPr>
              <c:txPr>
                <a:bodyPr/>
                <a:lstStyle/>
                <a:p>
                  <a:pPr>
                    <a:defRPr sz="524" b="1" i="0" u="none" strike="noStrike" baseline="0">
                      <a:solidFill>
                        <a:srgbClr val="000000"/>
                      </a:solidFill>
                      <a:latin typeface="Arial"/>
                      <a:ea typeface="Arial"/>
                      <a:cs typeface="Arial"/>
                    </a:defRPr>
                  </a:pPr>
                  <a:endParaRPr lang="en-US"/>
                </a:p>
              </c:txPr>
              <c:showVal val="1"/>
            </c:dLbl>
            <c:dLbl>
              <c:idx val="7"/>
              <c:layout>
                <c:manualLayout>
                  <c:x val="2.3406838225007151E-2"/>
                  <c:y val="-1.6647684912906555E-2"/>
                </c:manualLayout>
              </c:layout>
              <c:showVal val="1"/>
            </c:dLbl>
            <c:dLbl>
              <c:idx val="8"/>
              <c:layout>
                <c:manualLayout>
                  <c:x val="1.0645116728829946E-2"/>
                  <c:y val="-8.38756172427595E-3"/>
                </c:manualLayout>
              </c:layout>
              <c:showVal val="1"/>
            </c:dLbl>
            <c:dLbl>
              <c:idx val="9"/>
              <c:layout>
                <c:manualLayout>
                  <c:x val="3.1143366654260856E-2"/>
                  <c:y val="-1.6647684912906555E-2"/>
                </c:manualLayout>
              </c:layout>
              <c:showVal val="1"/>
            </c:dLbl>
            <c:spPr>
              <a:noFill/>
              <a:ln w="25365">
                <a:noFill/>
              </a:ln>
            </c:spPr>
            <c:txPr>
              <a:bodyPr/>
              <a:lstStyle/>
              <a:p>
                <a:pPr>
                  <a:defRPr sz="799" b="1" i="0" u="none" strike="noStrike" baseline="0">
                    <a:solidFill>
                      <a:srgbClr val="000000"/>
                    </a:solidFill>
                    <a:latin typeface="Arial"/>
                    <a:ea typeface="Arial"/>
                    <a:cs typeface="Arial"/>
                  </a:defRPr>
                </a:pPr>
                <a:endParaRPr lang="en-US"/>
              </a:p>
            </c:txPr>
            <c:showVal val="1"/>
          </c:dLbls>
          <c:cat>
            <c:strRef>
              <c:f>Sheet1!$B$1:$K$1</c:f>
              <c:strCache>
                <c:ptCount val="10"/>
                <c:pt idx="0">
                  <c:v>FY04</c:v>
                </c:pt>
                <c:pt idx="1">
                  <c:v>FY05</c:v>
                </c:pt>
                <c:pt idx="2">
                  <c:v>FY06</c:v>
                </c:pt>
                <c:pt idx="3">
                  <c:v>FY07</c:v>
                </c:pt>
                <c:pt idx="4">
                  <c:v>FY08</c:v>
                </c:pt>
                <c:pt idx="5">
                  <c:v>FY09</c:v>
                </c:pt>
                <c:pt idx="6">
                  <c:v>FY10</c:v>
                </c:pt>
                <c:pt idx="7">
                  <c:v>FY11</c:v>
                </c:pt>
                <c:pt idx="8">
                  <c:v>FY12</c:v>
                </c:pt>
                <c:pt idx="9">
                  <c:v>FY13</c:v>
                </c:pt>
              </c:strCache>
            </c:strRef>
          </c:cat>
          <c:val>
            <c:numRef>
              <c:f>Sheet1!$B$3:$K$3</c:f>
              <c:numCache>
                <c:formatCode>General</c:formatCode>
                <c:ptCount val="10"/>
                <c:pt idx="8" formatCode="0.0%">
                  <c:v>0.65100000000000402</c:v>
                </c:pt>
                <c:pt idx="9" formatCode="0.0%">
                  <c:v>0.65100000000000402</c:v>
                </c:pt>
              </c:numCache>
            </c:numRef>
          </c:val>
        </c:ser>
        <c:dLbls>
          <c:showVal val="1"/>
        </c:dLbls>
        <c:gapWidth val="20"/>
        <c:shape val="box"/>
        <c:axId val="107828736"/>
        <c:axId val="107830272"/>
        <c:axId val="0"/>
      </c:bar3DChart>
      <c:catAx>
        <c:axId val="107828736"/>
        <c:scaling>
          <c:orientation val="minMax"/>
        </c:scaling>
        <c:axPos val="b"/>
        <c:numFmt formatCode="General" sourceLinked="1"/>
        <c:tickLblPos val="low"/>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07830272"/>
        <c:crosses val="autoZero"/>
        <c:auto val="1"/>
        <c:lblAlgn val="ctr"/>
        <c:lblOffset val="100"/>
        <c:tickLblSkip val="2"/>
        <c:tickMarkSkip val="1"/>
      </c:catAx>
      <c:valAx>
        <c:axId val="107830272"/>
        <c:scaling>
          <c:orientation val="minMax"/>
          <c:max val="1"/>
          <c:min val="0"/>
        </c:scaling>
        <c:axPos val="l"/>
        <c:numFmt formatCode="0%" sourceLinked="1"/>
        <c:tickLblPos val="nextTo"/>
        <c:spPr>
          <a:ln w="3171">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07828736"/>
        <c:crosses val="autoZero"/>
        <c:crossBetween val="between"/>
        <c:majorUnit val="0.2"/>
        <c:minorUnit val="0.2"/>
      </c:valAx>
      <c:spPr>
        <a:noFill/>
        <a:ln w="25365">
          <a:noFill/>
        </a:ln>
      </c:spPr>
    </c:plotArea>
    <c:legend>
      <c:legendPos val="r"/>
      <c:layout>
        <c:manualLayout>
          <c:xMode val="edge"/>
          <c:yMode val="edge"/>
          <c:x val="0.17272165323236974"/>
          <c:y val="0.91302721638333029"/>
          <c:w val="0.66274615733929942"/>
          <c:h val="5.6902577504373712E-2"/>
        </c:manualLayout>
      </c:layout>
      <c:spPr>
        <a:solidFill>
          <a:srgbClr val="FFFFFF"/>
        </a:solidFill>
        <a:ln w="25365">
          <a:noFill/>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74" b="1"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3" b="1" i="0" u="none" strike="noStrike" baseline="0">
                <a:solidFill>
                  <a:srgbClr val="000000"/>
                </a:solidFill>
                <a:latin typeface="Arial"/>
                <a:ea typeface="Arial"/>
                <a:cs typeface="Arial"/>
              </a:defRPr>
            </a:pPr>
            <a:r>
              <a:rPr lang="en-US"/>
              <a:t>Cost Avoidance</a:t>
            </a:r>
            <a:r>
              <a:rPr lang="en-US" baseline="0"/>
              <a:t> </a:t>
            </a:r>
            <a:r>
              <a:rPr lang="en-US"/>
              <a:t>from Online Cyber Training ($000)</a:t>
            </a:r>
          </a:p>
        </c:rich>
      </c:tx>
      <c:layout>
        <c:manualLayout>
          <c:xMode val="edge"/>
          <c:yMode val="edge"/>
          <c:x val="0.10793650793650866"/>
          <c:y val="2.1929824561403542E-2"/>
        </c:manualLayout>
      </c:layout>
      <c:spPr>
        <a:noFill/>
        <a:ln w="25166">
          <a:noFill/>
        </a:ln>
      </c:spPr>
    </c:title>
    <c:view3D>
      <c:hPercent val="58"/>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111111111111111"/>
          <c:y val="0.17543859649123214"/>
          <c:w val="0.84761904761905771"/>
          <c:h val="0.640350877192991"/>
        </c:manualLayout>
      </c:layout>
      <c:bar3DChart>
        <c:barDir val="col"/>
        <c:grouping val="clustered"/>
        <c:ser>
          <c:idx val="1"/>
          <c:order val="0"/>
          <c:tx>
            <c:strRef>
              <c:f>Sheet1!$A$2</c:f>
              <c:strCache>
                <c:ptCount val="1"/>
                <c:pt idx="0">
                  <c:v>Actual</c:v>
                </c:pt>
              </c:strCache>
            </c:strRef>
          </c:tx>
          <c:spPr>
            <a:solidFill>
              <a:srgbClr val="993366"/>
            </a:solidFill>
            <a:ln w="12583">
              <a:solidFill>
                <a:srgbClr val="000000"/>
              </a:solidFill>
              <a:prstDash val="solid"/>
            </a:ln>
          </c:spPr>
          <c:dLbls>
            <c:dLbl>
              <c:idx val="0"/>
              <c:layout>
                <c:manualLayout>
                  <c:x val="-7.8895061194273804E-3"/>
                  <c:y val="8.5436147106999708E-3"/>
                </c:manualLayout>
              </c:layout>
              <c:showVal val="1"/>
            </c:dLbl>
            <c:dLbl>
              <c:idx val="1"/>
              <c:layout>
                <c:manualLayout>
                  <c:x val="-5.5990693471009061E-3"/>
                  <c:y val="-6.4942346602955554E-4"/>
                </c:manualLayout>
              </c:layout>
              <c:showVal val="1"/>
            </c:dLbl>
            <c:dLbl>
              <c:idx val="2"/>
              <c:layout>
                <c:manualLayout>
                  <c:x val="-3.3086325747742201E-3"/>
                  <c:y val="-7.6816636310554111E-3"/>
                </c:manualLayout>
              </c:layout>
              <c:showVal val="1"/>
            </c:dLbl>
            <c:dLbl>
              <c:idx val="3"/>
              <c:layout>
                <c:manualLayout>
                  <c:x val="8.5059367579054489E-3"/>
                  <c:y val="-1.4040659778208861E-2"/>
                </c:manualLayout>
              </c:layout>
              <c:showVal val="1"/>
            </c:dLbl>
            <c:dLbl>
              <c:idx val="4"/>
              <c:layout>
                <c:manualLayout>
                  <c:x val="1.5153967292549968E-2"/>
                  <c:y val="1.1707360109398091E-2"/>
                </c:manualLayout>
              </c:layout>
              <c:tx>
                <c:rich>
                  <a:bodyPr/>
                  <a:lstStyle/>
                  <a:p>
                    <a:r>
                      <a:rPr lang="en-US"/>
                      <a:t>4,987</a:t>
                    </a:r>
                  </a:p>
                </c:rich>
              </c:tx>
            </c:dLbl>
            <c:dLbl>
              <c:idx val="5"/>
              <c:layout>
                <c:manualLayout>
                  <c:x val="0.24920443406113235"/>
                  <c:y val="-0.11714418050684842"/>
                </c:manualLayout>
              </c:layout>
              <c:showVal val="1"/>
            </c:dLbl>
            <c:spPr>
              <a:noFill/>
              <a:ln w="25166">
                <a:noFill/>
              </a:ln>
            </c:spPr>
            <c:txPr>
              <a:bodyPr/>
              <a:lstStyle/>
              <a:p>
                <a:pPr>
                  <a:defRPr sz="793"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Sheet1!$B$2:$H$2</c:f>
              <c:numCache>
                <c:formatCode>General</c:formatCode>
                <c:ptCount val="7"/>
                <c:pt idx="0">
                  <c:v>331</c:v>
                </c:pt>
                <c:pt idx="1">
                  <c:v>511</c:v>
                </c:pt>
                <c:pt idx="2">
                  <c:v>809</c:v>
                </c:pt>
                <c:pt idx="3">
                  <c:v>819</c:v>
                </c:pt>
                <c:pt idx="4" formatCode="#,##0">
                  <c:v>4987</c:v>
                </c:pt>
              </c:numCache>
            </c:numRef>
          </c:val>
        </c:ser>
        <c:ser>
          <c:idx val="2"/>
          <c:order val="1"/>
          <c:tx>
            <c:strRef>
              <c:f>Sheet1!$A$3</c:f>
              <c:strCache>
                <c:ptCount val="1"/>
                <c:pt idx="0">
                  <c:v>Target</c:v>
                </c:pt>
              </c:strCache>
            </c:strRef>
          </c:tx>
          <c:spPr>
            <a:solidFill>
              <a:srgbClr val="9999FF"/>
            </a:solidFill>
            <a:ln w="12583">
              <a:solidFill>
                <a:srgbClr val="000000"/>
              </a:solidFill>
              <a:prstDash val="solid"/>
            </a:ln>
          </c:spPr>
          <c:dLbls>
            <c:dLbl>
              <c:idx val="2"/>
              <c:layout>
                <c:manualLayout>
                  <c:x val="0.54457451280128455"/>
                  <c:y val="-0.11714418050684842"/>
                </c:manualLayout>
              </c:layout>
              <c:showVal val="1"/>
            </c:dLbl>
            <c:dLbl>
              <c:idx val="3"/>
              <c:layout>
                <c:manualLayout>
                  <c:x val="0.43575416149905116"/>
                  <c:y val="-0.11714418050684842"/>
                </c:manualLayout>
              </c:layout>
              <c:showVal val="1"/>
            </c:dLbl>
            <c:dLbl>
              <c:idx val="4"/>
              <c:layout>
                <c:manualLayout>
                  <c:x val="1.926974512801385E-3"/>
                  <c:y val="-3.8402049589001588E-3"/>
                </c:manualLayout>
              </c:layout>
              <c:showVal val="1"/>
            </c:dLbl>
            <c:dLbl>
              <c:idx val="5"/>
              <c:layout>
                <c:manualLayout>
                  <c:x val="-1.1379808293194061E-3"/>
                  <c:y val="-2.88920541279079E-3"/>
                </c:manualLayout>
              </c:layout>
              <c:showVal val="1"/>
            </c:dLbl>
            <c:dLbl>
              <c:idx val="6"/>
              <c:layout>
                <c:manualLayout>
                  <c:x val="-5.1964273696556394E-3"/>
                  <c:y val="-3.1090927875502311E-3"/>
                </c:manualLayout>
              </c:layout>
              <c:showVal val="1"/>
            </c:dLbl>
            <c:spPr>
              <a:noFill/>
              <a:ln w="25166">
                <a:noFill/>
              </a:ln>
            </c:spPr>
            <c:txPr>
              <a:bodyPr/>
              <a:lstStyle/>
              <a:p>
                <a:pPr>
                  <a:defRPr sz="793"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Sheet1!$B$3:$H$3</c:f>
              <c:numCache>
                <c:formatCode>General</c:formatCode>
                <c:ptCount val="7"/>
                <c:pt idx="5" formatCode="#,##0">
                  <c:v>1156</c:v>
                </c:pt>
                <c:pt idx="6" formatCode="#,##0">
                  <c:v>2500</c:v>
                </c:pt>
              </c:numCache>
            </c:numRef>
          </c:val>
        </c:ser>
        <c:dLbls>
          <c:showVal val="1"/>
        </c:dLbls>
        <c:gapDepth val="0"/>
        <c:shape val="box"/>
        <c:axId val="107939328"/>
        <c:axId val="107940864"/>
        <c:axId val="0"/>
      </c:bar3DChart>
      <c:catAx>
        <c:axId val="107939328"/>
        <c:scaling>
          <c:orientation val="minMax"/>
        </c:scaling>
        <c:axPos val="b"/>
        <c:numFmt formatCode="General" sourceLinked="1"/>
        <c:tickLblPos val="low"/>
        <c:spPr>
          <a:ln w="3146">
            <a:solidFill>
              <a:srgbClr val="000000"/>
            </a:solidFill>
            <a:prstDash val="solid"/>
          </a:ln>
        </c:spPr>
        <c:txPr>
          <a:bodyPr rot="0" vert="horz"/>
          <a:lstStyle/>
          <a:p>
            <a:pPr>
              <a:defRPr sz="743" b="1" i="0" u="none" strike="noStrike" baseline="0">
                <a:solidFill>
                  <a:srgbClr val="000000"/>
                </a:solidFill>
                <a:latin typeface="Arial"/>
                <a:ea typeface="Arial"/>
                <a:cs typeface="Arial"/>
              </a:defRPr>
            </a:pPr>
            <a:endParaRPr lang="en-US"/>
          </a:p>
        </c:txPr>
        <c:crossAx val="107940864"/>
        <c:crosses val="autoZero"/>
        <c:auto val="1"/>
        <c:lblAlgn val="ctr"/>
        <c:lblOffset val="100"/>
        <c:tickLblSkip val="1"/>
        <c:tickMarkSkip val="1"/>
      </c:catAx>
      <c:valAx>
        <c:axId val="107940864"/>
        <c:scaling>
          <c:orientation val="minMax"/>
        </c:scaling>
        <c:axPos val="l"/>
        <c:numFmt formatCode="General" sourceLinked="1"/>
        <c:tickLblPos val="nextTo"/>
        <c:spPr>
          <a:ln w="3146">
            <a:solidFill>
              <a:srgbClr val="000000"/>
            </a:solidFill>
            <a:prstDash val="solid"/>
          </a:ln>
        </c:spPr>
        <c:txPr>
          <a:bodyPr rot="0" vert="horz"/>
          <a:lstStyle/>
          <a:p>
            <a:pPr>
              <a:defRPr sz="793" b="1" i="0" u="none" strike="noStrike" baseline="0">
                <a:solidFill>
                  <a:srgbClr val="000000"/>
                </a:solidFill>
                <a:latin typeface="Arial"/>
                <a:ea typeface="Arial"/>
                <a:cs typeface="Arial"/>
              </a:defRPr>
            </a:pPr>
            <a:endParaRPr lang="en-US"/>
          </a:p>
        </c:txPr>
        <c:crossAx val="107939328"/>
        <c:crosses val="autoZero"/>
        <c:crossBetween val="between"/>
      </c:valAx>
      <c:spPr>
        <a:noFill/>
        <a:ln w="25166">
          <a:noFill/>
        </a:ln>
      </c:spPr>
    </c:plotArea>
    <c:legend>
      <c:legendPos val="r"/>
      <c:layout>
        <c:manualLayout>
          <c:xMode val="edge"/>
          <c:yMode val="edge"/>
          <c:x val="0.32698412698412993"/>
          <c:y val="0.88596491228070173"/>
          <c:w val="0.39365079365079597"/>
          <c:h val="0.11403508771929827"/>
        </c:manualLayout>
      </c:layout>
      <c:spPr>
        <a:solidFill>
          <a:srgbClr val="FFFFFF"/>
        </a:solidFill>
        <a:ln w="25166">
          <a:noFill/>
        </a:ln>
      </c:spPr>
      <c:txPr>
        <a:bodyPr/>
        <a:lstStyle/>
        <a:p>
          <a:pPr>
            <a:defRPr sz="81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92" b="1"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697" b="1" i="0" u="none" strike="noStrike" baseline="0">
                <a:solidFill>
                  <a:srgbClr val="000000"/>
                </a:solidFill>
                <a:latin typeface="Arial"/>
                <a:ea typeface="Arial"/>
                <a:cs typeface="Arial"/>
              </a:defRPr>
            </a:pPr>
            <a:r>
              <a:rPr lang="en-US"/>
              <a:t>Computer Intrusion Program Convictions/Pre-Trial Diversions</a:t>
            </a:r>
          </a:p>
        </c:rich>
      </c:tx>
      <c:layout>
        <c:manualLayout>
          <c:xMode val="edge"/>
          <c:yMode val="edge"/>
          <c:x val="0.12687159164392972"/>
          <c:y val="5.0114514997913945E-2"/>
        </c:manualLayout>
      </c:layout>
      <c:spPr>
        <a:noFill/>
        <a:ln w="22121">
          <a:noFill/>
        </a:ln>
      </c:spPr>
    </c:title>
    <c:view3D>
      <c:hPercent val="56"/>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0273972602739725"/>
          <c:y val="0.19736842105263291"/>
          <c:w val="0.89726027397259989"/>
          <c:h val="0.59649122807017763"/>
        </c:manualLayout>
      </c:layout>
      <c:bar3DChart>
        <c:barDir val="col"/>
        <c:grouping val="clustered"/>
        <c:ser>
          <c:idx val="0"/>
          <c:order val="0"/>
          <c:tx>
            <c:strRef>
              <c:f>Sheet1!$A$2</c:f>
              <c:strCache>
                <c:ptCount val="1"/>
                <c:pt idx="0">
                  <c:v>Actual</c:v>
                </c:pt>
              </c:strCache>
            </c:strRef>
          </c:tx>
          <c:spPr>
            <a:solidFill>
              <a:srgbClr val="993366"/>
            </a:solidFill>
            <a:ln w="11060">
              <a:solidFill>
                <a:srgbClr val="000000"/>
              </a:solidFill>
              <a:prstDash val="solid"/>
            </a:ln>
          </c:spPr>
          <c:dLbls>
            <c:dLbl>
              <c:idx val="0"/>
              <c:layout>
                <c:manualLayout>
                  <c:x val="1.346575985359178E-2"/>
                  <c:y val="-1.4289057521060446E-2"/>
                </c:manualLayout>
              </c:layout>
              <c:showVal val="1"/>
            </c:dLbl>
            <c:dLbl>
              <c:idx val="1"/>
              <c:layout>
                <c:manualLayout>
                  <c:x val="1.5603654301445221E-2"/>
                  <c:y val="-6.2395335258016993E-3"/>
                </c:manualLayout>
              </c:layout>
              <c:showVal val="1"/>
            </c:dLbl>
            <c:dLbl>
              <c:idx val="2"/>
              <c:layout>
                <c:manualLayout>
                  <c:x val="7.016829282985926E-3"/>
                  <c:y val="-1.2156351973031072E-2"/>
                </c:manualLayout>
              </c:layout>
              <c:showVal val="1"/>
            </c:dLbl>
            <c:dLbl>
              <c:idx val="3"/>
              <c:layout>
                <c:manualLayout>
                  <c:x val="1.2128982040177143E-2"/>
                  <c:y val="-2.8720121285148767E-2"/>
                </c:manualLayout>
              </c:layout>
              <c:showVal val="1"/>
            </c:dLbl>
            <c:dLbl>
              <c:idx val="4"/>
              <c:layout>
                <c:manualLayout>
                  <c:x val="1.6790040295131186E-2"/>
                  <c:y val="-2.7618594889261092E-2"/>
                </c:manualLayout>
              </c:layout>
              <c:showVal val="1"/>
            </c:dLbl>
            <c:dLbl>
              <c:idx val="5"/>
              <c:layout>
                <c:manualLayout>
                  <c:x val="2.5326502947904683E-2"/>
                  <c:y val="-1.7780532851350121E-2"/>
                </c:manualLayout>
              </c:layout>
              <c:showVal val="1"/>
            </c:dLbl>
            <c:dLbl>
              <c:idx val="6"/>
              <c:layout>
                <c:manualLayout>
                  <c:x val="1.674002556810986E-2"/>
                  <c:y val="-6.7549025412070715E-3"/>
                </c:manualLayout>
              </c:layout>
              <c:showVal val="1"/>
            </c:dLbl>
            <c:dLbl>
              <c:idx val="7"/>
              <c:layout>
                <c:manualLayout>
                  <c:x val="1.1577858083896761E-2"/>
                  <c:y val="-2.2767908655381051E-2"/>
                </c:manualLayout>
              </c:layout>
              <c:showVal val="1"/>
            </c:dLbl>
            <c:dLbl>
              <c:idx val="8"/>
              <c:layout>
                <c:manualLayout>
                  <c:x val="1.6689663202423721E-2"/>
                  <c:y val="-2.4549795052708771E-3"/>
                </c:manualLayout>
              </c:layout>
              <c:showVal val="1"/>
            </c:dLbl>
            <c:spPr>
              <a:noFill/>
              <a:ln w="22121">
                <a:noFill/>
              </a:ln>
            </c:spPr>
            <c:txPr>
              <a:bodyPr/>
              <a:lstStyle/>
              <a:p>
                <a:pPr>
                  <a:defRPr sz="697" b="1" i="0" u="none" strike="noStrike" baseline="0">
                    <a:solidFill>
                      <a:srgbClr val="000000"/>
                    </a:solidFill>
                    <a:latin typeface="Arial"/>
                    <a:ea typeface="Arial"/>
                    <a:cs typeface="Arial"/>
                  </a:defRPr>
                </a:pPr>
                <a:endParaRPr lang="en-US"/>
              </a:p>
            </c:txPr>
            <c:showVal val="1"/>
          </c:dLbls>
          <c:cat>
            <c:strRef>
              <c:f>Sheet1!$B$1:$K$1</c:f>
              <c:strCache>
                <c:ptCount val="10"/>
                <c:pt idx="0">
                  <c:v>FY02</c:v>
                </c:pt>
                <c:pt idx="1">
                  <c:v>FY03</c:v>
                </c:pt>
                <c:pt idx="2">
                  <c:v>FY04</c:v>
                </c:pt>
                <c:pt idx="3">
                  <c:v>FY05</c:v>
                </c:pt>
                <c:pt idx="4">
                  <c:v>FY06</c:v>
                </c:pt>
                <c:pt idx="5">
                  <c:v>FY07</c:v>
                </c:pt>
                <c:pt idx="6">
                  <c:v>FY08</c:v>
                </c:pt>
                <c:pt idx="7">
                  <c:v>FY09</c:v>
                </c:pt>
                <c:pt idx="8">
                  <c:v>FY10</c:v>
                </c:pt>
                <c:pt idx="9">
                  <c:v>FY11</c:v>
                </c:pt>
              </c:strCache>
            </c:strRef>
          </c:cat>
          <c:val>
            <c:numRef>
              <c:f>Sheet1!$B$2:$K$2</c:f>
              <c:numCache>
                <c:formatCode>General</c:formatCode>
                <c:ptCount val="10"/>
                <c:pt idx="0">
                  <c:v>108</c:v>
                </c:pt>
                <c:pt idx="1">
                  <c:v>99</c:v>
                </c:pt>
                <c:pt idx="2">
                  <c:v>86</c:v>
                </c:pt>
                <c:pt idx="3">
                  <c:v>80</c:v>
                </c:pt>
                <c:pt idx="4">
                  <c:v>118</c:v>
                </c:pt>
                <c:pt idx="5">
                  <c:v>107</c:v>
                </c:pt>
                <c:pt idx="6">
                  <c:v>129</c:v>
                </c:pt>
                <c:pt idx="7">
                  <c:v>142</c:v>
                </c:pt>
                <c:pt idx="8">
                  <c:v>134</c:v>
                </c:pt>
                <c:pt idx="9">
                  <c:v>148</c:v>
                </c:pt>
              </c:numCache>
            </c:numRef>
          </c:val>
        </c:ser>
        <c:dLbls>
          <c:showVal val="1"/>
        </c:dLbls>
        <c:gapDepth val="0"/>
        <c:shape val="box"/>
        <c:axId val="108026496"/>
        <c:axId val="108048768"/>
        <c:axId val="0"/>
      </c:bar3DChart>
      <c:catAx>
        <c:axId val="108026496"/>
        <c:scaling>
          <c:orientation val="minMax"/>
        </c:scaling>
        <c:axPos val="b"/>
        <c:numFmt formatCode="General" sourceLinked="1"/>
        <c:tickLblPos val="low"/>
        <c:spPr>
          <a:ln w="2765">
            <a:solidFill>
              <a:srgbClr val="000000"/>
            </a:solidFill>
            <a:prstDash val="solid"/>
          </a:ln>
        </c:spPr>
        <c:txPr>
          <a:bodyPr rot="0" vert="horz"/>
          <a:lstStyle/>
          <a:p>
            <a:pPr>
              <a:defRPr sz="631" b="1" i="0" u="none" strike="noStrike" baseline="0">
                <a:solidFill>
                  <a:srgbClr val="000000"/>
                </a:solidFill>
                <a:latin typeface="Arial"/>
                <a:ea typeface="Arial"/>
                <a:cs typeface="Arial"/>
              </a:defRPr>
            </a:pPr>
            <a:endParaRPr lang="en-US"/>
          </a:p>
        </c:txPr>
        <c:crossAx val="108048768"/>
        <c:crosses val="autoZero"/>
        <c:auto val="1"/>
        <c:lblAlgn val="ctr"/>
        <c:lblOffset val="100"/>
        <c:tickLblSkip val="2"/>
        <c:tickMarkSkip val="1"/>
      </c:catAx>
      <c:valAx>
        <c:axId val="108048768"/>
        <c:scaling>
          <c:orientation val="minMax"/>
        </c:scaling>
        <c:axPos val="l"/>
        <c:numFmt formatCode="General" sourceLinked="1"/>
        <c:tickLblPos val="nextTo"/>
        <c:spPr>
          <a:ln w="2765">
            <a:solidFill>
              <a:srgbClr val="000000"/>
            </a:solidFill>
            <a:prstDash val="solid"/>
          </a:ln>
        </c:spPr>
        <c:txPr>
          <a:bodyPr rot="0" vert="horz"/>
          <a:lstStyle/>
          <a:p>
            <a:pPr>
              <a:defRPr sz="740" b="1" i="0" u="none" strike="noStrike" baseline="0">
                <a:solidFill>
                  <a:srgbClr val="000000"/>
                </a:solidFill>
                <a:latin typeface="Arial"/>
                <a:ea typeface="Arial"/>
                <a:cs typeface="Arial"/>
              </a:defRPr>
            </a:pPr>
            <a:endParaRPr lang="en-US"/>
          </a:p>
        </c:txPr>
        <c:crossAx val="108026496"/>
        <c:crosses val="autoZero"/>
        <c:crossBetween val="between"/>
      </c:valAx>
      <c:spPr>
        <a:noFill/>
        <a:ln w="22121">
          <a:noFill/>
        </a:ln>
      </c:spPr>
    </c:plotArea>
    <c:legend>
      <c:legendPos val="r"/>
      <c:layout>
        <c:manualLayout>
          <c:xMode val="edge"/>
          <c:yMode val="edge"/>
          <c:x val="0.41780831317653938"/>
          <c:y val="0.88596491228070173"/>
          <c:w val="0.17808210248228876"/>
          <c:h val="8.7719298245614197E-2"/>
        </c:manualLayout>
      </c:layout>
      <c:spPr>
        <a:noFill/>
        <a:ln w="22121">
          <a:noFill/>
        </a:ln>
      </c:spPr>
      <c:txPr>
        <a:bodyPr/>
        <a:lstStyle/>
        <a:p>
          <a:pPr>
            <a:defRPr sz="679"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740" b="1"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8" b="1" i="0" u="none" strike="noStrike" baseline="0">
                <a:solidFill>
                  <a:srgbClr val="000000"/>
                </a:solidFill>
                <a:latin typeface="Arial"/>
                <a:ea typeface="Arial"/>
                <a:cs typeface="Arial"/>
              </a:defRPr>
            </a:pPr>
            <a:r>
              <a:rPr lang="en-US"/>
              <a:t>Number of Criminal Enterprises Engaging in White Collar Crimes Dismantled</a:t>
            </a:r>
          </a:p>
        </c:rich>
      </c:tx>
      <c:layout>
        <c:manualLayout>
          <c:xMode val="edge"/>
          <c:yMode val="edge"/>
          <c:x val="0.10853276673749122"/>
          <c:y val="5.1501947906735873E-2"/>
        </c:manualLayout>
      </c:layout>
      <c:spPr>
        <a:noFill/>
        <a:ln w="25393">
          <a:noFill/>
        </a:ln>
      </c:spPr>
    </c:title>
    <c:view3D>
      <c:hPercent val="51"/>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0126582278481233"/>
          <c:y val="0.22869955156950672"/>
          <c:w val="0.86392405063292066"/>
          <c:h val="0.53811659192823469"/>
        </c:manualLayout>
      </c:layout>
      <c:bar3DChart>
        <c:barDir val="col"/>
        <c:grouping val="clustered"/>
        <c:ser>
          <c:idx val="0"/>
          <c:order val="0"/>
          <c:tx>
            <c:strRef>
              <c:f>Sheet1!$A$2</c:f>
              <c:strCache>
                <c:ptCount val="1"/>
                <c:pt idx="0">
                  <c:v>Actual</c:v>
                </c:pt>
              </c:strCache>
            </c:strRef>
          </c:tx>
          <c:spPr>
            <a:solidFill>
              <a:srgbClr val="993366"/>
            </a:solidFill>
            <a:ln w="12658">
              <a:solidFill>
                <a:srgbClr val="000000"/>
              </a:solidFill>
              <a:prstDash val="solid"/>
            </a:ln>
          </c:spPr>
          <c:dLbls>
            <c:dLbl>
              <c:idx val="0"/>
              <c:layout>
                <c:manualLayout>
                  <c:x val="-4.2083616373658804E-3"/>
                  <c:y val="-4.4492197285168613E-3"/>
                </c:manualLayout>
              </c:layout>
              <c:showVal val="1"/>
            </c:dLbl>
            <c:dLbl>
              <c:idx val="1"/>
              <c:layout>
                <c:manualLayout>
                  <c:x val="-9.2692116017143496E-3"/>
                  <c:y val="-2.1833172622125814E-2"/>
                </c:manualLayout>
              </c:layout>
              <c:showVal val="1"/>
            </c:dLbl>
            <c:dLbl>
              <c:idx val="2"/>
              <c:layout>
                <c:manualLayout>
                  <c:x val="-7.6149690636285903E-3"/>
                  <c:y val="-1.3760916579744114E-2"/>
                </c:manualLayout>
              </c:layout>
              <c:showVal val="1"/>
            </c:dLbl>
            <c:dLbl>
              <c:idx val="3"/>
              <c:layout>
                <c:manualLayout>
                  <c:x val="3.6838739850807519E-4"/>
                  <c:y val="-1.9618294840686641E-3"/>
                </c:manualLayout>
              </c:layout>
              <c:showVal val="1"/>
            </c:dLbl>
            <c:dLbl>
              <c:idx val="4"/>
              <c:layout>
                <c:manualLayout>
                  <c:x val="2.0226299365940009E-3"/>
                  <c:y val="-9.4116040110164747E-3"/>
                </c:manualLayout>
              </c:layout>
              <c:showVal val="1"/>
            </c:dLbl>
            <c:dLbl>
              <c:idx val="5"/>
              <c:layout>
                <c:manualLayout>
                  <c:x val="-5.8167984113962727E-3"/>
                  <c:y val="4.5915912197882899E-3"/>
                </c:manualLayout>
              </c:layout>
              <c:showVal val="1"/>
            </c:dLbl>
            <c:dLbl>
              <c:idx val="6"/>
              <c:layout>
                <c:manualLayout>
                  <c:x val="-9.9832194782872581E-4"/>
                  <c:y val="-1.4690159245789673E-2"/>
                </c:manualLayout>
              </c:layout>
              <c:showVal val="1"/>
            </c:dLbl>
            <c:dLbl>
              <c:idx val="7"/>
              <c:layout>
                <c:manualLayout>
                  <c:x val="6.9850345143082004E-3"/>
                  <c:y val="-6.9635260064479813E-3"/>
                </c:manualLayout>
              </c:layout>
              <c:showVal val="1"/>
            </c:dLbl>
            <c:dLbl>
              <c:idx val="8"/>
              <c:layout>
                <c:manualLayout>
                  <c:x val="1.8090046436503141E-4"/>
                  <c:y val="-2.0299415362779252E-2"/>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Sheet1!$B$2:$L$2</c:f>
              <c:numCache>
                <c:formatCode>General</c:formatCode>
                <c:ptCount val="11"/>
                <c:pt idx="0">
                  <c:v>73</c:v>
                </c:pt>
                <c:pt idx="1">
                  <c:v>137</c:v>
                </c:pt>
                <c:pt idx="2">
                  <c:v>163</c:v>
                </c:pt>
                <c:pt idx="3">
                  <c:v>231</c:v>
                </c:pt>
                <c:pt idx="4">
                  <c:v>277</c:v>
                </c:pt>
                <c:pt idx="5">
                  <c:v>211</c:v>
                </c:pt>
                <c:pt idx="6">
                  <c:v>250</c:v>
                </c:pt>
                <c:pt idx="7">
                  <c:v>236</c:v>
                </c:pt>
                <c:pt idx="8">
                  <c:v>366</c:v>
                </c:pt>
              </c:numCache>
            </c:numRef>
          </c:val>
        </c:ser>
        <c:ser>
          <c:idx val="1"/>
          <c:order val="1"/>
          <c:tx>
            <c:strRef>
              <c:f>Sheet1!$A$3</c:f>
              <c:strCache>
                <c:ptCount val="1"/>
                <c:pt idx="0">
                  <c:v>Target</c:v>
                </c:pt>
              </c:strCache>
            </c:strRef>
          </c:tx>
          <c:spPr>
            <a:solidFill>
              <a:srgbClr val="9999FF"/>
            </a:solidFill>
            <a:ln w="12658">
              <a:solidFill>
                <a:srgbClr val="000000"/>
              </a:solidFill>
              <a:prstDash val="solid"/>
            </a:ln>
          </c:spPr>
          <c:dLbls>
            <c:dLbl>
              <c:idx val="1"/>
              <c:layout>
                <c:manualLayout>
                  <c:x val="0.65376396864705433"/>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Val val="1"/>
            </c:dLbl>
            <c:dLbl>
              <c:idx val="2"/>
              <c:layout>
                <c:manualLayout>
                  <c:x val="0.62693719852691243"/>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Val val="1"/>
            </c:dLbl>
            <c:dLbl>
              <c:idx val="3"/>
              <c:layout>
                <c:manualLayout>
                  <c:x val="0.52416073828161858"/>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Val val="1"/>
            </c:dLbl>
            <c:dLbl>
              <c:idx val="4"/>
              <c:layout>
                <c:manualLayout>
                  <c:x val="0.14923270233869271"/>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Val val="1"/>
            </c:dLbl>
            <c:dLbl>
              <c:idx val="5"/>
              <c:layout>
                <c:manualLayout>
                  <c:x val="0.43253251449703156"/>
                  <c:y val="-0.16336093181485364"/>
                </c:manualLayout>
              </c:layout>
              <c:showVal val="1"/>
            </c:dLbl>
            <c:dLbl>
              <c:idx val="6"/>
              <c:layout>
                <c:manualLayout>
                  <c:x val="0.35507283298449305"/>
                  <c:y val="-0.16336093181485364"/>
                </c:manualLayout>
              </c:layout>
              <c:showVal val="1"/>
            </c:dLbl>
            <c:dLbl>
              <c:idx val="7"/>
              <c:layout>
                <c:manualLayout>
                  <c:x val="-4.8336215616670314E-2"/>
                  <c:y val="-0.16336093181485364"/>
                </c:manualLayout>
              </c:layout>
              <c:showVal val="1"/>
            </c:dLbl>
            <c:dLbl>
              <c:idx val="8"/>
              <c:layout>
                <c:manualLayout>
                  <c:x val="-3.8156851620399414E-4"/>
                  <c:y val="-1.0205854313054149E-2"/>
                </c:manualLayout>
              </c:layout>
              <c:showVal val="1"/>
            </c:dLbl>
            <c:dLbl>
              <c:idx val="9"/>
              <c:layout>
                <c:manualLayout>
                  <c:x val="1.2726740218819144E-3"/>
                  <c:y val="-1.7276666606554639E-2"/>
                </c:manualLayout>
              </c:layout>
              <c:showVal val="1"/>
            </c:dLbl>
            <c:dLbl>
              <c:idx val="10"/>
              <c:layout>
                <c:manualLayout>
                  <c:x val="1.1835735917625701E-2"/>
                  <c:y val="-2.0299415362779252E-2"/>
                </c:manualLayout>
              </c:layout>
              <c:showVal val="1"/>
            </c:dLbl>
            <c:spPr>
              <a:noFill/>
              <a:ln w="25393">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Sheet1!$B$1:$L$1</c:f>
              <c:strCache>
                <c:ptCount val="11"/>
                <c:pt idx="0">
                  <c:v>FY03</c:v>
                </c:pt>
                <c:pt idx="1">
                  <c:v>FY04</c:v>
                </c:pt>
                <c:pt idx="2">
                  <c:v>FY05</c:v>
                </c:pt>
                <c:pt idx="3">
                  <c:v>FY06</c:v>
                </c:pt>
                <c:pt idx="4">
                  <c:v>FY07</c:v>
                </c:pt>
                <c:pt idx="5">
                  <c:v>FY08</c:v>
                </c:pt>
                <c:pt idx="6">
                  <c:v>FY09</c:v>
                </c:pt>
                <c:pt idx="7">
                  <c:v>FY10</c:v>
                </c:pt>
                <c:pt idx="8">
                  <c:v>FY11</c:v>
                </c:pt>
                <c:pt idx="9">
                  <c:v>FY12</c:v>
                </c:pt>
                <c:pt idx="10">
                  <c:v>FY13</c:v>
                </c:pt>
              </c:strCache>
            </c:strRef>
          </c:cat>
          <c:val>
            <c:numRef>
              <c:f>Sheet1!$B$3:$L$3</c:f>
              <c:numCache>
                <c:formatCode>General</c:formatCode>
                <c:ptCount val="11"/>
                <c:pt idx="9">
                  <c:v>360</c:v>
                </c:pt>
                <c:pt idx="10">
                  <c:v>360</c:v>
                </c:pt>
              </c:numCache>
            </c:numRef>
          </c:val>
        </c:ser>
        <c:dLbls>
          <c:showVal val="1"/>
        </c:dLbls>
        <c:gapDepth val="0"/>
        <c:shape val="box"/>
        <c:axId val="108507136"/>
        <c:axId val="108508672"/>
        <c:axId val="0"/>
      </c:bar3DChart>
      <c:catAx>
        <c:axId val="108507136"/>
        <c:scaling>
          <c:orientation val="minMax"/>
        </c:scaling>
        <c:axPos val="b"/>
        <c:numFmt formatCode="General" sourceLinked="1"/>
        <c:tickLblPos val="low"/>
        <c:spPr>
          <a:ln w="316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8508672"/>
        <c:crosses val="autoZero"/>
        <c:auto val="1"/>
        <c:lblAlgn val="ctr"/>
        <c:lblOffset val="100"/>
        <c:tickLblSkip val="2"/>
        <c:tickMarkSkip val="1"/>
      </c:catAx>
      <c:valAx>
        <c:axId val="108508672"/>
        <c:scaling>
          <c:orientation val="minMax"/>
        </c:scaling>
        <c:axPos val="l"/>
        <c:numFmt formatCode="General" sourceLinked="1"/>
        <c:tickLblPos val="nextTo"/>
        <c:spPr>
          <a:ln w="316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8507136"/>
        <c:crosses val="autoZero"/>
        <c:crossBetween val="between"/>
      </c:valAx>
      <c:spPr>
        <a:noFill/>
        <a:ln w="25393">
          <a:noFill/>
        </a:ln>
      </c:spPr>
    </c:plotArea>
    <c:legend>
      <c:legendPos val="r"/>
      <c:layout>
        <c:manualLayout>
          <c:xMode val="edge"/>
          <c:yMode val="edge"/>
          <c:x val="0.30696196308795476"/>
          <c:y val="0.86995515695067893"/>
          <c:w val="0.34810115402241376"/>
          <c:h val="9.4170403587445051E-2"/>
        </c:manualLayout>
      </c:layout>
      <c:spPr>
        <a:noFill/>
        <a:ln w="25316">
          <a:noFill/>
        </a:ln>
      </c:spPr>
      <c:txPr>
        <a:bodyPr/>
        <a:lstStyle/>
        <a:p>
          <a:pPr>
            <a:defRPr sz="823"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95" b="1"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rPr lang="en-US"/>
              <a:t>% of Major Mortgage Fraud Investigations to All Pending Mortgage Fraud Investigations</a:t>
            </a:r>
          </a:p>
        </c:rich>
      </c:tx>
      <c:layout>
        <c:manualLayout>
          <c:xMode val="edge"/>
          <c:yMode val="edge"/>
          <c:x val="0.15068493150685044"/>
          <c:y val="4.1666559972686354E-2"/>
        </c:manualLayout>
      </c:layout>
      <c:spPr>
        <a:noFill/>
        <a:ln w="25396">
          <a:noFill/>
        </a:ln>
      </c:spPr>
    </c:title>
    <c:view3D>
      <c:rotX val="27"/>
      <c:hPercent val="61"/>
      <c:rotY val="44"/>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0.1095890410958904"/>
          <c:y val="0.25609756097560982"/>
          <c:w val="0.81506849315068564"/>
          <c:h val="0.53658536585364336"/>
        </c:manualLayout>
      </c:layout>
      <c:bar3DChart>
        <c:barDir val="col"/>
        <c:grouping val="clustered"/>
        <c:ser>
          <c:idx val="0"/>
          <c:order val="0"/>
          <c:tx>
            <c:strRef>
              <c:f>Sheet1!$A$2</c:f>
              <c:strCache>
                <c:ptCount val="1"/>
                <c:pt idx="0">
                  <c:v>Actual</c:v>
                </c:pt>
              </c:strCache>
            </c:strRef>
          </c:tx>
          <c:spPr>
            <a:solidFill>
              <a:srgbClr val="993366"/>
            </a:solidFill>
            <a:ln w="12699">
              <a:solidFill>
                <a:srgbClr val="000000"/>
              </a:solidFill>
              <a:prstDash val="solid"/>
            </a:ln>
          </c:spPr>
          <c:dLbls>
            <c:dLbl>
              <c:idx val="0"/>
              <c:layout>
                <c:manualLayout>
                  <c:x val="2.1250456275746989E-2"/>
                  <c:y val="-2.4647309711286092E-2"/>
                </c:manualLayout>
              </c:layout>
              <c:showVal val="1"/>
            </c:dLbl>
            <c:dLbl>
              <c:idx val="1"/>
              <c:layout>
                <c:manualLayout>
                  <c:x val="1.3847490917939943E-2"/>
                  <c:y val="-1.5601213910761155E-2"/>
                </c:manualLayout>
              </c:layout>
              <c:showVal val="1"/>
            </c:dLbl>
            <c:dLbl>
              <c:idx val="2"/>
              <c:layout>
                <c:manualLayout>
                  <c:x val="1.4367558359840781E-2"/>
                  <c:y val="-3.1831528871391082E-2"/>
                </c:manualLayout>
              </c:layout>
              <c:showVal val="1"/>
            </c:dLbl>
            <c:dLbl>
              <c:idx val="3"/>
              <c:layout>
                <c:manualLayout>
                  <c:x val="1.3360449149154381E-2"/>
                  <c:y val="-2.2339238845144656E-2"/>
                </c:manualLayout>
              </c:layout>
              <c:showVal val="1"/>
            </c:dLbl>
            <c:dLbl>
              <c:idx val="4"/>
              <c:layout>
                <c:manualLayout>
                  <c:x val="2.0783577549495252E-2"/>
                  <c:y val="-3.7494258530183802E-2"/>
                </c:manualLayout>
              </c:layout>
              <c:showVal val="1"/>
            </c:dLbl>
            <c:dLbl>
              <c:idx val="5"/>
              <c:layout>
                <c:manualLayout>
                  <c:x val="-8.8073715112019363E-2"/>
                  <c:y val="-0.20936925853018659"/>
                </c:manualLayout>
              </c:layout>
              <c:showVal val="1"/>
            </c:dLbl>
            <c:dLbl>
              <c:idx val="6"/>
              <c:layout>
                <c:manualLayout>
                  <c:x val="-9.0524720085397775E-2"/>
                  <c:y val="-0.20936925853018659"/>
                </c:manualLayout>
              </c:layout>
              <c:showVal val="1"/>
            </c:dLbl>
            <c:spPr>
              <a:noFill/>
              <a:ln w="25396">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Sheet1!$B$2:$H$2</c:f>
              <c:numCache>
                <c:formatCode>0%</c:formatCode>
                <c:ptCount val="7"/>
                <c:pt idx="0">
                  <c:v>0.56000000000000005</c:v>
                </c:pt>
                <c:pt idx="1">
                  <c:v>0.63000000000000556</c:v>
                </c:pt>
                <c:pt idx="2">
                  <c:v>0.66000000000000636</c:v>
                </c:pt>
                <c:pt idx="3">
                  <c:v>0.71000000000000063</c:v>
                </c:pt>
                <c:pt idx="4">
                  <c:v>0.71000000000000063</c:v>
                </c:pt>
              </c:numCache>
            </c:numRef>
          </c:val>
        </c:ser>
        <c:ser>
          <c:idx val="1"/>
          <c:order val="1"/>
          <c:tx>
            <c:strRef>
              <c:f>Sheet1!$A$3</c:f>
              <c:strCache>
                <c:ptCount val="1"/>
                <c:pt idx="0">
                  <c:v>Target</c:v>
                </c:pt>
              </c:strCache>
            </c:strRef>
          </c:tx>
          <c:spPr>
            <a:solidFill>
              <a:srgbClr val="9999FF"/>
            </a:solidFill>
            <a:ln w="12699">
              <a:solidFill>
                <a:srgbClr val="000000"/>
              </a:solidFill>
              <a:prstDash val="solid"/>
            </a:ln>
          </c:spPr>
          <c:dLbls>
            <c:dLbl>
              <c:idx val="1"/>
              <c:layout>
                <c:manualLayout>
                  <c:x val="0.65048172480208977"/>
                  <c:y val="-0.20936925853018659"/>
                </c:manualLayout>
              </c:layout>
              <c:showVal val="1"/>
            </c:dLbl>
            <c:dLbl>
              <c:idx val="2"/>
              <c:layout>
                <c:manualLayout>
                  <c:x val="0.54529099380131696"/>
                  <c:y val="-0.20936925853018659"/>
                </c:manualLayout>
              </c:layout>
              <c:showVal val="1"/>
            </c:dLbl>
            <c:dLbl>
              <c:idx val="3"/>
              <c:layout>
                <c:manualLayout>
                  <c:x val="0.40585368745807782"/>
                  <c:y val="-0.20936925853018659"/>
                </c:manualLayout>
              </c:layout>
              <c:showVal val="1"/>
            </c:dLbl>
            <c:dLbl>
              <c:idx val="4"/>
              <c:layout>
                <c:manualLayout>
                  <c:x val="-3.0354546197011358E-3"/>
                  <c:y val="-3.1453202019717914E-2"/>
                </c:manualLayout>
              </c:layout>
              <c:showVal val="1"/>
            </c:dLbl>
            <c:dLbl>
              <c:idx val="5"/>
              <c:layout>
                <c:manualLayout>
                  <c:x val="8.2121705439094066E-3"/>
                  <c:y val="-3.1453202019717914E-2"/>
                </c:manualLayout>
              </c:layout>
              <c:showVal val="1"/>
            </c:dLbl>
            <c:dLbl>
              <c:idx val="6"/>
              <c:layout>
                <c:manualLayout>
                  <c:x val="1.9459795707519923E-2"/>
                  <c:y val="-3.5518242670124406E-2"/>
                </c:manualLayout>
              </c:layout>
              <c:showVal val="1"/>
            </c:dLbl>
            <c:dLbl>
              <c:idx val="7"/>
              <c:layout>
                <c:manualLayout>
                  <c:xMode val="edge"/>
                  <c:yMode val="edge"/>
                  <c:x val="0.81506849315068564"/>
                  <c:y val="0.31300813008130085"/>
                </c:manualLayout>
              </c:layout>
              <c:showVal val="1"/>
            </c:dLbl>
            <c:spPr>
              <a:noFill/>
              <a:ln w="25396">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Sheet1!$B$1:$H$1</c:f>
              <c:strCache>
                <c:ptCount val="7"/>
                <c:pt idx="0">
                  <c:v>FY07</c:v>
                </c:pt>
                <c:pt idx="1">
                  <c:v>FY08</c:v>
                </c:pt>
                <c:pt idx="2">
                  <c:v>FY09</c:v>
                </c:pt>
                <c:pt idx="3">
                  <c:v>FY10</c:v>
                </c:pt>
                <c:pt idx="4">
                  <c:v>FY11</c:v>
                </c:pt>
                <c:pt idx="5">
                  <c:v>FY12</c:v>
                </c:pt>
                <c:pt idx="6">
                  <c:v>FY13</c:v>
                </c:pt>
              </c:strCache>
            </c:strRef>
          </c:cat>
          <c:val>
            <c:numRef>
              <c:f>Sheet1!$B$3:$H$3</c:f>
              <c:numCache>
                <c:formatCode>General</c:formatCode>
                <c:ptCount val="7"/>
                <c:pt idx="5" formatCode="0%">
                  <c:v>0.71000000000000063</c:v>
                </c:pt>
                <c:pt idx="6" formatCode="0%">
                  <c:v>0.71000000000000063</c:v>
                </c:pt>
              </c:numCache>
            </c:numRef>
          </c:val>
        </c:ser>
        <c:dLbls>
          <c:showVal val="1"/>
        </c:dLbls>
        <c:gapDepth val="0"/>
        <c:shape val="box"/>
        <c:axId val="108112896"/>
        <c:axId val="108614400"/>
        <c:axId val="0"/>
      </c:bar3DChart>
      <c:catAx>
        <c:axId val="10811289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8614400"/>
        <c:crosses val="autoZero"/>
        <c:auto val="1"/>
        <c:lblAlgn val="ctr"/>
        <c:lblOffset val="100"/>
        <c:tickLblSkip val="1"/>
        <c:tickMarkSkip val="1"/>
      </c:catAx>
      <c:valAx>
        <c:axId val="108614400"/>
        <c:scaling>
          <c:orientation val="minMax"/>
        </c:scaling>
        <c:axPos val="l"/>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8112896"/>
        <c:crosses val="autoZero"/>
        <c:crossBetween val="between"/>
      </c:valAx>
      <c:spPr>
        <a:noFill/>
        <a:ln w="25396">
          <a:noFill/>
        </a:ln>
      </c:spPr>
    </c:plotArea>
    <c:legend>
      <c:legendPos val="r"/>
      <c:layout>
        <c:manualLayout>
          <c:xMode val="edge"/>
          <c:yMode val="edge"/>
          <c:x val="0.21575342465753444"/>
          <c:y val="0.84552845528455844"/>
          <c:w val="0.57876712328767099"/>
          <c:h val="0.15447154471544741"/>
        </c:manualLayout>
      </c:layout>
      <c:spPr>
        <a:noFill/>
        <a:ln w="25397">
          <a:noFill/>
        </a:ln>
      </c:spPr>
      <c:txPr>
        <a:bodyPr/>
        <a:lstStyle/>
        <a:p>
          <a:pPr>
            <a:defRPr sz="82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50" b="1"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3A077-AE4C-4BA7-82C8-5249F6CF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109</Pages>
  <Words>37791</Words>
  <Characters>225341</Characters>
  <Application>Microsoft Office Word</Application>
  <DocSecurity>0</DocSecurity>
  <Lines>1877</Lines>
  <Paragraphs>525</Paragraphs>
  <ScaleCrop>false</ScaleCrop>
  <HeadingPairs>
    <vt:vector size="2" baseType="variant">
      <vt:variant>
        <vt:lpstr>Title</vt:lpstr>
      </vt:variant>
      <vt:variant>
        <vt:i4>1</vt:i4>
      </vt:variant>
    </vt:vector>
  </HeadingPairs>
  <TitlesOfParts>
    <vt:vector size="1" baseType="lpstr">
      <vt:lpstr>DRAFT</vt:lpstr>
    </vt:vector>
  </TitlesOfParts>
  <Company>Department of Justice</Company>
  <LinksUpToDate>false</LinksUpToDate>
  <CharactersWithSpaces>262607</CharactersWithSpaces>
  <SharedDoc>false</SharedDoc>
  <HLinks>
    <vt:vector size="18" baseType="variant">
      <vt:variant>
        <vt:i4>2752608</vt:i4>
      </vt:variant>
      <vt:variant>
        <vt:i4>6</vt:i4>
      </vt:variant>
      <vt:variant>
        <vt:i4>0</vt:i4>
      </vt:variant>
      <vt:variant>
        <vt:i4>5</vt:i4>
      </vt:variant>
      <vt:variant>
        <vt:lpwstr>http://www.usdoj.gov/jmd/ep</vt:lpwstr>
      </vt:variant>
      <vt:variant>
        <vt:lpwstr/>
      </vt:variant>
      <vt:variant>
        <vt:i4>8126583</vt:i4>
      </vt:variant>
      <vt:variant>
        <vt:i4>3</vt:i4>
      </vt:variant>
      <vt:variant>
        <vt:i4>0</vt:i4>
      </vt:variant>
      <vt:variant>
        <vt:i4>5</vt:i4>
      </vt:variant>
      <vt:variant>
        <vt:lpwstr>http://www.justice.gov/02organizations/bpp.htm</vt:lpwstr>
      </vt:variant>
      <vt:variant>
        <vt:lpwstr/>
      </vt:variant>
      <vt:variant>
        <vt:i4>2162721</vt:i4>
      </vt:variant>
      <vt:variant>
        <vt:i4>0</vt:i4>
      </vt:variant>
      <vt:variant>
        <vt:i4>0</vt:i4>
      </vt:variant>
      <vt:variant>
        <vt:i4>5</vt:i4>
      </vt:variant>
      <vt:variant>
        <vt:lpwstr>https://max.omb.gov/community/x/woEZIQ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debjones</dc:creator>
  <cp:keywords/>
  <dc:description/>
  <cp:lastModifiedBy>rlindsay</cp:lastModifiedBy>
  <cp:revision>16</cp:revision>
  <cp:lastPrinted>2012-01-24T14:19:00Z</cp:lastPrinted>
  <dcterms:created xsi:type="dcterms:W3CDTF">2012-02-09T12:34:00Z</dcterms:created>
  <dcterms:modified xsi:type="dcterms:W3CDTF">2012-02-09T17:49:00Z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