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oter3.xml" ContentType="application/vnd.openxmlformats-officedocument.wordprocessingml.footer+xml"/>
  <Override PartName="/word/header1.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076483"/>
        <w:docPartObj>
          <w:docPartGallery w:val="Cover Pages"/>
          <w:docPartUnique/>
        </w:docPartObj>
      </w:sdtPr>
      <w:sdtEndPr>
        <w:rPr>
          <w:rFonts w:ascii="Calibri" w:hAnsi="Calibri"/>
          <w:color w:val="632423" w:themeColor="accent2" w:themeShade="80"/>
          <w:sz w:val="22"/>
          <w:szCs w:val="22"/>
        </w:rPr>
      </w:sdtEndPr>
      <w:sdtContent>
        <w:p w:rsidR="00520137" w:rsidRDefault="00520137" w:rsidP="00520137"/>
        <w:p w:rsidR="00520137" w:rsidRDefault="00520137" w:rsidP="00520137">
          <w:pPr>
            <w:jc w:val="right"/>
            <w:rPr>
              <w:rFonts w:asciiTheme="minorHAnsi" w:hAnsiTheme="minorHAnsi"/>
              <w:sz w:val="88"/>
              <w:szCs w:val="88"/>
            </w:rPr>
          </w:pPr>
        </w:p>
        <w:p w:rsidR="00520137" w:rsidRPr="00243C84" w:rsidRDefault="00520137" w:rsidP="00520137">
          <w:pPr>
            <w:jc w:val="right"/>
            <w:rPr>
              <w:rFonts w:asciiTheme="minorHAnsi" w:hAnsiTheme="minorHAnsi"/>
            </w:rPr>
          </w:pPr>
          <w:r w:rsidRPr="00243C84">
            <w:rPr>
              <w:rFonts w:asciiTheme="minorHAnsi" w:hAnsiTheme="minorHAnsi"/>
              <w:sz w:val="88"/>
              <w:szCs w:val="88"/>
            </w:rPr>
            <w:t>Civil Division</w:t>
          </w:r>
        </w:p>
        <w:p w:rsidR="00520137" w:rsidRPr="00243C84" w:rsidRDefault="00520137" w:rsidP="00520137">
          <w:pPr>
            <w:pStyle w:val="NoSpacing"/>
            <w:jc w:val="right"/>
            <w:rPr>
              <w:sz w:val="88"/>
              <w:szCs w:val="88"/>
            </w:rPr>
          </w:pPr>
          <w:r w:rsidRPr="00243C84">
            <w:rPr>
              <w:sz w:val="88"/>
              <w:szCs w:val="88"/>
            </w:rPr>
            <w:t>Fiscal Year 2012</w:t>
          </w:r>
        </w:p>
        <w:p w:rsidR="00520137" w:rsidRPr="00243C84" w:rsidRDefault="00520137" w:rsidP="00520137">
          <w:pPr>
            <w:pStyle w:val="NoSpacing"/>
            <w:jc w:val="right"/>
            <w:rPr>
              <w:sz w:val="88"/>
              <w:szCs w:val="88"/>
            </w:rPr>
          </w:pPr>
          <w:r w:rsidRPr="00243C84">
            <w:rPr>
              <w:sz w:val="88"/>
              <w:szCs w:val="88"/>
            </w:rPr>
            <w:t>Budget Request</w:t>
          </w:r>
        </w:p>
        <w:p w:rsidR="00520137" w:rsidRDefault="00520137" w:rsidP="00520137">
          <w:pPr>
            <w:pStyle w:val="NoSpacing"/>
            <w:jc w:val="right"/>
            <w:rPr>
              <w:sz w:val="88"/>
              <w:szCs w:val="88"/>
            </w:rPr>
          </w:pPr>
        </w:p>
        <w:p w:rsidR="00520137" w:rsidRDefault="00520137" w:rsidP="00520137">
          <w:pPr>
            <w:pStyle w:val="NoSpacing"/>
            <w:jc w:val="right"/>
            <w:rPr>
              <w:sz w:val="88"/>
              <w:szCs w:val="88"/>
            </w:rPr>
          </w:pPr>
          <w:r>
            <w:rPr>
              <w:noProof/>
              <w:sz w:val="88"/>
              <w:szCs w:val="88"/>
            </w:rPr>
            <w:drawing>
              <wp:anchor distT="0" distB="0" distL="114300" distR="114300" simplePos="0" relativeHeight="251680768" behindDoc="0" locked="0" layoutInCell="1" allowOverlap="1">
                <wp:simplePos x="0" y="0"/>
                <wp:positionH relativeFrom="column">
                  <wp:posOffset>-587375</wp:posOffset>
                </wp:positionH>
                <wp:positionV relativeFrom="paragraph">
                  <wp:posOffset>3175</wp:posOffset>
                </wp:positionV>
                <wp:extent cx="7125970" cy="2158365"/>
                <wp:effectExtent l="19050" t="0" r="0" b="0"/>
                <wp:wrapNone/>
                <wp:docPr id="9" name="Picture 1" descr="U.S. Courthouse"/>
                <wp:cNvGraphicFramePr/>
                <a:graphic xmlns:a="http://schemas.openxmlformats.org/drawingml/2006/main">
                  <a:graphicData uri="http://schemas.openxmlformats.org/drawingml/2006/picture">
                    <pic:pic xmlns:pic="http://schemas.openxmlformats.org/drawingml/2006/picture">
                      <pic:nvPicPr>
                        <pic:cNvPr id="4" name="Picture 3" descr="Court House.jpg"/>
                        <pic:cNvPicPr>
                          <a:picLocks noChangeAspect="1"/>
                        </pic:cNvPicPr>
                      </pic:nvPicPr>
                      <pic:blipFill>
                        <a:blip r:embed="rId9" cstate="print"/>
                        <a:stretch>
                          <a:fillRect/>
                        </a:stretch>
                      </pic:blipFill>
                      <pic:spPr>
                        <a:xfrm>
                          <a:off x="0" y="0"/>
                          <a:ext cx="7125970" cy="2158365"/>
                        </a:xfrm>
                        <a:prstGeom prst="rect">
                          <a:avLst/>
                        </a:prstGeom>
                      </pic:spPr>
                    </pic:pic>
                  </a:graphicData>
                </a:graphic>
              </wp:anchor>
            </w:drawing>
          </w:r>
        </w:p>
        <w:p w:rsidR="00520137" w:rsidRDefault="00520137" w:rsidP="00520137">
          <w:pPr>
            <w:pStyle w:val="NoSpacing"/>
            <w:jc w:val="right"/>
            <w:rPr>
              <w:sz w:val="88"/>
              <w:szCs w:val="88"/>
            </w:rPr>
          </w:pPr>
        </w:p>
        <w:p w:rsidR="00520137" w:rsidRDefault="00520137" w:rsidP="00520137">
          <w:pPr>
            <w:pStyle w:val="NoSpacing"/>
            <w:jc w:val="right"/>
            <w:rPr>
              <w:sz w:val="88"/>
              <w:szCs w:val="88"/>
            </w:rPr>
          </w:pPr>
        </w:p>
        <w:p w:rsidR="00520137" w:rsidRDefault="00520137" w:rsidP="00520137">
          <w:pPr>
            <w:pStyle w:val="NoSpacing"/>
            <w:jc w:val="right"/>
            <w:rPr>
              <w:sz w:val="88"/>
              <w:szCs w:val="88"/>
            </w:rPr>
          </w:pPr>
        </w:p>
        <w:p w:rsidR="00520137" w:rsidRDefault="00520137" w:rsidP="00520137">
          <w:pPr>
            <w:pStyle w:val="NoSpacing"/>
            <w:jc w:val="right"/>
            <w:rPr>
              <w:sz w:val="88"/>
              <w:szCs w:val="88"/>
            </w:rPr>
          </w:pPr>
        </w:p>
        <w:p w:rsidR="00520137" w:rsidRDefault="00520137" w:rsidP="00520137">
          <w:pPr>
            <w:pStyle w:val="NoSpacing"/>
            <w:jc w:val="right"/>
            <w:rPr>
              <w:sz w:val="24"/>
              <w:szCs w:val="24"/>
            </w:rPr>
          </w:pPr>
        </w:p>
        <w:p w:rsidR="00520137" w:rsidRDefault="00520137" w:rsidP="00520137">
          <w:pPr>
            <w:pStyle w:val="NoSpacing"/>
            <w:jc w:val="right"/>
            <w:rPr>
              <w:sz w:val="24"/>
              <w:szCs w:val="24"/>
            </w:rPr>
          </w:pPr>
        </w:p>
        <w:p w:rsidR="00520137" w:rsidRDefault="00520137" w:rsidP="00520137">
          <w:pPr>
            <w:pStyle w:val="NoSpacing"/>
            <w:jc w:val="right"/>
            <w:rPr>
              <w:sz w:val="24"/>
              <w:szCs w:val="24"/>
            </w:rPr>
          </w:pPr>
        </w:p>
        <w:p w:rsidR="00520137" w:rsidRDefault="00520137" w:rsidP="00520137">
          <w:pPr>
            <w:pStyle w:val="NoSpacing"/>
            <w:jc w:val="right"/>
            <w:rPr>
              <w:sz w:val="24"/>
              <w:szCs w:val="24"/>
            </w:rPr>
          </w:pPr>
        </w:p>
        <w:p w:rsidR="00520137" w:rsidRPr="009E4919" w:rsidRDefault="00520137" w:rsidP="00520137">
          <w:pPr>
            <w:pStyle w:val="NoSpacing"/>
            <w:jc w:val="right"/>
            <w:rPr>
              <w:sz w:val="24"/>
              <w:szCs w:val="24"/>
            </w:rPr>
          </w:pPr>
        </w:p>
        <w:p w:rsidR="00520137" w:rsidRDefault="00520137" w:rsidP="00520137">
          <w:pPr>
            <w:pStyle w:val="NoSpacing"/>
            <w:jc w:val="right"/>
            <w:rPr>
              <w:sz w:val="40"/>
              <w:szCs w:val="40"/>
            </w:rPr>
          </w:pPr>
        </w:p>
        <w:p w:rsidR="00520137" w:rsidRPr="004A4697" w:rsidRDefault="00520137" w:rsidP="00520137">
          <w:pPr>
            <w:pStyle w:val="NoSpacing"/>
            <w:jc w:val="right"/>
            <w:rPr>
              <w:sz w:val="48"/>
              <w:szCs w:val="48"/>
            </w:rPr>
          </w:pPr>
          <w:r w:rsidRPr="004A4697">
            <w:rPr>
              <w:sz w:val="48"/>
              <w:szCs w:val="48"/>
            </w:rPr>
            <w:t>February 2011</w:t>
          </w:r>
        </w:p>
        <w:p w:rsidR="00520137" w:rsidRDefault="00A974BD" w:rsidP="00520137">
          <w:pPr>
            <w:rPr>
              <w:rFonts w:ascii="Calibri" w:hAnsi="Calibri"/>
              <w:b/>
              <w:color w:val="632423" w:themeColor="accent2" w:themeShade="80"/>
              <w:sz w:val="22"/>
              <w:szCs w:val="22"/>
            </w:rPr>
          </w:pPr>
        </w:p>
      </w:sdtContent>
    </w:sdt>
    <w:p w:rsidR="00520137" w:rsidRDefault="00520137" w:rsidP="00520137">
      <w:pPr>
        <w:pStyle w:val="Heading1"/>
        <w:tabs>
          <w:tab w:val="left" w:leader="dot" w:pos="7920"/>
          <w:tab w:val="right" w:pos="8640"/>
        </w:tabs>
        <w:rPr>
          <w:rFonts w:ascii="Calibri" w:hAnsi="Calibri"/>
          <w:color w:val="632423" w:themeColor="accent2" w:themeShade="80"/>
          <w:sz w:val="22"/>
          <w:szCs w:val="22"/>
        </w:rPr>
      </w:pPr>
    </w:p>
    <w:p w:rsidR="00520137" w:rsidRDefault="00520137" w:rsidP="00520137"/>
    <w:p w:rsidR="00520137" w:rsidRDefault="00520137" w:rsidP="00520137">
      <w:pPr>
        <w:jc w:val="center"/>
        <w:sectPr w:rsidR="00520137" w:rsidSect="00520137">
          <w:footerReference w:type="even" r:id="rId10"/>
          <w:footerReference w:type="default" r:id="rId11"/>
          <w:pgSz w:w="12240" w:h="15840"/>
          <w:pgMar w:top="576" w:right="1440" w:bottom="720" w:left="1440" w:header="720" w:footer="720" w:gutter="0"/>
          <w:pgNumType w:start="1"/>
          <w:cols w:space="720"/>
          <w:titlePg/>
          <w:docGrid w:linePitch="360"/>
        </w:sectPr>
      </w:pPr>
    </w:p>
    <w:p w:rsidR="00520137" w:rsidRDefault="00520137" w:rsidP="00520137">
      <w:pPr>
        <w:pStyle w:val="Heading1"/>
        <w:tabs>
          <w:tab w:val="left" w:leader="dot" w:pos="7920"/>
          <w:tab w:val="right" w:pos="8640"/>
        </w:tabs>
        <w:rPr>
          <w:rFonts w:ascii="Calibri" w:hAnsi="Calibri"/>
          <w:color w:val="632423" w:themeColor="accent2" w:themeShade="80"/>
          <w:sz w:val="22"/>
          <w:szCs w:val="22"/>
        </w:rPr>
      </w:pPr>
    </w:p>
    <w:p w:rsidR="00520137" w:rsidRDefault="00520137" w:rsidP="00520137">
      <w:pPr>
        <w:pStyle w:val="Heading1"/>
        <w:tabs>
          <w:tab w:val="left" w:leader="dot" w:pos="7920"/>
          <w:tab w:val="right" w:pos="8640"/>
        </w:tabs>
        <w:rPr>
          <w:rFonts w:ascii="Calibri" w:hAnsi="Calibri"/>
          <w:color w:val="632423" w:themeColor="accent2" w:themeShade="80"/>
          <w:sz w:val="22"/>
          <w:szCs w:val="22"/>
        </w:rPr>
      </w:pPr>
    </w:p>
    <w:p w:rsidR="00520137" w:rsidRPr="00A555F1" w:rsidRDefault="00520137" w:rsidP="00520137">
      <w:pPr>
        <w:pStyle w:val="Heading1"/>
        <w:tabs>
          <w:tab w:val="left" w:leader="dot" w:pos="7920"/>
          <w:tab w:val="right" w:pos="8640"/>
        </w:tabs>
        <w:rPr>
          <w:rFonts w:ascii="Calibri" w:hAnsi="Calibri"/>
          <w:color w:val="632423" w:themeColor="accent2" w:themeShade="80"/>
          <w:sz w:val="22"/>
          <w:szCs w:val="22"/>
        </w:rPr>
      </w:pPr>
      <w:r w:rsidRPr="00A555F1">
        <w:rPr>
          <w:rFonts w:ascii="Calibri" w:hAnsi="Calibri"/>
          <w:color w:val="632423" w:themeColor="accent2" w:themeShade="80"/>
          <w:sz w:val="22"/>
          <w:szCs w:val="22"/>
        </w:rPr>
        <w:t xml:space="preserve">Table of Contents </w:t>
      </w:r>
    </w:p>
    <w:p w:rsidR="00520137" w:rsidRPr="00A555F1" w:rsidRDefault="00520137" w:rsidP="00520137">
      <w:pPr>
        <w:pStyle w:val="xl19"/>
        <w:tabs>
          <w:tab w:val="left" w:leader="dot" w:pos="7920"/>
          <w:tab w:val="right" w:pos="8640"/>
        </w:tabs>
        <w:spacing w:before="0" w:after="0"/>
        <w:rPr>
          <w:rFonts w:ascii="Calibri" w:hAnsi="Calibri"/>
          <w:b/>
          <w:bCs/>
          <w:color w:val="632423" w:themeColor="accent2" w:themeShade="80"/>
          <w:sz w:val="22"/>
          <w:szCs w:val="22"/>
        </w:rPr>
      </w:pPr>
    </w:p>
    <w:p w:rsidR="00520137" w:rsidRPr="00A555F1" w:rsidRDefault="00520137" w:rsidP="00520137">
      <w:pPr>
        <w:pStyle w:val="xl19"/>
        <w:tabs>
          <w:tab w:val="left" w:leader="dot" w:pos="7920"/>
          <w:tab w:val="right" w:pos="8640"/>
        </w:tabs>
        <w:spacing w:before="0" w:after="0"/>
        <w:jc w:val="right"/>
        <w:rPr>
          <w:rFonts w:ascii="Calibri" w:hAnsi="Calibri"/>
          <w:bCs/>
          <w:color w:val="632423" w:themeColor="accent2" w:themeShade="80"/>
          <w:sz w:val="22"/>
          <w:szCs w:val="22"/>
        </w:rPr>
      </w:pPr>
      <w:r w:rsidRPr="00A555F1">
        <w:rPr>
          <w:rFonts w:ascii="Calibri" w:hAnsi="Calibri"/>
          <w:bCs/>
          <w:color w:val="632423" w:themeColor="accent2" w:themeShade="80"/>
          <w:sz w:val="22"/>
          <w:szCs w:val="22"/>
        </w:rPr>
        <w:t>Page No.</w:t>
      </w:r>
    </w:p>
    <w:p w:rsidR="00520137" w:rsidRPr="00A555F1" w:rsidRDefault="00520137" w:rsidP="00520137">
      <w:pPr>
        <w:pStyle w:val="xl19"/>
        <w:tabs>
          <w:tab w:val="left" w:leader="dot" w:pos="7920"/>
          <w:tab w:val="right" w:pos="8640"/>
        </w:tabs>
        <w:spacing w:before="0" w:after="0"/>
        <w:rPr>
          <w:rFonts w:ascii="Calibri" w:hAnsi="Calibri"/>
          <w:b/>
          <w:bCs/>
          <w:color w:val="632423" w:themeColor="accent2" w:themeShade="80"/>
          <w:sz w:val="22"/>
          <w:szCs w:val="22"/>
        </w:rPr>
      </w:pPr>
    </w:p>
    <w:p w:rsidR="00520137" w:rsidRPr="00A555F1" w:rsidRDefault="00520137" w:rsidP="00520137">
      <w:pPr>
        <w:pStyle w:val="xl19"/>
        <w:tabs>
          <w:tab w:val="left" w:leader="dot" w:pos="8820"/>
          <w:tab w:val="right" w:pos="9720"/>
        </w:tabs>
        <w:spacing w:before="0" w:after="0"/>
        <w:rPr>
          <w:rFonts w:ascii="Calibri" w:hAnsi="Calibri"/>
          <w:b/>
          <w:bCs/>
          <w:color w:val="632423" w:themeColor="accent2" w:themeShade="80"/>
          <w:sz w:val="22"/>
          <w:szCs w:val="22"/>
        </w:rPr>
      </w:pPr>
      <w:r w:rsidRPr="00A555F1">
        <w:rPr>
          <w:rFonts w:ascii="Calibri" w:hAnsi="Calibri"/>
          <w:b/>
          <w:bCs/>
          <w:color w:val="632423" w:themeColor="accent2" w:themeShade="80"/>
          <w:sz w:val="22"/>
          <w:szCs w:val="22"/>
        </w:rPr>
        <w:t>I. Overview</w:t>
      </w:r>
      <w:r w:rsidRPr="003505F9">
        <w:rPr>
          <w:rFonts w:ascii="Calibri" w:hAnsi="Calibri"/>
          <w:color w:val="632423" w:themeColor="accent2" w:themeShade="80"/>
          <w:sz w:val="22"/>
          <w:szCs w:val="22"/>
        </w:rPr>
        <w:tab/>
        <w:t>1</w:t>
      </w:r>
    </w:p>
    <w:p w:rsidR="00520137" w:rsidRDefault="00520137" w:rsidP="00520137">
      <w:pPr>
        <w:tabs>
          <w:tab w:val="left" w:leader="dot" w:pos="7920"/>
          <w:tab w:val="right" w:pos="8640"/>
        </w:tabs>
        <w:rPr>
          <w:rFonts w:ascii="Calibri" w:hAnsi="Calibri"/>
          <w:bCs/>
          <w:color w:val="632423" w:themeColor="accent2" w:themeShade="80"/>
          <w:sz w:val="22"/>
          <w:szCs w:val="22"/>
        </w:rPr>
      </w:pPr>
    </w:p>
    <w:p w:rsidR="00520137" w:rsidRDefault="00520137" w:rsidP="00520137">
      <w:pPr>
        <w:tabs>
          <w:tab w:val="left" w:leader="dot" w:pos="7920"/>
          <w:tab w:val="right" w:pos="8640"/>
        </w:tabs>
        <w:rPr>
          <w:rFonts w:ascii="Calibri" w:hAnsi="Calibri"/>
          <w:b/>
          <w:bCs/>
          <w:color w:val="632423" w:themeColor="accent2" w:themeShade="80"/>
          <w:sz w:val="22"/>
          <w:szCs w:val="22"/>
        </w:rPr>
      </w:pPr>
      <w:r>
        <w:rPr>
          <w:rFonts w:ascii="Calibri" w:hAnsi="Calibri"/>
          <w:b/>
          <w:bCs/>
          <w:color w:val="632423" w:themeColor="accent2" w:themeShade="80"/>
          <w:sz w:val="22"/>
          <w:szCs w:val="22"/>
        </w:rPr>
        <w:t>II. Summary of Program Changes</w:t>
      </w:r>
      <w:r w:rsidRPr="0054152B">
        <w:rPr>
          <w:rFonts w:ascii="Calibri" w:hAnsi="Calibri"/>
          <w:bCs/>
          <w:color w:val="632423" w:themeColor="accent2" w:themeShade="80"/>
          <w:sz w:val="22"/>
          <w:szCs w:val="22"/>
        </w:rPr>
        <w:tab/>
      </w:r>
      <w:r w:rsidR="00EA0C8D">
        <w:rPr>
          <w:rFonts w:ascii="Calibri" w:hAnsi="Calibri"/>
          <w:bCs/>
          <w:color w:val="632423" w:themeColor="accent2" w:themeShade="80"/>
          <w:sz w:val="22"/>
          <w:szCs w:val="22"/>
        </w:rPr>
        <w:t>………………5</w:t>
      </w:r>
      <w:r>
        <w:rPr>
          <w:rFonts w:ascii="Calibri" w:hAnsi="Calibri"/>
          <w:bCs/>
          <w:color w:val="632423" w:themeColor="accent2" w:themeShade="80"/>
          <w:sz w:val="22"/>
          <w:szCs w:val="22"/>
        </w:rPr>
        <w:tab/>
      </w:r>
    </w:p>
    <w:p w:rsidR="00520137" w:rsidRPr="00A555F1" w:rsidRDefault="00520137" w:rsidP="00520137">
      <w:pPr>
        <w:tabs>
          <w:tab w:val="left" w:leader="dot" w:pos="7920"/>
          <w:tab w:val="right" w:pos="8640"/>
        </w:tabs>
        <w:rPr>
          <w:rFonts w:ascii="Calibri" w:hAnsi="Calibri"/>
          <w:bCs/>
          <w:color w:val="632423" w:themeColor="accent2" w:themeShade="80"/>
          <w:sz w:val="22"/>
          <w:szCs w:val="22"/>
        </w:rPr>
      </w:pPr>
    </w:p>
    <w:p w:rsidR="00520137" w:rsidRPr="00A555F1" w:rsidRDefault="00520137" w:rsidP="00520137">
      <w:pPr>
        <w:pStyle w:val="xl27"/>
        <w:tabs>
          <w:tab w:val="left" w:leader="dot" w:pos="7920"/>
          <w:tab w:val="right" w:pos="8640"/>
        </w:tabs>
        <w:spacing w:before="0" w:after="0"/>
        <w:rPr>
          <w:rFonts w:ascii="Calibri" w:eastAsia="Times New Roman" w:hAnsi="Calibri" w:cs="Arial"/>
          <w:color w:val="632423" w:themeColor="accent2" w:themeShade="80"/>
          <w:sz w:val="22"/>
          <w:szCs w:val="22"/>
        </w:rPr>
      </w:pPr>
      <w:r>
        <w:rPr>
          <w:rFonts w:ascii="Calibri" w:eastAsia="Times New Roman" w:hAnsi="Calibri" w:cs="Arial"/>
          <w:color w:val="632423" w:themeColor="accent2" w:themeShade="80"/>
          <w:sz w:val="22"/>
          <w:szCs w:val="22"/>
        </w:rPr>
        <w:t>III</w:t>
      </w:r>
      <w:r w:rsidRPr="00A555F1">
        <w:rPr>
          <w:rFonts w:ascii="Calibri" w:eastAsia="Times New Roman" w:hAnsi="Calibri" w:cs="Arial"/>
          <w:color w:val="632423" w:themeColor="accent2" w:themeShade="80"/>
          <w:sz w:val="22"/>
          <w:szCs w:val="22"/>
        </w:rPr>
        <w:t>. Decision Unit Justification</w:t>
      </w:r>
    </w:p>
    <w:p w:rsidR="00520137" w:rsidRPr="00A555F1" w:rsidRDefault="00520137" w:rsidP="00520137">
      <w:pPr>
        <w:tabs>
          <w:tab w:val="left" w:leader="dot" w:pos="7920"/>
          <w:tab w:val="right" w:pos="8640"/>
        </w:tabs>
        <w:rPr>
          <w:rFonts w:ascii="Calibri" w:hAnsi="Calibri"/>
          <w:bCs/>
          <w:color w:val="632423" w:themeColor="accent2" w:themeShade="80"/>
          <w:sz w:val="22"/>
          <w:szCs w:val="22"/>
        </w:rPr>
      </w:pPr>
      <w:r>
        <w:rPr>
          <w:rFonts w:ascii="Calibri" w:hAnsi="Calibri"/>
          <w:bCs/>
          <w:color w:val="632423" w:themeColor="accent2" w:themeShade="80"/>
          <w:sz w:val="22"/>
          <w:szCs w:val="22"/>
        </w:rPr>
        <w:t xml:space="preserve"> </w:t>
      </w:r>
    </w:p>
    <w:p w:rsidR="00520137" w:rsidRPr="00A555F1" w:rsidRDefault="00EA0C8D" w:rsidP="00520137">
      <w:pPr>
        <w:tabs>
          <w:tab w:val="left" w:leader="dot" w:pos="8820"/>
        </w:tabs>
        <w:ind w:left="720" w:hanging="360"/>
        <w:rPr>
          <w:rFonts w:ascii="Calibri" w:hAnsi="Calibri"/>
          <w:bCs/>
          <w:color w:val="632423" w:themeColor="accent2" w:themeShade="80"/>
          <w:sz w:val="22"/>
          <w:szCs w:val="22"/>
        </w:rPr>
      </w:pPr>
      <w:r>
        <w:rPr>
          <w:rFonts w:ascii="Calibri" w:hAnsi="Calibri"/>
          <w:bCs/>
          <w:color w:val="632423" w:themeColor="accent2" w:themeShade="80"/>
          <w:sz w:val="22"/>
          <w:szCs w:val="22"/>
        </w:rPr>
        <w:t>A.  Legal Representation</w:t>
      </w:r>
      <w:r>
        <w:rPr>
          <w:rFonts w:ascii="Calibri" w:hAnsi="Calibri"/>
          <w:bCs/>
          <w:color w:val="632423" w:themeColor="accent2" w:themeShade="80"/>
          <w:sz w:val="22"/>
          <w:szCs w:val="22"/>
        </w:rPr>
        <w:tab/>
        <w:t>7</w:t>
      </w:r>
    </w:p>
    <w:p w:rsidR="00520137" w:rsidRPr="00A555F1" w:rsidRDefault="00520137" w:rsidP="00520137">
      <w:pPr>
        <w:tabs>
          <w:tab w:val="left" w:pos="720"/>
          <w:tab w:val="left" w:leader="dot" w:pos="7920"/>
          <w:tab w:val="right" w:pos="8640"/>
        </w:tabs>
        <w:ind w:left="720" w:hanging="360"/>
        <w:rPr>
          <w:rFonts w:ascii="Calibri" w:hAnsi="Calibri"/>
          <w:bCs/>
          <w:color w:val="632423" w:themeColor="accent2" w:themeShade="80"/>
          <w:sz w:val="22"/>
          <w:szCs w:val="22"/>
        </w:rPr>
      </w:pPr>
      <w:r w:rsidRPr="00A555F1">
        <w:rPr>
          <w:rFonts w:ascii="Calibri" w:hAnsi="Calibri"/>
          <w:bCs/>
          <w:color w:val="632423" w:themeColor="accent2" w:themeShade="80"/>
          <w:sz w:val="22"/>
          <w:szCs w:val="22"/>
        </w:rPr>
        <w:t xml:space="preserve">           1.  Program Description</w:t>
      </w:r>
    </w:p>
    <w:p w:rsidR="00520137" w:rsidRPr="00A555F1" w:rsidRDefault="00520137" w:rsidP="00520137">
      <w:pPr>
        <w:tabs>
          <w:tab w:val="left" w:pos="720"/>
          <w:tab w:val="left" w:leader="dot" w:pos="7920"/>
          <w:tab w:val="right" w:pos="8640"/>
        </w:tabs>
        <w:ind w:left="720" w:hanging="360"/>
        <w:rPr>
          <w:rFonts w:ascii="Calibri" w:hAnsi="Calibri"/>
          <w:bCs/>
          <w:color w:val="632423" w:themeColor="accent2" w:themeShade="80"/>
          <w:sz w:val="22"/>
          <w:szCs w:val="22"/>
        </w:rPr>
      </w:pPr>
      <w:r w:rsidRPr="00A555F1">
        <w:rPr>
          <w:rFonts w:ascii="Calibri" w:hAnsi="Calibri"/>
          <w:bCs/>
          <w:color w:val="632423" w:themeColor="accent2" w:themeShade="80"/>
          <w:sz w:val="22"/>
          <w:szCs w:val="22"/>
        </w:rPr>
        <w:t xml:space="preserve">           2.  Performance Tables</w:t>
      </w:r>
    </w:p>
    <w:p w:rsidR="00520137" w:rsidRPr="00A555F1" w:rsidRDefault="00520137" w:rsidP="00520137">
      <w:pPr>
        <w:tabs>
          <w:tab w:val="left" w:pos="720"/>
          <w:tab w:val="left" w:leader="dot" w:pos="7920"/>
          <w:tab w:val="right" w:pos="8640"/>
        </w:tabs>
        <w:ind w:left="720" w:hanging="360"/>
        <w:rPr>
          <w:rFonts w:ascii="Calibri" w:hAnsi="Calibri"/>
          <w:color w:val="632423" w:themeColor="accent2" w:themeShade="80"/>
          <w:sz w:val="22"/>
          <w:szCs w:val="22"/>
        </w:rPr>
      </w:pPr>
      <w:r w:rsidRPr="00A555F1">
        <w:rPr>
          <w:rFonts w:ascii="Calibri" w:hAnsi="Calibri"/>
          <w:bCs/>
          <w:color w:val="632423" w:themeColor="accent2" w:themeShade="80"/>
          <w:sz w:val="22"/>
          <w:szCs w:val="22"/>
        </w:rPr>
        <w:t xml:space="preserve">           3.  </w:t>
      </w:r>
      <w:r w:rsidRPr="00A555F1">
        <w:rPr>
          <w:rFonts w:ascii="Calibri" w:hAnsi="Calibri"/>
          <w:color w:val="632423" w:themeColor="accent2" w:themeShade="80"/>
          <w:sz w:val="22"/>
          <w:szCs w:val="22"/>
        </w:rPr>
        <w:t>Performance, Resources, and Strategies</w:t>
      </w:r>
    </w:p>
    <w:p w:rsidR="00520137" w:rsidRPr="0067220A" w:rsidRDefault="00520137" w:rsidP="00520137">
      <w:pPr>
        <w:pStyle w:val="xl27"/>
        <w:tabs>
          <w:tab w:val="left" w:leader="dot" w:pos="7920"/>
          <w:tab w:val="right" w:pos="8640"/>
        </w:tabs>
        <w:spacing w:before="0" w:after="0"/>
        <w:rPr>
          <w:rFonts w:ascii="Calibri" w:eastAsia="Times New Roman" w:hAnsi="Calibri"/>
          <w:b w:val="0"/>
          <w:bCs/>
          <w:color w:val="632423" w:themeColor="accent2" w:themeShade="80"/>
          <w:sz w:val="22"/>
          <w:szCs w:val="22"/>
        </w:rPr>
      </w:pPr>
    </w:p>
    <w:p w:rsidR="00520137" w:rsidRDefault="00EA0C8D" w:rsidP="00520137">
      <w:pPr>
        <w:pStyle w:val="xl27"/>
        <w:tabs>
          <w:tab w:val="left" w:leader="dot" w:pos="7920"/>
          <w:tab w:val="right" w:pos="8640"/>
        </w:tabs>
        <w:spacing w:before="0" w:after="0"/>
        <w:rPr>
          <w:rFonts w:ascii="Calibri" w:eastAsia="Times New Roman" w:hAnsi="Calibri"/>
          <w:bCs/>
          <w:color w:val="632423" w:themeColor="accent2" w:themeShade="80"/>
          <w:sz w:val="22"/>
          <w:szCs w:val="22"/>
        </w:rPr>
      </w:pPr>
      <w:r>
        <w:rPr>
          <w:rFonts w:ascii="Calibri" w:eastAsia="Times New Roman" w:hAnsi="Calibri"/>
          <w:bCs/>
          <w:color w:val="632423" w:themeColor="accent2" w:themeShade="80"/>
          <w:sz w:val="22"/>
          <w:szCs w:val="22"/>
        </w:rPr>
        <w:t>I</w:t>
      </w:r>
      <w:r w:rsidR="00520137">
        <w:rPr>
          <w:rFonts w:ascii="Calibri" w:eastAsia="Times New Roman" w:hAnsi="Calibri"/>
          <w:bCs/>
          <w:color w:val="632423" w:themeColor="accent2" w:themeShade="80"/>
          <w:sz w:val="22"/>
          <w:szCs w:val="22"/>
        </w:rPr>
        <w:t>V. Program Offsets by Item</w:t>
      </w:r>
    </w:p>
    <w:p w:rsidR="00520137" w:rsidRDefault="00520137" w:rsidP="00520137">
      <w:pPr>
        <w:pStyle w:val="xl27"/>
        <w:numPr>
          <w:ilvl w:val="0"/>
          <w:numId w:val="19"/>
        </w:numPr>
        <w:tabs>
          <w:tab w:val="left" w:leader="dot" w:pos="7920"/>
          <w:tab w:val="right" w:pos="8640"/>
        </w:tabs>
        <w:spacing w:before="0" w:after="0"/>
        <w:ind w:left="720"/>
        <w:rPr>
          <w:rFonts w:ascii="Calibri" w:eastAsia="Times New Roman" w:hAnsi="Calibri"/>
          <w:b w:val="0"/>
          <w:bCs/>
          <w:color w:val="632423" w:themeColor="accent2" w:themeShade="80"/>
          <w:sz w:val="22"/>
          <w:szCs w:val="22"/>
        </w:rPr>
      </w:pPr>
      <w:r>
        <w:rPr>
          <w:rFonts w:ascii="Calibri" w:eastAsia="Times New Roman" w:hAnsi="Calibri"/>
          <w:b w:val="0"/>
          <w:bCs/>
          <w:color w:val="632423" w:themeColor="accent2" w:themeShade="80"/>
          <w:sz w:val="22"/>
          <w:szCs w:val="22"/>
        </w:rPr>
        <w:t>Admi</w:t>
      </w:r>
      <w:r w:rsidR="007E5606">
        <w:rPr>
          <w:rFonts w:ascii="Calibri" w:eastAsia="Times New Roman" w:hAnsi="Calibri"/>
          <w:b w:val="0"/>
          <w:bCs/>
          <w:color w:val="632423" w:themeColor="accent2" w:themeShade="80"/>
          <w:sz w:val="22"/>
          <w:szCs w:val="22"/>
        </w:rPr>
        <w:t>nistrative Efficiencies</w:t>
      </w:r>
      <w:r w:rsidR="007E5606">
        <w:rPr>
          <w:rFonts w:ascii="Calibri" w:eastAsia="Times New Roman" w:hAnsi="Calibri"/>
          <w:b w:val="0"/>
          <w:bCs/>
          <w:color w:val="632423" w:themeColor="accent2" w:themeShade="80"/>
          <w:sz w:val="22"/>
          <w:szCs w:val="22"/>
        </w:rPr>
        <w:tab/>
      </w:r>
      <w:r w:rsidR="00EC5BE8">
        <w:rPr>
          <w:rFonts w:ascii="Calibri" w:eastAsia="Times New Roman" w:hAnsi="Calibri"/>
          <w:b w:val="0"/>
          <w:bCs/>
          <w:color w:val="632423" w:themeColor="accent2" w:themeShade="80"/>
          <w:sz w:val="22"/>
          <w:szCs w:val="22"/>
        </w:rPr>
        <w:t>…………….27</w:t>
      </w:r>
    </w:p>
    <w:p w:rsidR="00520137" w:rsidRPr="0067220A" w:rsidRDefault="00EC5BE8" w:rsidP="00520137">
      <w:pPr>
        <w:pStyle w:val="xl27"/>
        <w:numPr>
          <w:ilvl w:val="0"/>
          <w:numId w:val="19"/>
        </w:numPr>
        <w:tabs>
          <w:tab w:val="left" w:leader="dot" w:pos="7920"/>
          <w:tab w:val="right" w:pos="8640"/>
        </w:tabs>
        <w:spacing w:before="0" w:after="0"/>
        <w:ind w:left="720"/>
        <w:rPr>
          <w:rFonts w:ascii="Calibri" w:eastAsia="Times New Roman" w:hAnsi="Calibri"/>
          <w:b w:val="0"/>
          <w:bCs/>
          <w:color w:val="632423" w:themeColor="accent2" w:themeShade="80"/>
          <w:sz w:val="22"/>
          <w:szCs w:val="22"/>
        </w:rPr>
      </w:pPr>
      <w:r>
        <w:rPr>
          <w:rFonts w:ascii="Calibri" w:eastAsia="Times New Roman" w:hAnsi="Calibri"/>
          <w:b w:val="0"/>
          <w:bCs/>
          <w:color w:val="632423" w:themeColor="accent2" w:themeShade="80"/>
          <w:sz w:val="22"/>
          <w:szCs w:val="22"/>
        </w:rPr>
        <w:t>Technology Refresh</w:t>
      </w:r>
      <w:r>
        <w:rPr>
          <w:rFonts w:ascii="Calibri" w:eastAsia="Times New Roman" w:hAnsi="Calibri"/>
          <w:b w:val="0"/>
          <w:bCs/>
          <w:color w:val="632423" w:themeColor="accent2" w:themeShade="80"/>
          <w:sz w:val="22"/>
          <w:szCs w:val="22"/>
        </w:rPr>
        <w:tab/>
        <w:t>…………….27</w:t>
      </w:r>
    </w:p>
    <w:p w:rsidR="00520137" w:rsidRDefault="00520137" w:rsidP="00520137">
      <w:pPr>
        <w:pStyle w:val="xl27"/>
        <w:tabs>
          <w:tab w:val="left" w:leader="dot" w:pos="7920"/>
          <w:tab w:val="right" w:pos="8640"/>
        </w:tabs>
        <w:spacing w:before="0" w:after="0"/>
        <w:rPr>
          <w:rFonts w:ascii="Calibri" w:eastAsia="Times New Roman" w:hAnsi="Calibri"/>
          <w:bCs/>
          <w:color w:val="632423" w:themeColor="accent2" w:themeShade="80"/>
          <w:sz w:val="22"/>
          <w:szCs w:val="22"/>
        </w:rPr>
      </w:pPr>
    </w:p>
    <w:p w:rsidR="00520137" w:rsidRDefault="00EA0C8D" w:rsidP="00520137">
      <w:pPr>
        <w:pStyle w:val="xl27"/>
        <w:tabs>
          <w:tab w:val="left" w:leader="dot" w:pos="7920"/>
          <w:tab w:val="right" w:pos="8640"/>
        </w:tabs>
        <w:spacing w:before="0" w:after="0"/>
        <w:rPr>
          <w:rFonts w:ascii="Calibri" w:eastAsia="Times New Roman" w:hAnsi="Calibri"/>
          <w:bCs/>
          <w:color w:val="632423" w:themeColor="accent2" w:themeShade="80"/>
          <w:sz w:val="22"/>
          <w:szCs w:val="22"/>
        </w:rPr>
      </w:pPr>
      <w:r>
        <w:rPr>
          <w:rFonts w:ascii="Calibri" w:eastAsia="Times New Roman" w:hAnsi="Calibri"/>
          <w:bCs/>
          <w:color w:val="632423" w:themeColor="accent2" w:themeShade="80"/>
          <w:sz w:val="22"/>
          <w:szCs w:val="22"/>
        </w:rPr>
        <w:t>V</w:t>
      </w:r>
      <w:r w:rsidR="00520137" w:rsidRPr="00A555F1">
        <w:rPr>
          <w:rFonts w:ascii="Calibri" w:eastAsia="Times New Roman" w:hAnsi="Calibri"/>
          <w:bCs/>
          <w:color w:val="632423" w:themeColor="accent2" w:themeShade="80"/>
          <w:sz w:val="22"/>
          <w:szCs w:val="22"/>
        </w:rPr>
        <w:t>. Exhibits</w:t>
      </w:r>
    </w:p>
    <w:p w:rsidR="00520137" w:rsidRPr="0067220A" w:rsidRDefault="00520137" w:rsidP="00520137">
      <w:pPr>
        <w:pStyle w:val="xl27"/>
        <w:tabs>
          <w:tab w:val="left" w:leader="dot" w:pos="7920"/>
          <w:tab w:val="right" w:pos="8640"/>
        </w:tabs>
        <w:spacing w:before="0" w:after="0"/>
        <w:rPr>
          <w:rFonts w:ascii="Calibri" w:eastAsia="Times New Roman" w:hAnsi="Calibri"/>
          <w:bCs/>
          <w:color w:val="632423" w:themeColor="accent2" w:themeShade="80"/>
          <w:sz w:val="22"/>
          <w:szCs w:val="22"/>
        </w:rPr>
      </w:pPr>
    </w:p>
    <w:p w:rsidR="00520137" w:rsidRPr="0067220A" w:rsidRDefault="00520137" w:rsidP="00520137">
      <w:pPr>
        <w:pStyle w:val="ListParagraph"/>
        <w:numPr>
          <w:ilvl w:val="0"/>
          <w:numId w:val="4"/>
        </w:numPr>
        <w:tabs>
          <w:tab w:val="left" w:leader="dot" w:pos="8820"/>
          <w:tab w:val="right" w:pos="9720"/>
        </w:tabs>
        <w:outlineLvl w:val="0"/>
        <w:rPr>
          <w:rFonts w:ascii="Calibri" w:hAnsi="Calibri"/>
          <w:color w:val="632423" w:themeColor="accent2" w:themeShade="80"/>
          <w:sz w:val="22"/>
          <w:szCs w:val="22"/>
        </w:rPr>
      </w:pPr>
      <w:r w:rsidRPr="0067220A">
        <w:rPr>
          <w:rFonts w:ascii="Calibri" w:hAnsi="Calibri"/>
          <w:color w:val="632423" w:themeColor="accent2" w:themeShade="80"/>
          <w:sz w:val="22"/>
          <w:szCs w:val="22"/>
        </w:rPr>
        <w:t>Organizational Chart</w:t>
      </w:r>
    </w:p>
    <w:p w:rsidR="00520137" w:rsidRPr="00A555F1" w:rsidRDefault="00520137" w:rsidP="00520137">
      <w:pPr>
        <w:pStyle w:val="xl19"/>
        <w:numPr>
          <w:ilvl w:val="0"/>
          <w:numId w:val="4"/>
        </w:numPr>
        <w:tabs>
          <w:tab w:val="clear" w:pos="720"/>
          <w:tab w:val="num" w:pos="900"/>
          <w:tab w:val="left" w:leader="dot" w:pos="8820"/>
          <w:tab w:val="right" w:pos="9720"/>
        </w:tabs>
        <w:spacing w:before="0" w:after="0"/>
        <w:rPr>
          <w:rFonts w:ascii="Calibri" w:eastAsia="Times New Roman" w:hAnsi="Calibri"/>
          <w:bCs/>
          <w:color w:val="632423" w:themeColor="accent2" w:themeShade="80"/>
          <w:sz w:val="22"/>
          <w:szCs w:val="22"/>
        </w:rPr>
      </w:pPr>
      <w:r>
        <w:rPr>
          <w:rFonts w:ascii="Calibri" w:eastAsia="Times New Roman" w:hAnsi="Calibri"/>
          <w:bCs/>
          <w:color w:val="632423" w:themeColor="accent2" w:themeShade="80"/>
          <w:sz w:val="22"/>
          <w:szCs w:val="22"/>
        </w:rPr>
        <w:t>Summary of Requirements</w:t>
      </w:r>
    </w:p>
    <w:p w:rsidR="00520137" w:rsidRPr="00A555F1" w:rsidRDefault="00520137" w:rsidP="00520137">
      <w:pPr>
        <w:numPr>
          <w:ilvl w:val="0"/>
          <w:numId w:val="4"/>
        </w:numPr>
        <w:tabs>
          <w:tab w:val="clear" w:pos="720"/>
          <w:tab w:val="num" w:pos="900"/>
          <w:tab w:val="left" w:leader="dot" w:pos="8820"/>
          <w:tab w:val="right" w:pos="9720"/>
        </w:tabs>
        <w:rPr>
          <w:rFonts w:ascii="Calibri" w:hAnsi="Calibri"/>
          <w:bCs/>
          <w:color w:val="632423" w:themeColor="accent2" w:themeShade="80"/>
          <w:sz w:val="22"/>
          <w:szCs w:val="22"/>
        </w:rPr>
      </w:pPr>
      <w:r w:rsidRPr="00A555F1">
        <w:rPr>
          <w:rFonts w:ascii="Calibri" w:hAnsi="Calibri"/>
          <w:bCs/>
          <w:color w:val="632423" w:themeColor="accent2" w:themeShade="80"/>
          <w:sz w:val="22"/>
          <w:szCs w:val="22"/>
        </w:rPr>
        <w:t>Program Increases by Decision Unit</w:t>
      </w:r>
      <w:r w:rsidRPr="00A309E2">
        <w:rPr>
          <w:rFonts w:ascii="Calibri" w:hAnsi="Calibri"/>
          <w:bCs/>
          <w:color w:val="632423" w:themeColor="accent2" w:themeShade="80"/>
          <w:sz w:val="22"/>
          <w:szCs w:val="22"/>
          <w:vertAlign w:val="superscript"/>
        </w:rPr>
        <w:t>#</w:t>
      </w:r>
      <w:r w:rsidRPr="00A555F1">
        <w:rPr>
          <w:rFonts w:ascii="Calibri" w:hAnsi="Calibri"/>
          <w:bCs/>
          <w:color w:val="632423" w:themeColor="accent2" w:themeShade="80"/>
          <w:sz w:val="22"/>
          <w:szCs w:val="22"/>
        </w:rPr>
        <w:t xml:space="preserve"> </w:t>
      </w:r>
    </w:p>
    <w:p w:rsidR="00520137" w:rsidRPr="00A555F1" w:rsidRDefault="00520137" w:rsidP="00520137">
      <w:pPr>
        <w:numPr>
          <w:ilvl w:val="0"/>
          <w:numId w:val="4"/>
        </w:numPr>
        <w:tabs>
          <w:tab w:val="clear" w:pos="720"/>
          <w:tab w:val="num" w:pos="900"/>
          <w:tab w:val="left" w:leader="dot" w:pos="8820"/>
          <w:tab w:val="right" w:pos="9720"/>
        </w:tabs>
        <w:rPr>
          <w:rFonts w:ascii="Calibri" w:hAnsi="Calibri"/>
          <w:bCs/>
          <w:color w:val="632423" w:themeColor="accent2" w:themeShade="80"/>
          <w:sz w:val="22"/>
          <w:szCs w:val="22"/>
        </w:rPr>
      </w:pPr>
      <w:r w:rsidRPr="00A555F1">
        <w:rPr>
          <w:rFonts w:ascii="Calibri" w:hAnsi="Calibri"/>
          <w:bCs/>
          <w:color w:val="632423" w:themeColor="accent2" w:themeShade="80"/>
          <w:sz w:val="22"/>
          <w:szCs w:val="22"/>
        </w:rPr>
        <w:t>Resources</w:t>
      </w:r>
      <w:r>
        <w:rPr>
          <w:rFonts w:ascii="Calibri" w:hAnsi="Calibri"/>
          <w:bCs/>
          <w:color w:val="632423" w:themeColor="accent2" w:themeShade="80"/>
          <w:sz w:val="22"/>
          <w:szCs w:val="22"/>
        </w:rPr>
        <w:t xml:space="preserve"> by DOJ Strategic Goal/Objective</w:t>
      </w:r>
    </w:p>
    <w:p w:rsidR="00520137" w:rsidRPr="00A555F1" w:rsidRDefault="00520137" w:rsidP="00520137">
      <w:pPr>
        <w:numPr>
          <w:ilvl w:val="0"/>
          <w:numId w:val="4"/>
        </w:numPr>
        <w:tabs>
          <w:tab w:val="clear" w:pos="720"/>
          <w:tab w:val="num" w:pos="900"/>
          <w:tab w:val="left" w:leader="dot" w:pos="8820"/>
          <w:tab w:val="right" w:pos="9720"/>
        </w:tabs>
        <w:rPr>
          <w:rFonts w:ascii="Calibri" w:hAnsi="Calibri"/>
          <w:bCs/>
          <w:color w:val="632423" w:themeColor="accent2" w:themeShade="80"/>
          <w:sz w:val="22"/>
          <w:szCs w:val="22"/>
        </w:rPr>
      </w:pPr>
      <w:r w:rsidRPr="00A555F1">
        <w:rPr>
          <w:rFonts w:ascii="Calibri" w:hAnsi="Calibri"/>
          <w:bCs/>
          <w:color w:val="632423" w:themeColor="accent2" w:themeShade="80"/>
          <w:sz w:val="22"/>
          <w:szCs w:val="22"/>
        </w:rPr>
        <w:t>Justification for Base Adjustments</w:t>
      </w:r>
    </w:p>
    <w:p w:rsidR="00520137" w:rsidRPr="00A555F1" w:rsidRDefault="00520137" w:rsidP="00520137">
      <w:pPr>
        <w:numPr>
          <w:ilvl w:val="0"/>
          <w:numId w:val="4"/>
        </w:numPr>
        <w:tabs>
          <w:tab w:val="clear" w:pos="720"/>
          <w:tab w:val="num" w:pos="900"/>
          <w:tab w:val="left" w:leader="dot" w:pos="8820"/>
          <w:tab w:val="right" w:pos="9720"/>
        </w:tabs>
        <w:rPr>
          <w:rFonts w:ascii="Calibri" w:hAnsi="Calibri"/>
          <w:bCs/>
          <w:color w:val="632423" w:themeColor="accent2" w:themeShade="80"/>
          <w:sz w:val="22"/>
          <w:szCs w:val="22"/>
        </w:rPr>
      </w:pPr>
      <w:r>
        <w:rPr>
          <w:rFonts w:ascii="Calibri" w:hAnsi="Calibri"/>
          <w:bCs/>
          <w:color w:val="632423" w:themeColor="accent2" w:themeShade="80"/>
          <w:sz w:val="22"/>
          <w:szCs w:val="22"/>
        </w:rPr>
        <w:t xml:space="preserve">Crosswalk of 2010 </w:t>
      </w:r>
      <w:r w:rsidRPr="00A555F1">
        <w:rPr>
          <w:rFonts w:ascii="Calibri" w:hAnsi="Calibri"/>
          <w:bCs/>
          <w:color w:val="632423" w:themeColor="accent2" w:themeShade="80"/>
          <w:sz w:val="22"/>
          <w:szCs w:val="22"/>
        </w:rPr>
        <w:t>Availability</w:t>
      </w:r>
    </w:p>
    <w:p w:rsidR="00520137" w:rsidRPr="00A555F1" w:rsidRDefault="00520137" w:rsidP="00520137">
      <w:pPr>
        <w:numPr>
          <w:ilvl w:val="0"/>
          <w:numId w:val="4"/>
        </w:numPr>
        <w:tabs>
          <w:tab w:val="clear" w:pos="720"/>
          <w:tab w:val="num" w:pos="900"/>
          <w:tab w:val="left" w:leader="dot" w:pos="8820"/>
          <w:tab w:val="right" w:pos="9720"/>
        </w:tabs>
        <w:rPr>
          <w:rFonts w:ascii="Calibri" w:hAnsi="Calibri"/>
          <w:bCs/>
          <w:color w:val="632423" w:themeColor="accent2" w:themeShade="80"/>
          <w:sz w:val="22"/>
          <w:szCs w:val="22"/>
        </w:rPr>
      </w:pPr>
      <w:r>
        <w:rPr>
          <w:rFonts w:ascii="Calibri" w:hAnsi="Calibri"/>
          <w:bCs/>
          <w:color w:val="632423" w:themeColor="accent2" w:themeShade="80"/>
          <w:sz w:val="22"/>
          <w:szCs w:val="22"/>
        </w:rPr>
        <w:t xml:space="preserve">Crosswalk of 2011 </w:t>
      </w:r>
      <w:r w:rsidR="001B2556">
        <w:rPr>
          <w:rFonts w:ascii="Calibri" w:hAnsi="Calibri"/>
          <w:bCs/>
          <w:color w:val="632423" w:themeColor="accent2" w:themeShade="80"/>
          <w:sz w:val="22"/>
          <w:szCs w:val="22"/>
        </w:rPr>
        <w:t>Availability</w:t>
      </w:r>
    </w:p>
    <w:p w:rsidR="00520137" w:rsidRPr="00A555F1" w:rsidRDefault="00520137" w:rsidP="00520137">
      <w:pPr>
        <w:numPr>
          <w:ilvl w:val="0"/>
          <w:numId w:val="3"/>
        </w:numPr>
        <w:tabs>
          <w:tab w:val="clear" w:pos="720"/>
          <w:tab w:val="num" w:pos="900"/>
          <w:tab w:val="left" w:leader="dot" w:pos="8820"/>
          <w:tab w:val="right" w:pos="9720"/>
        </w:tabs>
        <w:rPr>
          <w:rFonts w:ascii="Calibri" w:hAnsi="Calibri"/>
          <w:bCs/>
          <w:color w:val="632423" w:themeColor="accent2" w:themeShade="80"/>
          <w:sz w:val="22"/>
          <w:szCs w:val="22"/>
        </w:rPr>
      </w:pPr>
      <w:r w:rsidRPr="00A555F1">
        <w:rPr>
          <w:rFonts w:ascii="Calibri" w:hAnsi="Calibri"/>
          <w:bCs/>
          <w:color w:val="632423" w:themeColor="accent2" w:themeShade="80"/>
          <w:sz w:val="22"/>
          <w:szCs w:val="22"/>
        </w:rPr>
        <w:t>Summary of Reimbursable Resources</w:t>
      </w:r>
    </w:p>
    <w:p w:rsidR="00520137" w:rsidRPr="00A555F1" w:rsidRDefault="00520137" w:rsidP="00520137">
      <w:pPr>
        <w:numPr>
          <w:ilvl w:val="0"/>
          <w:numId w:val="3"/>
        </w:numPr>
        <w:tabs>
          <w:tab w:val="clear" w:pos="720"/>
          <w:tab w:val="num" w:pos="900"/>
          <w:tab w:val="left" w:leader="dot" w:pos="8820"/>
          <w:tab w:val="right" w:pos="9720"/>
        </w:tabs>
        <w:rPr>
          <w:rFonts w:ascii="Calibri" w:hAnsi="Calibri"/>
          <w:bCs/>
          <w:color w:val="632423" w:themeColor="accent2" w:themeShade="80"/>
          <w:sz w:val="22"/>
          <w:szCs w:val="22"/>
        </w:rPr>
      </w:pPr>
      <w:r w:rsidRPr="00A555F1">
        <w:rPr>
          <w:rFonts w:ascii="Calibri" w:hAnsi="Calibri"/>
          <w:bCs/>
          <w:color w:val="632423" w:themeColor="accent2" w:themeShade="80"/>
          <w:sz w:val="22"/>
          <w:szCs w:val="22"/>
        </w:rPr>
        <w:t>Detail of Permanent Positions by Category</w:t>
      </w:r>
    </w:p>
    <w:p w:rsidR="00520137" w:rsidRPr="00A555F1" w:rsidRDefault="00520137" w:rsidP="00520137">
      <w:pPr>
        <w:numPr>
          <w:ilvl w:val="0"/>
          <w:numId w:val="3"/>
        </w:numPr>
        <w:tabs>
          <w:tab w:val="clear" w:pos="720"/>
          <w:tab w:val="num" w:pos="900"/>
          <w:tab w:val="left" w:leader="dot" w:pos="8820"/>
          <w:tab w:val="right" w:pos="9720"/>
        </w:tabs>
        <w:rPr>
          <w:rFonts w:ascii="Calibri" w:hAnsi="Calibri"/>
          <w:bCs/>
          <w:color w:val="632423" w:themeColor="accent2" w:themeShade="80"/>
          <w:sz w:val="22"/>
          <w:szCs w:val="22"/>
        </w:rPr>
      </w:pPr>
      <w:r w:rsidRPr="00A555F1">
        <w:rPr>
          <w:rFonts w:ascii="Calibri" w:hAnsi="Calibri"/>
          <w:bCs/>
          <w:color w:val="632423" w:themeColor="accent2" w:themeShade="80"/>
          <w:sz w:val="22"/>
          <w:szCs w:val="22"/>
        </w:rPr>
        <w:t xml:space="preserve">Financial Analysis of Program Increases/Offsets </w:t>
      </w:r>
    </w:p>
    <w:p w:rsidR="00520137" w:rsidRPr="00A555F1" w:rsidRDefault="00520137" w:rsidP="00520137">
      <w:pPr>
        <w:numPr>
          <w:ilvl w:val="0"/>
          <w:numId w:val="3"/>
        </w:numPr>
        <w:tabs>
          <w:tab w:val="left" w:leader="dot" w:pos="8820"/>
          <w:tab w:val="right" w:pos="9720"/>
        </w:tabs>
        <w:rPr>
          <w:rFonts w:ascii="Calibri" w:hAnsi="Calibri"/>
          <w:bCs/>
          <w:color w:val="632423" w:themeColor="accent2" w:themeShade="80"/>
          <w:sz w:val="22"/>
          <w:szCs w:val="22"/>
        </w:rPr>
      </w:pPr>
      <w:r w:rsidRPr="00A555F1">
        <w:rPr>
          <w:rFonts w:ascii="Calibri" w:hAnsi="Calibri"/>
          <w:bCs/>
          <w:color w:val="632423" w:themeColor="accent2" w:themeShade="80"/>
          <w:sz w:val="22"/>
          <w:szCs w:val="22"/>
        </w:rPr>
        <w:t xml:space="preserve"> Summary of Requirements by Grade</w:t>
      </w:r>
      <w:r>
        <w:rPr>
          <w:rFonts w:ascii="Calibri" w:hAnsi="Calibri"/>
          <w:bCs/>
          <w:color w:val="632423" w:themeColor="accent2" w:themeShade="80"/>
          <w:sz w:val="22"/>
          <w:szCs w:val="22"/>
        </w:rPr>
        <w:t xml:space="preserve"> </w:t>
      </w:r>
    </w:p>
    <w:p w:rsidR="00520137" w:rsidRPr="00A555F1" w:rsidRDefault="00520137" w:rsidP="00520137">
      <w:pPr>
        <w:numPr>
          <w:ilvl w:val="0"/>
          <w:numId w:val="3"/>
        </w:numPr>
        <w:tabs>
          <w:tab w:val="clear" w:pos="720"/>
          <w:tab w:val="num" w:pos="900"/>
          <w:tab w:val="left" w:leader="dot" w:pos="8820"/>
          <w:tab w:val="right" w:pos="9720"/>
        </w:tabs>
        <w:rPr>
          <w:rFonts w:ascii="Calibri" w:hAnsi="Calibri"/>
          <w:bCs/>
          <w:color w:val="632423" w:themeColor="accent2" w:themeShade="80"/>
          <w:sz w:val="22"/>
          <w:szCs w:val="22"/>
        </w:rPr>
      </w:pPr>
      <w:r>
        <w:rPr>
          <w:rFonts w:ascii="Calibri" w:hAnsi="Calibri"/>
          <w:bCs/>
          <w:color w:val="632423" w:themeColor="accent2" w:themeShade="80"/>
          <w:sz w:val="22"/>
          <w:szCs w:val="22"/>
        </w:rPr>
        <w:t xml:space="preserve"> </w:t>
      </w:r>
      <w:r w:rsidRPr="00A555F1">
        <w:rPr>
          <w:rFonts w:ascii="Calibri" w:hAnsi="Calibri"/>
          <w:bCs/>
          <w:color w:val="632423" w:themeColor="accent2" w:themeShade="80"/>
          <w:sz w:val="22"/>
          <w:szCs w:val="22"/>
        </w:rPr>
        <w:t>Summary of Requirements by Object Class</w:t>
      </w:r>
      <w:r>
        <w:rPr>
          <w:rFonts w:ascii="Calibri" w:hAnsi="Calibri"/>
          <w:bCs/>
          <w:color w:val="632423" w:themeColor="accent2" w:themeShade="80"/>
          <w:sz w:val="22"/>
          <w:szCs w:val="22"/>
        </w:rPr>
        <w:t xml:space="preserve"> </w:t>
      </w:r>
    </w:p>
    <w:p w:rsidR="00520137" w:rsidRPr="00A555F1" w:rsidRDefault="00520137" w:rsidP="00520137">
      <w:pPr>
        <w:numPr>
          <w:ilvl w:val="0"/>
          <w:numId w:val="3"/>
        </w:numPr>
        <w:tabs>
          <w:tab w:val="left" w:leader="dot" w:pos="8820"/>
          <w:tab w:val="right" w:pos="9720"/>
        </w:tabs>
        <w:rPr>
          <w:rFonts w:ascii="Calibri" w:hAnsi="Calibri"/>
          <w:bCs/>
          <w:color w:val="632423" w:themeColor="accent2" w:themeShade="80"/>
          <w:sz w:val="22"/>
          <w:szCs w:val="22"/>
        </w:rPr>
      </w:pPr>
      <w:r w:rsidRPr="00A555F1">
        <w:rPr>
          <w:rFonts w:ascii="Calibri" w:hAnsi="Calibri"/>
          <w:bCs/>
          <w:color w:val="632423" w:themeColor="accent2" w:themeShade="80"/>
          <w:sz w:val="22"/>
          <w:szCs w:val="22"/>
        </w:rPr>
        <w:t xml:space="preserve"> Status of Congressionally Requested Studies, Reports, and Evaluati</w:t>
      </w:r>
      <w:r w:rsidR="001B2556">
        <w:rPr>
          <w:rFonts w:ascii="Calibri" w:hAnsi="Calibri"/>
          <w:bCs/>
          <w:color w:val="632423" w:themeColor="accent2" w:themeShade="80"/>
          <w:sz w:val="22"/>
          <w:szCs w:val="22"/>
        </w:rPr>
        <w:t>ons</w:t>
      </w:r>
      <w:r w:rsidR="003A201B" w:rsidRPr="00A309E2">
        <w:rPr>
          <w:rFonts w:ascii="Calibri" w:hAnsi="Calibri"/>
          <w:bCs/>
          <w:color w:val="632423" w:themeColor="accent2" w:themeShade="80"/>
          <w:sz w:val="22"/>
          <w:szCs w:val="22"/>
          <w:vertAlign w:val="superscript"/>
        </w:rPr>
        <w:t>#</w:t>
      </w:r>
    </w:p>
    <w:p w:rsidR="00520137" w:rsidRPr="00A555F1" w:rsidRDefault="00520137" w:rsidP="00520137">
      <w:pPr>
        <w:tabs>
          <w:tab w:val="left" w:leader="dot" w:pos="8820"/>
          <w:tab w:val="right" w:pos="9720"/>
        </w:tabs>
        <w:rPr>
          <w:rFonts w:ascii="Calibri" w:hAnsi="Calibri"/>
          <w:bCs/>
          <w:color w:val="632423" w:themeColor="accent2" w:themeShade="80"/>
          <w:sz w:val="22"/>
          <w:szCs w:val="22"/>
        </w:rPr>
      </w:pPr>
    </w:p>
    <w:p w:rsidR="00520137" w:rsidRDefault="00520137" w:rsidP="00520137">
      <w:pPr>
        <w:rPr>
          <w:rFonts w:ascii="Calibri" w:hAnsi="Calibri"/>
          <w:color w:val="632423" w:themeColor="accent2" w:themeShade="80"/>
          <w:sz w:val="20"/>
          <w:szCs w:val="20"/>
        </w:rPr>
      </w:pPr>
    </w:p>
    <w:p w:rsidR="00520137" w:rsidRDefault="00520137" w:rsidP="00520137">
      <w:pPr>
        <w:rPr>
          <w:rFonts w:ascii="Calibri" w:hAnsi="Calibri"/>
          <w:color w:val="632423" w:themeColor="accent2" w:themeShade="80"/>
          <w:sz w:val="20"/>
          <w:szCs w:val="20"/>
        </w:rPr>
      </w:pPr>
    </w:p>
    <w:p w:rsidR="001B2556" w:rsidRDefault="001B2556" w:rsidP="00520137">
      <w:pPr>
        <w:rPr>
          <w:rFonts w:ascii="Calibri" w:hAnsi="Calibri"/>
          <w:color w:val="632423" w:themeColor="accent2" w:themeShade="80"/>
          <w:sz w:val="20"/>
          <w:szCs w:val="20"/>
        </w:rPr>
      </w:pPr>
    </w:p>
    <w:p w:rsidR="001B2556" w:rsidRDefault="001B2556" w:rsidP="00520137">
      <w:pPr>
        <w:rPr>
          <w:rFonts w:ascii="Calibri" w:hAnsi="Calibri"/>
          <w:color w:val="632423" w:themeColor="accent2" w:themeShade="80"/>
          <w:sz w:val="20"/>
          <w:szCs w:val="20"/>
        </w:rPr>
      </w:pPr>
    </w:p>
    <w:p w:rsidR="001B2556" w:rsidRDefault="001B2556" w:rsidP="00520137">
      <w:pPr>
        <w:rPr>
          <w:rFonts w:ascii="Calibri" w:hAnsi="Calibri"/>
          <w:color w:val="632423" w:themeColor="accent2" w:themeShade="80"/>
          <w:sz w:val="20"/>
          <w:szCs w:val="20"/>
        </w:rPr>
      </w:pPr>
    </w:p>
    <w:p w:rsidR="001B2556" w:rsidRDefault="001B2556" w:rsidP="00520137">
      <w:pPr>
        <w:rPr>
          <w:rFonts w:ascii="Calibri" w:hAnsi="Calibri"/>
          <w:color w:val="632423" w:themeColor="accent2" w:themeShade="80"/>
          <w:sz w:val="20"/>
          <w:szCs w:val="20"/>
        </w:rPr>
      </w:pPr>
    </w:p>
    <w:p w:rsidR="001B2556" w:rsidRDefault="001B2556" w:rsidP="00520137">
      <w:pPr>
        <w:rPr>
          <w:rFonts w:ascii="Calibri" w:hAnsi="Calibri"/>
          <w:color w:val="632423" w:themeColor="accent2" w:themeShade="80"/>
          <w:sz w:val="20"/>
          <w:szCs w:val="20"/>
        </w:rPr>
      </w:pPr>
    </w:p>
    <w:p w:rsidR="001B2556" w:rsidRDefault="001B2556" w:rsidP="00520137">
      <w:pPr>
        <w:rPr>
          <w:rFonts w:ascii="Calibri" w:hAnsi="Calibri"/>
          <w:color w:val="632423" w:themeColor="accent2" w:themeShade="80"/>
          <w:sz w:val="20"/>
          <w:szCs w:val="20"/>
        </w:rPr>
      </w:pPr>
    </w:p>
    <w:p w:rsidR="001B2556" w:rsidRDefault="001B2556" w:rsidP="00520137">
      <w:pPr>
        <w:rPr>
          <w:rFonts w:ascii="Calibri" w:hAnsi="Calibri"/>
          <w:color w:val="632423" w:themeColor="accent2" w:themeShade="80"/>
          <w:sz w:val="20"/>
          <w:szCs w:val="20"/>
        </w:rPr>
      </w:pPr>
    </w:p>
    <w:p w:rsidR="001B2556" w:rsidRDefault="001B2556" w:rsidP="00520137">
      <w:pPr>
        <w:rPr>
          <w:rFonts w:ascii="Calibri" w:hAnsi="Calibri"/>
          <w:color w:val="632423" w:themeColor="accent2" w:themeShade="80"/>
          <w:sz w:val="20"/>
          <w:szCs w:val="20"/>
        </w:rPr>
      </w:pPr>
    </w:p>
    <w:p w:rsidR="001B2556" w:rsidRDefault="001B2556" w:rsidP="00520137">
      <w:pPr>
        <w:rPr>
          <w:rFonts w:ascii="Calibri" w:hAnsi="Calibri"/>
          <w:color w:val="632423" w:themeColor="accent2" w:themeShade="80"/>
          <w:sz w:val="20"/>
          <w:szCs w:val="20"/>
        </w:rPr>
      </w:pPr>
    </w:p>
    <w:p w:rsidR="001B2556" w:rsidRDefault="001B2556" w:rsidP="00520137">
      <w:pPr>
        <w:rPr>
          <w:rFonts w:ascii="Calibri" w:hAnsi="Calibri"/>
          <w:color w:val="632423" w:themeColor="accent2" w:themeShade="80"/>
          <w:sz w:val="20"/>
          <w:szCs w:val="20"/>
        </w:rPr>
      </w:pPr>
    </w:p>
    <w:p w:rsidR="001B2556" w:rsidRDefault="001B2556" w:rsidP="00520137">
      <w:pPr>
        <w:rPr>
          <w:rFonts w:ascii="Calibri" w:hAnsi="Calibri"/>
          <w:color w:val="632423" w:themeColor="accent2" w:themeShade="80"/>
          <w:sz w:val="20"/>
          <w:szCs w:val="20"/>
        </w:rPr>
      </w:pPr>
    </w:p>
    <w:p w:rsidR="001B2556" w:rsidRDefault="001B2556" w:rsidP="00520137">
      <w:pPr>
        <w:rPr>
          <w:rFonts w:ascii="Calibri" w:hAnsi="Calibri"/>
          <w:color w:val="632423" w:themeColor="accent2" w:themeShade="80"/>
          <w:sz w:val="20"/>
          <w:szCs w:val="20"/>
        </w:rPr>
      </w:pPr>
    </w:p>
    <w:p w:rsidR="00520137" w:rsidRDefault="00520137" w:rsidP="00520137">
      <w:pPr>
        <w:rPr>
          <w:rFonts w:ascii="Calibri" w:hAnsi="Calibri"/>
          <w:color w:val="632423" w:themeColor="accent2" w:themeShade="80"/>
          <w:sz w:val="20"/>
          <w:szCs w:val="20"/>
        </w:rPr>
      </w:pPr>
    </w:p>
    <w:p w:rsidR="00520137" w:rsidRDefault="00520137" w:rsidP="00520137">
      <w:pPr>
        <w:rPr>
          <w:rFonts w:ascii="Calibri" w:hAnsi="Calibri"/>
          <w:color w:val="632423" w:themeColor="accent2" w:themeShade="80"/>
          <w:sz w:val="20"/>
          <w:szCs w:val="20"/>
        </w:rPr>
      </w:pPr>
    </w:p>
    <w:p w:rsidR="00520137" w:rsidRDefault="00520137" w:rsidP="00520137">
      <w:pPr>
        <w:rPr>
          <w:rFonts w:ascii="Calibri" w:hAnsi="Calibri"/>
          <w:color w:val="632423" w:themeColor="accent2" w:themeShade="80"/>
          <w:sz w:val="20"/>
          <w:szCs w:val="20"/>
        </w:rPr>
      </w:pPr>
    </w:p>
    <w:p w:rsidR="00520137" w:rsidRDefault="00520137" w:rsidP="00520137">
      <w:pPr>
        <w:rPr>
          <w:rFonts w:ascii="Calibri" w:hAnsi="Calibri"/>
          <w:color w:val="632423" w:themeColor="accent2" w:themeShade="80"/>
          <w:sz w:val="20"/>
          <w:szCs w:val="20"/>
        </w:rPr>
      </w:pPr>
      <w:r>
        <w:rPr>
          <w:rFonts w:ascii="Calibri" w:hAnsi="Calibri"/>
          <w:color w:val="632423" w:themeColor="accent2" w:themeShade="80"/>
          <w:sz w:val="20"/>
          <w:szCs w:val="20"/>
        </w:rPr>
        <w:t>#Not Applicable</w:t>
      </w:r>
    </w:p>
    <w:p w:rsidR="00520137" w:rsidRPr="007214FD" w:rsidRDefault="00520137" w:rsidP="00520137">
      <w:pPr>
        <w:tabs>
          <w:tab w:val="left" w:pos="8820"/>
        </w:tabs>
        <w:rPr>
          <w:rFonts w:ascii="Calibri" w:hAnsi="Calibri"/>
          <w:b/>
          <w:sz w:val="36"/>
          <w:szCs w:val="36"/>
        </w:rPr>
        <w:sectPr w:rsidR="00520137" w:rsidRPr="007214FD" w:rsidSect="00BB214A">
          <w:pgSz w:w="12240" w:h="15840"/>
          <w:pgMar w:top="576" w:right="1440" w:bottom="720" w:left="1440" w:header="720" w:footer="720" w:gutter="0"/>
          <w:pgNumType w:start="1"/>
          <w:cols w:space="720"/>
          <w:titlePg/>
          <w:docGrid w:linePitch="360"/>
        </w:sectPr>
      </w:pPr>
    </w:p>
    <w:p w:rsidR="00520137" w:rsidRPr="004B262B" w:rsidRDefault="00520137" w:rsidP="00520137">
      <w:pPr>
        <w:jc w:val="center"/>
        <w:rPr>
          <w:rFonts w:ascii="Calibri" w:hAnsi="Calibri"/>
          <w:b/>
          <w:color w:val="632423" w:themeColor="accent2" w:themeShade="80"/>
          <w:sz w:val="34"/>
          <w:szCs w:val="34"/>
        </w:rPr>
      </w:pPr>
      <w:r w:rsidRPr="004B262B">
        <w:rPr>
          <w:rFonts w:ascii="Calibri" w:hAnsi="Calibri"/>
          <w:b/>
          <w:color w:val="632423" w:themeColor="accent2" w:themeShade="80"/>
          <w:sz w:val="34"/>
          <w:szCs w:val="34"/>
        </w:rPr>
        <w:lastRenderedPageBreak/>
        <w:t>Civil Division: Overview</w:t>
      </w:r>
    </w:p>
    <w:p w:rsidR="00520137" w:rsidRPr="007214FD" w:rsidRDefault="00520137" w:rsidP="00520137">
      <w:pPr>
        <w:jc w:val="center"/>
        <w:rPr>
          <w:rFonts w:ascii="Calibri" w:hAnsi="Calibri"/>
          <w:b/>
          <w:sz w:val="8"/>
          <w:szCs w:val="8"/>
        </w:rPr>
      </w:pPr>
    </w:p>
    <w:p w:rsidR="00520137" w:rsidRPr="007214FD" w:rsidRDefault="00A974BD" w:rsidP="00520137">
      <w:pPr>
        <w:jc w:val="center"/>
        <w:rPr>
          <w:rFonts w:ascii="Calibri" w:hAnsi="Calibri"/>
          <w:b/>
        </w:rPr>
      </w:pPr>
      <w:r>
        <w:rPr>
          <w:rFonts w:ascii="Calibri" w:hAnsi="Calibri"/>
          <w:noProof/>
          <w:sz w:val="36"/>
          <w:szCs w:val="36"/>
        </w:rPr>
        <w:pict>
          <v:shapetype id="_x0000_t202" coordsize="21600,21600" o:spt="202" path="m,l,21600r21600,l21600,xe">
            <v:stroke joinstyle="miter"/>
            <v:path gradientshapeok="t" o:connecttype="rect"/>
          </v:shapetype>
          <v:shape id="_x0000_s1026" type="#_x0000_t202" style="position:absolute;left:0;text-align:left;margin-left:2.2pt;margin-top:3.3pt;width:463.5pt;height:74.3pt;z-index:251662336;mso-width-relative:margin;mso-height-relative:margin" fillcolor="#d8d8d8 [2732]" strokecolor="#622423" strokeweight="6pt">
            <v:stroke linestyle="thickThin"/>
            <v:textbox style="mso-next-textbox:#_x0000_s1026">
              <w:txbxContent>
                <w:p w:rsidR="009B0EC2" w:rsidRPr="002A49A3" w:rsidRDefault="009B0EC2" w:rsidP="00520137">
                  <w:pPr>
                    <w:jc w:val="center"/>
                    <w:rPr>
                      <w:rFonts w:asciiTheme="minorHAnsi" w:hAnsiTheme="minorHAnsi"/>
                      <w:color w:val="000000"/>
                    </w:rPr>
                  </w:pPr>
                  <w:r w:rsidRPr="002A49A3">
                    <w:rPr>
                      <w:rFonts w:asciiTheme="minorHAnsi" w:hAnsiTheme="minorHAnsi"/>
                      <w:color w:val="000000"/>
                      <w:lang w:val="en-CA"/>
                    </w:rPr>
                    <w:fldChar w:fldCharType="begin"/>
                  </w:r>
                  <w:r w:rsidRPr="002A49A3">
                    <w:rPr>
                      <w:rFonts w:asciiTheme="minorHAnsi" w:hAnsiTheme="minorHAnsi"/>
                      <w:color w:val="000000"/>
                      <w:lang w:val="en-CA"/>
                    </w:rPr>
                    <w:instrText xml:space="preserve"> SEQ CHAPTER \h \r 1</w:instrText>
                  </w:r>
                  <w:r w:rsidRPr="002A49A3">
                    <w:rPr>
                      <w:rFonts w:asciiTheme="minorHAnsi" w:hAnsiTheme="minorHAnsi"/>
                      <w:color w:val="000000"/>
                      <w:lang w:val="en-CA"/>
                    </w:rPr>
                    <w:fldChar w:fldCharType="end"/>
                  </w:r>
                  <w:r w:rsidRPr="002A49A3">
                    <w:rPr>
                      <w:rFonts w:asciiTheme="minorHAnsi" w:hAnsiTheme="minorHAnsi" w:cs="Futura Lt BT"/>
                      <w:b/>
                      <w:bCs/>
                      <w:color w:val="000000"/>
                    </w:rPr>
                    <w:t>MISSION:  The Civil Division represents the United States in any civil or criminal matter within its scope of responsibility – protecting the public fisc, ensuring that the Federal Government speaks with one voice in its view of the law, preserving the intent of Congress, and advancing the credibility of the Government before the courts.</w:t>
                  </w:r>
                </w:p>
                <w:p w:rsidR="009B0EC2" w:rsidRPr="004D6A5A" w:rsidRDefault="009B0EC2" w:rsidP="00520137"/>
              </w:txbxContent>
            </v:textbox>
          </v:shape>
        </w:pict>
      </w:r>
    </w:p>
    <w:p w:rsidR="00520137" w:rsidRPr="007214FD" w:rsidRDefault="00520137" w:rsidP="00520137">
      <w:pPr>
        <w:jc w:val="center"/>
        <w:rPr>
          <w:rFonts w:ascii="Calibri" w:hAnsi="Calibri"/>
          <w:b/>
        </w:rPr>
      </w:pPr>
    </w:p>
    <w:p w:rsidR="00520137" w:rsidRPr="007214FD" w:rsidRDefault="00520137" w:rsidP="00520137">
      <w:pPr>
        <w:jc w:val="center"/>
        <w:rPr>
          <w:rFonts w:ascii="Calibri" w:hAnsi="Calibri"/>
          <w:b/>
        </w:rPr>
      </w:pPr>
    </w:p>
    <w:p w:rsidR="00520137" w:rsidRPr="007214FD" w:rsidRDefault="00520137" w:rsidP="00520137">
      <w:pPr>
        <w:jc w:val="both"/>
        <w:rPr>
          <w:rFonts w:ascii="Calibri" w:hAnsi="Calibri"/>
          <w:b/>
          <w:sz w:val="36"/>
          <w:szCs w:val="36"/>
        </w:rPr>
      </w:pPr>
    </w:p>
    <w:p w:rsidR="00520137" w:rsidRPr="005117EB" w:rsidRDefault="00520137" w:rsidP="00520137">
      <w:pPr>
        <w:jc w:val="both"/>
        <w:rPr>
          <w:rFonts w:ascii="Calibri" w:hAnsi="Calibri"/>
          <w:sz w:val="20"/>
          <w:szCs w:val="20"/>
        </w:rPr>
      </w:pPr>
    </w:p>
    <w:p w:rsidR="00345853" w:rsidRPr="00345853" w:rsidRDefault="00345853" w:rsidP="00520137">
      <w:pPr>
        <w:jc w:val="both"/>
        <w:rPr>
          <w:rFonts w:ascii="Calibri" w:hAnsi="Calibri"/>
          <w:sz w:val="16"/>
          <w:szCs w:val="16"/>
        </w:rPr>
      </w:pPr>
    </w:p>
    <w:p w:rsidR="00520137" w:rsidRPr="007214FD" w:rsidRDefault="00520137" w:rsidP="00520137">
      <w:pPr>
        <w:jc w:val="both"/>
        <w:rPr>
          <w:rFonts w:ascii="Calibri" w:hAnsi="Calibri"/>
        </w:rPr>
      </w:pPr>
      <w:r w:rsidRPr="007214FD">
        <w:rPr>
          <w:rFonts w:ascii="Calibri" w:hAnsi="Calibri"/>
        </w:rPr>
        <w:t>The Civil Division’s role is two-fold in that it must represent some 200 Federal agencies and Congress while maintaining un</w:t>
      </w:r>
      <w:r w:rsidR="002150F2">
        <w:rPr>
          <w:rFonts w:ascii="Calibri" w:hAnsi="Calibri"/>
        </w:rPr>
        <w:t xml:space="preserve">iformity in Government policy. </w:t>
      </w:r>
      <w:r w:rsidR="00B4760B">
        <w:rPr>
          <w:rFonts w:ascii="Calibri" w:hAnsi="Calibri"/>
        </w:rPr>
        <w:t xml:space="preserve"> </w:t>
      </w:r>
      <w:r w:rsidRPr="007214FD">
        <w:rPr>
          <w:rFonts w:ascii="Calibri" w:hAnsi="Calibri"/>
        </w:rPr>
        <w:t xml:space="preserve">For any particular case, the Division must provide the best possible representation </w:t>
      </w:r>
      <w:r w:rsidR="002150F2">
        <w:rPr>
          <w:rFonts w:ascii="Calibri" w:hAnsi="Calibri"/>
        </w:rPr>
        <w:t xml:space="preserve">to the client agency involved. </w:t>
      </w:r>
      <w:r w:rsidR="00B4760B">
        <w:rPr>
          <w:rFonts w:ascii="Calibri" w:hAnsi="Calibri"/>
        </w:rPr>
        <w:t xml:space="preserve"> </w:t>
      </w:r>
      <w:r w:rsidRPr="007214FD">
        <w:rPr>
          <w:rFonts w:ascii="Calibri" w:hAnsi="Calibri"/>
        </w:rPr>
        <w:t>This responsibility must be balanced with the need to represent the Government as a whole and to ensure lasting precedents favorable to the United States.</w:t>
      </w:r>
      <w:r w:rsidRPr="007214FD">
        <w:rPr>
          <w:rStyle w:val="FootnoteReference"/>
          <w:rFonts w:ascii="Calibri" w:hAnsi="Calibri"/>
        </w:rPr>
        <w:footnoteReference w:id="1"/>
      </w:r>
      <w:r w:rsidRPr="007214FD">
        <w:rPr>
          <w:rFonts w:ascii="Calibri" w:hAnsi="Calibri"/>
        </w:rPr>
        <w:t xml:space="preserve">  </w:t>
      </w:r>
    </w:p>
    <w:p w:rsidR="00520137" w:rsidRPr="00B36AD1" w:rsidRDefault="00520137" w:rsidP="00520137">
      <w:pPr>
        <w:jc w:val="both"/>
        <w:rPr>
          <w:rFonts w:ascii="Calibri" w:hAnsi="Calibri"/>
          <w:sz w:val="16"/>
          <w:szCs w:val="16"/>
        </w:rPr>
      </w:pPr>
    </w:p>
    <w:p w:rsidR="00520137" w:rsidRPr="007214FD" w:rsidRDefault="00520137" w:rsidP="00520137">
      <w:pPr>
        <w:jc w:val="both"/>
        <w:rPr>
          <w:rFonts w:ascii="Calibri" w:hAnsi="Calibri"/>
        </w:rPr>
      </w:pPr>
      <w:r w:rsidRPr="007214FD">
        <w:rPr>
          <w:rFonts w:ascii="Calibri" w:hAnsi="Calibri"/>
        </w:rPr>
        <w:t xml:space="preserve">Generally, the Division’s litigation falls into one of the following categories:  </w:t>
      </w:r>
    </w:p>
    <w:p w:rsidR="00520137" w:rsidRPr="00B36AD1" w:rsidRDefault="00520137" w:rsidP="00520137">
      <w:pPr>
        <w:jc w:val="both"/>
        <w:rPr>
          <w:rFonts w:ascii="Calibri" w:hAnsi="Calibri"/>
          <w:color w:val="000080"/>
          <w:sz w:val="16"/>
          <w:szCs w:val="16"/>
        </w:rPr>
      </w:pPr>
    </w:p>
    <w:p w:rsidR="00520137" w:rsidRDefault="00520137" w:rsidP="00520137">
      <w:pPr>
        <w:pStyle w:val="ListParagraph"/>
        <w:numPr>
          <w:ilvl w:val="0"/>
          <w:numId w:val="11"/>
        </w:numPr>
        <w:rPr>
          <w:rFonts w:ascii="Calibri" w:hAnsi="Calibri"/>
          <w:b/>
          <w:bCs/>
          <w:color w:val="632423"/>
        </w:rPr>
      </w:pPr>
      <w:r>
        <w:rPr>
          <w:rFonts w:ascii="Calibri" w:hAnsi="Calibri"/>
          <w:b/>
          <w:bCs/>
          <w:color w:val="632423"/>
        </w:rPr>
        <w:t>Cases that involve the potential for astronomical monetary losses to the United States:</w:t>
      </w:r>
    </w:p>
    <w:p w:rsidR="00520137" w:rsidRPr="00B36AD1" w:rsidRDefault="00520137" w:rsidP="00520137">
      <w:pPr>
        <w:pStyle w:val="ListParagraph"/>
        <w:rPr>
          <w:rFonts w:ascii="Calibri" w:hAnsi="Calibri"/>
          <w:b/>
          <w:bCs/>
          <w:sz w:val="16"/>
          <w:szCs w:val="16"/>
        </w:rPr>
      </w:pPr>
    </w:p>
    <w:p w:rsidR="00520137" w:rsidRPr="00A85158" w:rsidRDefault="00520137" w:rsidP="00520137">
      <w:pPr>
        <w:pStyle w:val="ListParagraph"/>
        <w:numPr>
          <w:ilvl w:val="1"/>
          <w:numId w:val="11"/>
        </w:numPr>
        <w:jc w:val="both"/>
        <w:rPr>
          <w:rFonts w:ascii="Calibri" w:hAnsi="Calibri"/>
        </w:rPr>
      </w:pPr>
      <w:r>
        <w:rPr>
          <w:rFonts w:ascii="Calibri" w:hAnsi="Calibri"/>
        </w:rPr>
        <w:t xml:space="preserve">Of the </w:t>
      </w:r>
      <w:r w:rsidR="009B0EC2">
        <w:rPr>
          <w:rFonts w:ascii="Calibri" w:hAnsi="Calibri"/>
        </w:rPr>
        <w:t>approximately 50</w:t>
      </w:r>
      <w:r w:rsidRPr="00B4760B">
        <w:rPr>
          <w:rFonts w:ascii="Calibri" w:hAnsi="Calibri"/>
        </w:rPr>
        <w:t>,000</w:t>
      </w:r>
      <w:r>
        <w:rPr>
          <w:rFonts w:ascii="Calibri" w:hAnsi="Calibri"/>
        </w:rPr>
        <w:t xml:space="preserve"> cases </w:t>
      </w:r>
      <w:r w:rsidR="00A96057">
        <w:rPr>
          <w:rFonts w:ascii="Calibri" w:hAnsi="Calibri"/>
        </w:rPr>
        <w:t>the Division handles each</w:t>
      </w:r>
      <w:r w:rsidR="00B4760B">
        <w:rPr>
          <w:rFonts w:ascii="Calibri" w:hAnsi="Calibri"/>
        </w:rPr>
        <w:t xml:space="preserve"> year</w:t>
      </w:r>
      <w:r>
        <w:rPr>
          <w:rFonts w:ascii="Calibri" w:hAnsi="Calibri"/>
        </w:rPr>
        <w:t xml:space="preserve">, the vast majority involve suing the Government for billions of dollars. </w:t>
      </w:r>
      <w:r w:rsidR="00B4760B">
        <w:rPr>
          <w:rFonts w:ascii="Calibri" w:hAnsi="Calibri"/>
        </w:rPr>
        <w:t xml:space="preserve"> </w:t>
      </w:r>
      <w:r>
        <w:rPr>
          <w:rFonts w:ascii="Calibri" w:hAnsi="Calibri"/>
        </w:rPr>
        <w:t>By thwarting exaggerated or unwarranted claims</w:t>
      </w:r>
      <w:r w:rsidR="00A96057">
        <w:rPr>
          <w:rFonts w:ascii="Calibri" w:hAnsi="Calibri"/>
        </w:rPr>
        <w:t xml:space="preserve"> against the U.S. treasury</w:t>
      </w:r>
      <w:r>
        <w:rPr>
          <w:rFonts w:ascii="Calibri" w:hAnsi="Calibri"/>
        </w:rPr>
        <w:t xml:space="preserve">, the Civil Division helps lower the Federal debt and reduce the associated economic consequences.  </w:t>
      </w:r>
    </w:p>
    <w:p w:rsidR="00520137" w:rsidRPr="00B36AD1" w:rsidRDefault="00520137" w:rsidP="00520137">
      <w:pPr>
        <w:pStyle w:val="ListParagraph"/>
        <w:ind w:left="1440"/>
        <w:jc w:val="both"/>
        <w:rPr>
          <w:rFonts w:ascii="Calibri" w:hAnsi="Calibri"/>
          <w:sz w:val="16"/>
          <w:szCs w:val="16"/>
        </w:rPr>
      </w:pPr>
    </w:p>
    <w:p w:rsidR="00520137" w:rsidRPr="00062F73" w:rsidRDefault="00641E91" w:rsidP="00520137">
      <w:pPr>
        <w:pStyle w:val="ListParagraph"/>
        <w:numPr>
          <w:ilvl w:val="1"/>
          <w:numId w:val="11"/>
        </w:numPr>
        <w:jc w:val="both"/>
        <w:rPr>
          <w:rFonts w:ascii="Calibri" w:hAnsi="Calibri"/>
        </w:rPr>
      </w:pPr>
      <w:r>
        <w:rPr>
          <w:rFonts w:ascii="Calibri" w:hAnsi="Calibri"/>
        </w:rPr>
        <w:t xml:space="preserve">Under the False Claims Act, </w:t>
      </w:r>
      <w:r w:rsidR="00520137">
        <w:rPr>
          <w:rFonts w:ascii="Calibri" w:hAnsi="Calibri"/>
        </w:rPr>
        <w:t>Civil Division attorneys generate much needed revenue by recovering billions of dollars lost each year through fraud and abuse on behalf of Government agencies, entitlement programs, and the general fund.</w:t>
      </w:r>
      <w:r w:rsidR="00A96057">
        <w:rPr>
          <w:rFonts w:ascii="Calibri" w:hAnsi="Calibri"/>
        </w:rPr>
        <w:t xml:space="preserve">  False claims actions filed against perpetrators of health care and mortgage fraud, amongst others, involve hundreds of millions, if not billions, of dollars </w:t>
      </w:r>
      <w:r>
        <w:rPr>
          <w:rFonts w:ascii="Calibri" w:hAnsi="Calibri"/>
        </w:rPr>
        <w:t>recovered</w:t>
      </w:r>
      <w:r w:rsidR="00A96057">
        <w:rPr>
          <w:rFonts w:ascii="Calibri" w:hAnsi="Calibri"/>
        </w:rPr>
        <w:t xml:space="preserve"> annually.</w:t>
      </w:r>
    </w:p>
    <w:p w:rsidR="00520137" w:rsidRPr="00B36AD1" w:rsidRDefault="00520137" w:rsidP="00520137">
      <w:pPr>
        <w:jc w:val="both"/>
        <w:rPr>
          <w:rFonts w:ascii="Calibri" w:hAnsi="Calibri"/>
          <w:color w:val="000000"/>
          <w:sz w:val="16"/>
          <w:szCs w:val="16"/>
        </w:rPr>
      </w:pPr>
    </w:p>
    <w:p w:rsidR="00520137" w:rsidRPr="007214FD" w:rsidRDefault="00520137" w:rsidP="00520137">
      <w:pPr>
        <w:numPr>
          <w:ilvl w:val="0"/>
          <w:numId w:val="11"/>
        </w:numPr>
        <w:jc w:val="both"/>
        <w:rPr>
          <w:rFonts w:ascii="Calibri" w:hAnsi="Calibri"/>
          <w:b/>
          <w:color w:val="632423"/>
        </w:rPr>
      </w:pPr>
      <w:r w:rsidRPr="007214FD">
        <w:rPr>
          <w:rFonts w:ascii="Calibri" w:hAnsi="Calibri"/>
          <w:b/>
          <w:color w:val="632423"/>
        </w:rPr>
        <w:t>Case</w:t>
      </w:r>
      <w:r>
        <w:rPr>
          <w:rFonts w:ascii="Calibri" w:hAnsi="Calibri"/>
          <w:b/>
          <w:color w:val="632423"/>
        </w:rPr>
        <w:t>s that involve national statutes</w:t>
      </w:r>
      <w:r w:rsidRPr="007214FD">
        <w:rPr>
          <w:rFonts w:ascii="Calibri" w:hAnsi="Calibri"/>
          <w:b/>
          <w:color w:val="632423"/>
        </w:rPr>
        <w:t xml:space="preserve">: </w:t>
      </w:r>
    </w:p>
    <w:p w:rsidR="00520137" w:rsidRPr="00B36AD1" w:rsidRDefault="00520137" w:rsidP="00520137">
      <w:pPr>
        <w:ind w:left="720"/>
        <w:jc w:val="both"/>
        <w:rPr>
          <w:rFonts w:ascii="Calibri" w:hAnsi="Calibri"/>
          <w:b/>
          <w:color w:val="000080"/>
          <w:sz w:val="16"/>
          <w:szCs w:val="16"/>
        </w:rPr>
      </w:pPr>
    </w:p>
    <w:p w:rsidR="00520137" w:rsidRPr="00E17C6C" w:rsidRDefault="00C00C6C" w:rsidP="00520137">
      <w:pPr>
        <w:numPr>
          <w:ilvl w:val="1"/>
          <w:numId w:val="11"/>
        </w:numPr>
        <w:jc w:val="both"/>
        <w:rPr>
          <w:rFonts w:ascii="Calibri" w:hAnsi="Calibri"/>
          <w:color w:val="000080"/>
        </w:rPr>
      </w:pPr>
      <w:r>
        <w:rPr>
          <w:rFonts w:ascii="Calibri" w:hAnsi="Calibri"/>
        </w:rPr>
        <w:t xml:space="preserve">Each year the Division handles hundreds of cases that are of unparalleled importance because of their far-reaching repercussions for </w:t>
      </w:r>
      <w:r w:rsidR="00CA5788">
        <w:rPr>
          <w:rFonts w:ascii="Calibri" w:hAnsi="Calibri"/>
        </w:rPr>
        <w:t xml:space="preserve">Federal </w:t>
      </w:r>
      <w:r>
        <w:rPr>
          <w:rFonts w:ascii="Calibri" w:hAnsi="Calibri"/>
        </w:rPr>
        <w:t>programs and policies.</w:t>
      </w:r>
      <w:r w:rsidR="00B4760B">
        <w:rPr>
          <w:rFonts w:ascii="Calibri" w:hAnsi="Calibri"/>
        </w:rPr>
        <w:t xml:space="preserve"> </w:t>
      </w:r>
      <w:r>
        <w:rPr>
          <w:rFonts w:ascii="Calibri" w:hAnsi="Calibri"/>
        </w:rPr>
        <w:t xml:space="preserve"> </w:t>
      </w:r>
      <w:r w:rsidR="00B4760B">
        <w:rPr>
          <w:rFonts w:ascii="Calibri" w:hAnsi="Calibri"/>
        </w:rPr>
        <w:t xml:space="preserve">For example, </w:t>
      </w:r>
      <w:r w:rsidR="00B408CF" w:rsidRPr="00044FC6">
        <w:rPr>
          <w:rFonts w:ascii="Calibri" w:hAnsi="Calibri"/>
          <w:lang w:val="en-CA"/>
        </w:rPr>
        <w:fldChar w:fldCharType="begin"/>
      </w:r>
      <w:r w:rsidR="00520137" w:rsidRPr="00044FC6">
        <w:rPr>
          <w:rFonts w:ascii="Calibri" w:hAnsi="Calibri"/>
          <w:lang w:val="en-CA"/>
        </w:rPr>
        <w:instrText xml:space="preserve"> SEQ CHAPTER \h \r 1</w:instrText>
      </w:r>
      <w:r w:rsidR="00B408CF" w:rsidRPr="00044FC6">
        <w:rPr>
          <w:rFonts w:ascii="Calibri" w:hAnsi="Calibri"/>
          <w:lang w:val="en-CA"/>
        </w:rPr>
        <w:fldChar w:fldCharType="end"/>
      </w:r>
      <w:r w:rsidR="00B4760B">
        <w:rPr>
          <w:rFonts w:ascii="Calibri" w:hAnsi="Calibri"/>
        </w:rPr>
        <w:t>t</w:t>
      </w:r>
      <w:r w:rsidR="00520137">
        <w:rPr>
          <w:rFonts w:ascii="Calibri" w:hAnsi="Calibri"/>
        </w:rPr>
        <w:t>he Government has filed an appeal challenging the district court</w:t>
      </w:r>
      <w:r w:rsidR="00E0512D">
        <w:rPr>
          <w:rFonts w:ascii="Calibri" w:hAnsi="Calibri"/>
        </w:rPr>
        <w:t>’s decision to strike down the</w:t>
      </w:r>
      <w:r w:rsidR="00520137">
        <w:rPr>
          <w:rFonts w:ascii="Calibri" w:hAnsi="Calibri"/>
        </w:rPr>
        <w:t xml:space="preserve"> Defense of Marriage Act in July 2010. </w:t>
      </w:r>
    </w:p>
    <w:p w:rsidR="00520137" w:rsidRPr="00B36AD1" w:rsidRDefault="00520137" w:rsidP="00520137">
      <w:pPr>
        <w:jc w:val="both"/>
        <w:rPr>
          <w:rFonts w:ascii="Calibri" w:hAnsi="Calibri"/>
          <w:sz w:val="16"/>
          <w:szCs w:val="16"/>
        </w:rPr>
      </w:pPr>
    </w:p>
    <w:p w:rsidR="00520137" w:rsidRPr="007214FD" w:rsidRDefault="00520137" w:rsidP="00520137">
      <w:pPr>
        <w:numPr>
          <w:ilvl w:val="0"/>
          <w:numId w:val="11"/>
        </w:numPr>
        <w:jc w:val="both"/>
        <w:rPr>
          <w:rFonts w:ascii="Calibri" w:hAnsi="Calibri"/>
          <w:b/>
          <w:color w:val="632423"/>
        </w:rPr>
      </w:pPr>
      <w:r>
        <w:rPr>
          <w:rFonts w:ascii="Calibri" w:hAnsi="Calibri"/>
          <w:b/>
          <w:color w:val="632423"/>
        </w:rPr>
        <w:t>Cases that involve immigration and its law enforcement initiatives</w:t>
      </w:r>
      <w:r w:rsidRPr="007214FD">
        <w:rPr>
          <w:rFonts w:ascii="Calibri" w:hAnsi="Calibri"/>
          <w:b/>
          <w:color w:val="632423"/>
        </w:rPr>
        <w:t>:</w:t>
      </w:r>
    </w:p>
    <w:p w:rsidR="00520137" w:rsidRPr="00B36AD1" w:rsidRDefault="00520137" w:rsidP="00520137">
      <w:pPr>
        <w:ind w:left="720"/>
        <w:jc w:val="both"/>
        <w:rPr>
          <w:rFonts w:ascii="Calibri" w:hAnsi="Calibri"/>
          <w:b/>
          <w:color w:val="000080"/>
          <w:sz w:val="16"/>
          <w:szCs w:val="16"/>
        </w:rPr>
      </w:pPr>
    </w:p>
    <w:p w:rsidR="00B36AD1" w:rsidRPr="00B36AD1" w:rsidRDefault="00520137" w:rsidP="00B36AD1">
      <w:pPr>
        <w:numPr>
          <w:ilvl w:val="1"/>
          <w:numId w:val="10"/>
        </w:numPr>
        <w:jc w:val="both"/>
        <w:rPr>
          <w:rFonts w:ascii="Calibri" w:hAnsi="Calibri"/>
          <w:color w:val="000000"/>
        </w:rPr>
      </w:pPr>
      <w:r>
        <w:rPr>
          <w:rFonts w:ascii="Calibri" w:hAnsi="Calibri"/>
          <w:color w:val="000000"/>
        </w:rPr>
        <w:t xml:space="preserve">The Division defends against thousands of appeals to immigration enforcement decisions and represents the United States in a wide range of immigration-related litigation involving Federal statutes and the actions of Federal law enforcers. </w:t>
      </w:r>
    </w:p>
    <w:p w:rsidR="00520137" w:rsidRPr="00E14E23" w:rsidRDefault="00520137" w:rsidP="00520137">
      <w:pPr>
        <w:jc w:val="both"/>
        <w:rPr>
          <w:rFonts w:ascii="Calibri" w:hAnsi="Calibri"/>
        </w:rPr>
      </w:pPr>
      <w:r w:rsidRPr="007214FD">
        <w:rPr>
          <w:rFonts w:ascii="Calibri" w:hAnsi="Calibri"/>
        </w:rPr>
        <w:lastRenderedPageBreak/>
        <w:t xml:space="preserve">The Civil Division seeks to successfully resolve its cases in a timely manner, when possible. </w:t>
      </w:r>
      <w:r w:rsidR="00B4760B">
        <w:rPr>
          <w:rFonts w:ascii="Calibri" w:hAnsi="Calibri"/>
        </w:rPr>
        <w:t xml:space="preserve"> </w:t>
      </w:r>
      <w:r w:rsidRPr="007214FD">
        <w:rPr>
          <w:rFonts w:ascii="Calibri" w:hAnsi="Calibri"/>
        </w:rPr>
        <w:t xml:space="preserve"> While much of the Division’s workload involves cases resolved through trial, nearly half are resolved through settle</w:t>
      </w:r>
      <w:r w:rsidR="002150F2">
        <w:rPr>
          <w:rFonts w:ascii="Calibri" w:hAnsi="Calibri"/>
        </w:rPr>
        <w:t>ments and voluntary dismissals.</w:t>
      </w:r>
      <w:r w:rsidRPr="007214FD">
        <w:rPr>
          <w:rFonts w:ascii="Calibri" w:hAnsi="Calibri"/>
        </w:rPr>
        <w:t xml:space="preserve"> </w:t>
      </w:r>
      <w:r w:rsidR="00B4760B">
        <w:rPr>
          <w:rFonts w:ascii="Calibri" w:hAnsi="Calibri"/>
        </w:rPr>
        <w:t xml:space="preserve"> </w:t>
      </w:r>
      <w:r w:rsidRPr="007214FD">
        <w:rPr>
          <w:rFonts w:ascii="Calibri" w:hAnsi="Calibri"/>
        </w:rPr>
        <w:t>It also administers two stre</w:t>
      </w:r>
      <w:r w:rsidR="002150F2">
        <w:rPr>
          <w:rFonts w:ascii="Calibri" w:hAnsi="Calibri"/>
        </w:rPr>
        <w:t xml:space="preserve">amlined compensation programs. </w:t>
      </w:r>
      <w:r w:rsidR="00B4760B">
        <w:rPr>
          <w:rFonts w:ascii="Calibri" w:hAnsi="Calibri"/>
        </w:rPr>
        <w:t xml:space="preserve"> </w:t>
      </w:r>
      <w:r w:rsidRPr="007214FD">
        <w:rPr>
          <w:rFonts w:ascii="Calibri" w:hAnsi="Calibri"/>
        </w:rPr>
        <w:t>The first is the Vaccine Injury Compensation Program, which relies upon Specia</w:t>
      </w:r>
      <w:r w:rsidR="002150F2">
        <w:rPr>
          <w:rFonts w:ascii="Calibri" w:hAnsi="Calibri"/>
        </w:rPr>
        <w:t>l Masters to resolve its cases.</w:t>
      </w:r>
      <w:r w:rsidRPr="007214FD">
        <w:rPr>
          <w:rFonts w:ascii="Calibri" w:hAnsi="Calibri"/>
        </w:rPr>
        <w:t xml:space="preserve"> </w:t>
      </w:r>
      <w:r w:rsidR="00B4760B">
        <w:rPr>
          <w:rFonts w:ascii="Calibri" w:hAnsi="Calibri"/>
        </w:rPr>
        <w:t xml:space="preserve"> </w:t>
      </w:r>
      <w:r w:rsidRPr="007214FD">
        <w:rPr>
          <w:rFonts w:ascii="Calibri" w:hAnsi="Calibri"/>
        </w:rPr>
        <w:t xml:space="preserve">The second is the Radiation Exposure Compensation </w:t>
      </w:r>
      <w:r w:rsidRPr="00E14E23">
        <w:rPr>
          <w:rFonts w:ascii="Calibri" w:hAnsi="Calibri"/>
        </w:rPr>
        <w:t>Program, which resolves its claims through administrative adjudications.</w:t>
      </w:r>
      <w:r w:rsidR="00E0512D">
        <w:rPr>
          <w:rFonts w:ascii="Calibri" w:hAnsi="Calibri"/>
        </w:rPr>
        <w:t xml:space="preserve"> </w:t>
      </w:r>
      <w:r w:rsidR="00E00DB3">
        <w:rPr>
          <w:rFonts w:ascii="Calibri" w:hAnsi="Calibri"/>
        </w:rPr>
        <w:t xml:space="preserve"> In the past, the Division also handled the </w:t>
      </w:r>
      <w:r w:rsidR="007E5606">
        <w:rPr>
          <w:rFonts w:ascii="Calibri" w:hAnsi="Calibri"/>
        </w:rPr>
        <w:t>September 11</w:t>
      </w:r>
      <w:r w:rsidR="009B0EC2" w:rsidRPr="009B0EC2">
        <w:rPr>
          <w:rFonts w:ascii="Calibri" w:hAnsi="Calibri"/>
          <w:vertAlign w:val="superscript"/>
        </w:rPr>
        <w:t>th</w:t>
      </w:r>
      <w:r w:rsidR="007E5606">
        <w:rPr>
          <w:rFonts w:ascii="Calibri" w:hAnsi="Calibri"/>
        </w:rPr>
        <w:t xml:space="preserve"> Victim</w:t>
      </w:r>
      <w:r w:rsidR="00E00DB3">
        <w:rPr>
          <w:rFonts w:ascii="Calibri" w:hAnsi="Calibri"/>
        </w:rPr>
        <w:t xml:space="preserve"> Compensation </w:t>
      </w:r>
      <w:r w:rsidR="007E5606">
        <w:rPr>
          <w:rFonts w:ascii="Calibri" w:hAnsi="Calibri"/>
        </w:rPr>
        <w:t>Fund.</w:t>
      </w:r>
    </w:p>
    <w:p w:rsidR="00520137" w:rsidRPr="005117EB" w:rsidRDefault="00520137" w:rsidP="00520137">
      <w:pPr>
        <w:jc w:val="both"/>
        <w:rPr>
          <w:rFonts w:ascii="Calibri" w:hAnsi="Calibri"/>
          <w:b/>
          <w:sz w:val="20"/>
          <w:szCs w:val="20"/>
        </w:rPr>
      </w:pPr>
    </w:p>
    <w:p w:rsidR="00520137" w:rsidRPr="00A555F1" w:rsidRDefault="00520137" w:rsidP="00520137">
      <w:pPr>
        <w:jc w:val="both"/>
        <w:rPr>
          <w:rFonts w:ascii="Calibri" w:hAnsi="Calibri"/>
          <w:color w:val="632423" w:themeColor="accent2" w:themeShade="80"/>
          <w:sz w:val="28"/>
          <w:szCs w:val="28"/>
        </w:rPr>
      </w:pPr>
      <w:r w:rsidRPr="00A555F1">
        <w:rPr>
          <w:rFonts w:ascii="Calibri" w:hAnsi="Calibri"/>
          <w:b/>
          <w:color w:val="632423" w:themeColor="accent2" w:themeShade="80"/>
          <w:sz w:val="28"/>
          <w:szCs w:val="28"/>
        </w:rPr>
        <w:t>Full Program Costs:</w:t>
      </w:r>
      <w:r w:rsidRPr="00A555F1">
        <w:rPr>
          <w:rFonts w:ascii="Calibri" w:hAnsi="Calibri"/>
          <w:color w:val="632423" w:themeColor="accent2" w:themeShade="80"/>
          <w:sz w:val="28"/>
          <w:szCs w:val="28"/>
        </w:rPr>
        <w:t xml:space="preserve">  </w:t>
      </w:r>
    </w:p>
    <w:p w:rsidR="00520137" w:rsidRPr="005117EB" w:rsidRDefault="00520137" w:rsidP="00520137">
      <w:pPr>
        <w:jc w:val="both"/>
        <w:rPr>
          <w:rFonts w:ascii="Calibri" w:hAnsi="Calibri"/>
          <w:bCs/>
          <w:dstrike/>
          <w:sz w:val="20"/>
          <w:szCs w:val="20"/>
        </w:rPr>
      </w:pPr>
    </w:p>
    <w:p w:rsidR="00520137" w:rsidRPr="007214FD" w:rsidRDefault="00520137" w:rsidP="00520137">
      <w:pPr>
        <w:jc w:val="both"/>
        <w:rPr>
          <w:rFonts w:ascii="Calibri" w:hAnsi="Calibri"/>
        </w:rPr>
      </w:pPr>
      <w:r w:rsidRPr="00E14E23">
        <w:rPr>
          <w:rFonts w:ascii="Calibri" w:hAnsi="Calibri"/>
        </w:rPr>
        <w:t>Funds for the Legal Representation Decision Unit, the Civil Division’s only decision unit, are devoted</w:t>
      </w:r>
      <w:r w:rsidRPr="007214FD">
        <w:rPr>
          <w:rFonts w:ascii="Calibri" w:hAnsi="Calibri"/>
        </w:rPr>
        <w:t xml:space="preserve"> </w:t>
      </w:r>
      <w:r>
        <w:rPr>
          <w:rFonts w:ascii="Calibri" w:hAnsi="Calibri"/>
        </w:rPr>
        <w:t xml:space="preserve">to, </w:t>
      </w:r>
      <w:r w:rsidRPr="007214FD">
        <w:rPr>
          <w:rFonts w:ascii="Calibri" w:hAnsi="Calibri"/>
        </w:rPr>
        <w:t>almost entirely</w:t>
      </w:r>
      <w:r>
        <w:rPr>
          <w:rFonts w:ascii="Calibri" w:hAnsi="Calibri"/>
        </w:rPr>
        <w:t>,</w:t>
      </w:r>
      <w:r w:rsidRPr="007214FD">
        <w:rPr>
          <w:rFonts w:ascii="Calibri" w:hAnsi="Calibri"/>
        </w:rPr>
        <w:t xml:space="preserve"> front-line litigation in observance of the management initiatives contained in the D</w:t>
      </w:r>
      <w:r w:rsidR="002150F2">
        <w:rPr>
          <w:rFonts w:ascii="Calibri" w:hAnsi="Calibri"/>
        </w:rPr>
        <w:t xml:space="preserve">OJ Strategic Plan (2007-2012). </w:t>
      </w:r>
      <w:r w:rsidR="00B4760B">
        <w:rPr>
          <w:rFonts w:ascii="Calibri" w:hAnsi="Calibri"/>
        </w:rPr>
        <w:t xml:space="preserve"> </w:t>
      </w:r>
      <w:r w:rsidRPr="007214FD">
        <w:rPr>
          <w:rFonts w:ascii="Calibri" w:hAnsi="Calibri"/>
        </w:rPr>
        <w:t xml:space="preserve">Of the Division’s </w:t>
      </w:r>
      <w:r w:rsidRPr="00D95C36">
        <w:rPr>
          <w:rFonts w:ascii="Calibri" w:hAnsi="Calibri"/>
        </w:rPr>
        <w:t>1,</w:t>
      </w:r>
      <w:r>
        <w:rPr>
          <w:rFonts w:ascii="Calibri" w:hAnsi="Calibri"/>
        </w:rPr>
        <w:t>475</w:t>
      </w:r>
      <w:r w:rsidRPr="00D95C36">
        <w:rPr>
          <w:rFonts w:ascii="Calibri" w:hAnsi="Calibri"/>
        </w:rPr>
        <w:t xml:space="preserve"> authorized positions</w:t>
      </w:r>
      <w:r w:rsidRPr="007214FD">
        <w:rPr>
          <w:rFonts w:ascii="Calibri" w:hAnsi="Calibri"/>
        </w:rPr>
        <w:t xml:space="preserve">, the vast majority are assigned to the six litigating branches.  </w:t>
      </w:r>
    </w:p>
    <w:p w:rsidR="00520137" w:rsidRPr="00FA602C" w:rsidRDefault="00520137" w:rsidP="00520137">
      <w:pPr>
        <w:jc w:val="both"/>
        <w:rPr>
          <w:rFonts w:ascii="Calibri" w:hAnsi="Calibri"/>
          <w:sz w:val="20"/>
          <w:szCs w:val="20"/>
        </w:rPr>
      </w:pPr>
    </w:p>
    <w:p w:rsidR="00520137" w:rsidRDefault="00B4760B" w:rsidP="00520137">
      <w:pPr>
        <w:jc w:val="both"/>
        <w:rPr>
          <w:rFonts w:ascii="Calibri" w:hAnsi="Calibri"/>
        </w:rPr>
      </w:pPr>
      <w:r>
        <w:rPr>
          <w:rFonts w:ascii="Calibri" w:hAnsi="Calibri"/>
        </w:rPr>
        <w:t>For</w:t>
      </w:r>
      <w:r w:rsidR="00520137" w:rsidRPr="007214FD">
        <w:rPr>
          <w:rFonts w:ascii="Calibri" w:hAnsi="Calibri"/>
        </w:rPr>
        <w:t xml:space="preserve"> FY 20</w:t>
      </w:r>
      <w:r w:rsidR="00520137">
        <w:rPr>
          <w:rFonts w:ascii="Calibri" w:hAnsi="Calibri"/>
        </w:rPr>
        <w:t>11</w:t>
      </w:r>
      <w:r w:rsidR="00520137" w:rsidRPr="00581F95">
        <w:rPr>
          <w:rFonts w:ascii="Calibri" w:hAnsi="Calibri"/>
        </w:rPr>
        <w:t xml:space="preserve">, </w:t>
      </w:r>
      <w:r w:rsidR="00220A7C">
        <w:rPr>
          <w:rFonts w:ascii="Calibri" w:hAnsi="Calibri"/>
        </w:rPr>
        <w:t>$448,5</w:t>
      </w:r>
      <w:r w:rsidR="00BA3C6B">
        <w:rPr>
          <w:rFonts w:ascii="Calibri" w:hAnsi="Calibri"/>
        </w:rPr>
        <w:t xml:space="preserve">00,000 </w:t>
      </w:r>
      <w:r w:rsidR="00520137">
        <w:rPr>
          <w:rFonts w:ascii="Calibri" w:hAnsi="Calibri"/>
        </w:rPr>
        <w:t>i</w:t>
      </w:r>
      <w:r w:rsidR="00520137" w:rsidRPr="007214FD">
        <w:rPr>
          <w:rFonts w:ascii="Calibri" w:hAnsi="Calibri"/>
        </w:rPr>
        <w:t>s available to the Division, exclusive of the RECA Trust Fund (see Civil</w:t>
      </w:r>
      <w:r>
        <w:rPr>
          <w:rFonts w:ascii="Calibri" w:hAnsi="Calibri"/>
        </w:rPr>
        <w:t xml:space="preserve"> </w:t>
      </w:r>
      <w:r w:rsidR="00520137">
        <w:rPr>
          <w:rFonts w:ascii="Calibri" w:hAnsi="Calibri"/>
        </w:rPr>
        <w:t>Division</w:t>
      </w:r>
      <w:r w:rsidR="002150F2">
        <w:rPr>
          <w:rFonts w:ascii="Calibri" w:hAnsi="Calibri"/>
        </w:rPr>
        <w:t xml:space="preserve">’s RECA Trust Fund Budget). </w:t>
      </w:r>
      <w:r>
        <w:rPr>
          <w:rFonts w:ascii="Calibri" w:hAnsi="Calibri"/>
        </w:rPr>
        <w:t xml:space="preserve"> The enacted level Continuing Resolution includes 1,475 positions (1,059 attorneys) and 1,391 FTE.  </w:t>
      </w:r>
      <w:r w:rsidR="00520137" w:rsidRPr="007214FD">
        <w:rPr>
          <w:rFonts w:ascii="Calibri" w:hAnsi="Calibri"/>
        </w:rPr>
        <w:t xml:space="preserve">The </w:t>
      </w:r>
      <w:r w:rsidR="00520137">
        <w:rPr>
          <w:rFonts w:ascii="Calibri" w:hAnsi="Calibri"/>
        </w:rPr>
        <w:t xml:space="preserve">chart </w:t>
      </w:r>
      <w:r w:rsidR="009B0EC2">
        <w:rPr>
          <w:rFonts w:ascii="Calibri" w:hAnsi="Calibri"/>
        </w:rPr>
        <w:t xml:space="preserve">below </w:t>
      </w:r>
      <w:r w:rsidR="00520137" w:rsidRPr="007214FD">
        <w:rPr>
          <w:rFonts w:ascii="Calibri" w:hAnsi="Calibri"/>
        </w:rPr>
        <w:t xml:space="preserve">displays the Division’s </w:t>
      </w:r>
      <w:r w:rsidR="00520137">
        <w:rPr>
          <w:rFonts w:ascii="Calibri" w:hAnsi="Calibri"/>
        </w:rPr>
        <w:t xml:space="preserve">historical </w:t>
      </w:r>
      <w:r w:rsidR="00520137" w:rsidRPr="007214FD">
        <w:rPr>
          <w:rFonts w:ascii="Calibri" w:hAnsi="Calibri"/>
        </w:rPr>
        <w:t xml:space="preserve">funding </w:t>
      </w:r>
      <w:r w:rsidR="00520137">
        <w:rPr>
          <w:rFonts w:ascii="Calibri" w:hAnsi="Calibri"/>
        </w:rPr>
        <w:t>information</w:t>
      </w:r>
      <w:r w:rsidR="00520137" w:rsidRPr="007214FD">
        <w:rPr>
          <w:rFonts w:ascii="Calibri" w:hAnsi="Calibri"/>
        </w:rPr>
        <w:t>, including appropriations and reimbursements.</w:t>
      </w:r>
      <w:r w:rsidR="00520137">
        <w:rPr>
          <w:rFonts w:ascii="Calibri" w:hAnsi="Calibri"/>
        </w:rPr>
        <w:t xml:space="preserve">  </w:t>
      </w:r>
      <w:r w:rsidR="000A52F3">
        <w:rPr>
          <w:rFonts w:ascii="Calibri" w:hAnsi="Calibri"/>
        </w:rPr>
        <w:t>Total expected availab</w:t>
      </w:r>
      <w:r w:rsidR="009B0EC2">
        <w:rPr>
          <w:rFonts w:ascii="Calibri" w:hAnsi="Calibri"/>
        </w:rPr>
        <w:t xml:space="preserve">ility in FY 2011 is down </w:t>
      </w:r>
      <w:r w:rsidR="00220A7C">
        <w:rPr>
          <w:rFonts w:ascii="Calibri" w:hAnsi="Calibri"/>
        </w:rPr>
        <w:t>$6,8</w:t>
      </w:r>
      <w:r w:rsidR="000A52F3">
        <w:rPr>
          <w:rFonts w:ascii="Calibri" w:hAnsi="Calibri"/>
        </w:rPr>
        <w:t xml:space="preserve">00,000 </w:t>
      </w:r>
      <w:r w:rsidR="009B0EC2">
        <w:rPr>
          <w:rFonts w:ascii="Calibri" w:hAnsi="Calibri"/>
        </w:rPr>
        <w:t xml:space="preserve">from </w:t>
      </w:r>
      <w:r w:rsidR="000A52F3">
        <w:rPr>
          <w:rFonts w:ascii="Calibri" w:hAnsi="Calibri"/>
        </w:rPr>
        <w:t>FY 2009.</w:t>
      </w:r>
    </w:p>
    <w:p w:rsidR="00520137" w:rsidRPr="00CA5788" w:rsidRDefault="00520137" w:rsidP="00520137">
      <w:pPr>
        <w:jc w:val="both"/>
        <w:rPr>
          <w:rFonts w:ascii="Calibri" w:hAnsi="Calibri"/>
          <w:sz w:val="20"/>
          <w:szCs w:val="20"/>
        </w:rPr>
      </w:pPr>
    </w:p>
    <w:p w:rsidR="00520137" w:rsidRPr="006A4680" w:rsidRDefault="00520137" w:rsidP="00520137">
      <w:pPr>
        <w:jc w:val="center"/>
        <w:rPr>
          <w:rFonts w:ascii="Calibri" w:hAnsi="Calibri"/>
          <w:color w:val="632423" w:themeColor="accent2" w:themeShade="80"/>
          <w:sz w:val="28"/>
          <w:szCs w:val="28"/>
        </w:rPr>
      </w:pPr>
      <w:r>
        <w:rPr>
          <w:rFonts w:ascii="Calibri" w:hAnsi="Calibri"/>
          <w:b/>
          <w:color w:val="632423" w:themeColor="accent2" w:themeShade="80"/>
          <w:sz w:val="28"/>
          <w:szCs w:val="28"/>
        </w:rPr>
        <w:t>Civil Division’s Funding Sources (In Millions)</w:t>
      </w:r>
    </w:p>
    <w:p w:rsidR="00520137" w:rsidRDefault="00A974BD" w:rsidP="00520137">
      <w:pPr>
        <w:jc w:val="both"/>
        <w:rPr>
          <w:rFonts w:ascii="Calibri" w:hAnsi="Calibri"/>
        </w:rPr>
      </w:pPr>
      <w:r>
        <w:rPr>
          <w:rFonts w:ascii="Calibri" w:hAnsi="Calibri"/>
          <w:noProof/>
          <w:lang w:eastAsia="zh-TW"/>
        </w:rPr>
        <w:pict>
          <v:shape id="_x0000_s1047" type="#_x0000_t202" style="position:absolute;left:0;text-align:left;margin-left:276pt;margin-top:276.3pt;width:5.25pt;height:15pt;z-index:251694080;mso-width-relative:margin;mso-height-relative:margin" stroked="f">
            <v:textbox style="mso-next-textbox:#_x0000_s1047">
              <w:txbxContent>
                <w:p w:rsidR="009B0EC2" w:rsidRDefault="009B0EC2">
                  <w:r>
                    <w:t>*</w:t>
                  </w:r>
                </w:p>
              </w:txbxContent>
            </v:textbox>
          </v:shape>
        </w:pict>
      </w:r>
      <w:r w:rsidR="00641E91">
        <w:rPr>
          <w:rFonts w:ascii="Calibri" w:hAnsi="Calibri"/>
          <w:noProof/>
        </w:rPr>
        <w:drawing>
          <wp:inline distT="0" distB="0" distL="0" distR="0">
            <wp:extent cx="5895975" cy="3962400"/>
            <wp:effectExtent l="0" t="0" r="0" b="0"/>
            <wp:docPr id="17" name="Chart 13" descr="This line graph displays the Civil Division's funding sources and amounts in FYs 2009, 2010, and 2011.  Total expected availability in FY 2011 is down by $6,800,000 from FY 20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20137" w:rsidRDefault="00520137" w:rsidP="00520137">
      <w:pPr>
        <w:jc w:val="center"/>
        <w:rPr>
          <w:rFonts w:asciiTheme="minorHAnsi" w:hAnsiTheme="minorHAnsi"/>
          <w:b/>
          <w:i/>
          <w:sz w:val="20"/>
          <w:szCs w:val="20"/>
        </w:rPr>
      </w:pPr>
    </w:p>
    <w:p w:rsidR="00BE287C" w:rsidRPr="000C5CAE" w:rsidRDefault="00520137" w:rsidP="000C5CAE">
      <w:pPr>
        <w:jc w:val="center"/>
        <w:rPr>
          <w:rFonts w:ascii="Calibri" w:hAnsi="Calibri"/>
          <w:b/>
          <w:i/>
          <w:sz w:val="20"/>
          <w:szCs w:val="20"/>
        </w:rPr>
      </w:pPr>
      <w:r w:rsidRPr="00A54E7D">
        <w:rPr>
          <w:rFonts w:asciiTheme="minorHAnsi" w:hAnsiTheme="minorHAnsi"/>
          <w:b/>
          <w:i/>
          <w:sz w:val="20"/>
          <w:szCs w:val="20"/>
        </w:rPr>
        <w:t xml:space="preserve">*FY 2011 figures assume a Full-Year Continuing Resolution at the FY 2010 </w:t>
      </w:r>
      <w:r w:rsidR="00B4760B">
        <w:rPr>
          <w:rFonts w:asciiTheme="minorHAnsi" w:hAnsiTheme="minorHAnsi"/>
          <w:b/>
          <w:i/>
          <w:sz w:val="20"/>
          <w:szCs w:val="20"/>
        </w:rPr>
        <w:t>enacted l</w:t>
      </w:r>
      <w:r w:rsidRPr="00A54E7D">
        <w:rPr>
          <w:rFonts w:asciiTheme="minorHAnsi" w:hAnsiTheme="minorHAnsi"/>
          <w:b/>
          <w:i/>
          <w:sz w:val="20"/>
          <w:szCs w:val="20"/>
        </w:rPr>
        <w:t>evel</w:t>
      </w:r>
    </w:p>
    <w:p w:rsidR="00520137" w:rsidRPr="00F9482E" w:rsidRDefault="00520137" w:rsidP="00520137">
      <w:pPr>
        <w:jc w:val="both"/>
        <w:rPr>
          <w:rFonts w:ascii="Calibri" w:hAnsi="Calibri"/>
          <w:b/>
          <w:sz w:val="16"/>
          <w:szCs w:val="16"/>
        </w:rPr>
      </w:pPr>
      <w:r>
        <w:rPr>
          <w:rFonts w:ascii="Calibri" w:hAnsi="Calibri"/>
        </w:rPr>
        <w:lastRenderedPageBreak/>
        <w:t>The</w:t>
      </w:r>
      <w:r w:rsidRPr="00B001B2">
        <w:rPr>
          <w:rFonts w:ascii="Calibri" w:hAnsi="Calibri"/>
        </w:rPr>
        <w:t xml:space="preserve"> FY 2012 </w:t>
      </w:r>
      <w:r>
        <w:rPr>
          <w:rFonts w:ascii="Calibri" w:hAnsi="Calibri"/>
        </w:rPr>
        <w:t xml:space="preserve"> </w:t>
      </w:r>
      <w:r w:rsidRPr="00B001B2">
        <w:rPr>
          <w:rFonts w:ascii="Calibri" w:hAnsi="Calibri"/>
        </w:rPr>
        <w:t xml:space="preserve">request includes </w:t>
      </w:r>
      <w:r>
        <w:rPr>
          <w:rFonts w:ascii="Calibri" w:hAnsi="Calibri"/>
        </w:rPr>
        <w:t>1,488</w:t>
      </w:r>
      <w:r w:rsidRPr="00B001B2">
        <w:rPr>
          <w:rFonts w:ascii="Calibri" w:hAnsi="Calibri"/>
        </w:rPr>
        <w:t xml:space="preserve"> positions </w:t>
      </w:r>
      <w:r w:rsidRPr="000C2083">
        <w:rPr>
          <w:rFonts w:ascii="Calibri" w:hAnsi="Calibri"/>
        </w:rPr>
        <w:t>(1,</w:t>
      </w:r>
      <w:r w:rsidR="00EF0049">
        <w:rPr>
          <w:rFonts w:ascii="Calibri" w:hAnsi="Calibri"/>
        </w:rPr>
        <w:t>068</w:t>
      </w:r>
      <w:r w:rsidRPr="000C2083">
        <w:rPr>
          <w:rFonts w:ascii="Calibri" w:hAnsi="Calibri"/>
        </w:rPr>
        <w:t xml:space="preserve"> attorneys),</w:t>
      </w:r>
      <w:r w:rsidRPr="00B001B2">
        <w:rPr>
          <w:rFonts w:ascii="Calibri" w:hAnsi="Calibri"/>
        </w:rPr>
        <w:t xml:space="preserve"> </w:t>
      </w:r>
      <w:r>
        <w:rPr>
          <w:rFonts w:ascii="Calibri" w:hAnsi="Calibri"/>
        </w:rPr>
        <w:t>1,625</w:t>
      </w:r>
      <w:r w:rsidRPr="00B001B2">
        <w:rPr>
          <w:rFonts w:ascii="Calibri" w:hAnsi="Calibri"/>
        </w:rPr>
        <w:t xml:space="preserve"> FTE, and </w:t>
      </w:r>
      <w:r>
        <w:rPr>
          <w:rFonts w:ascii="Calibri" w:hAnsi="Calibri"/>
        </w:rPr>
        <w:t>$310,112,000</w:t>
      </w:r>
      <w:r w:rsidR="00E00DB3">
        <w:rPr>
          <w:rFonts w:ascii="Calibri" w:hAnsi="Calibri"/>
        </w:rPr>
        <w:t xml:space="preserve"> to </w:t>
      </w:r>
      <w:r w:rsidR="00990600">
        <w:rPr>
          <w:rFonts w:ascii="Calibri" w:hAnsi="Calibri"/>
        </w:rPr>
        <w:t xml:space="preserve">perform </w:t>
      </w:r>
      <w:r>
        <w:rPr>
          <w:rFonts w:ascii="Calibri" w:hAnsi="Calibri"/>
        </w:rPr>
        <w:t>the Division’s co</w:t>
      </w:r>
      <w:r w:rsidR="00E00DB3">
        <w:rPr>
          <w:rFonts w:ascii="Calibri" w:hAnsi="Calibri"/>
        </w:rPr>
        <w:t xml:space="preserve">re responsibilities and </w:t>
      </w:r>
      <w:r w:rsidR="00990600">
        <w:rPr>
          <w:rFonts w:ascii="Calibri" w:hAnsi="Calibri"/>
        </w:rPr>
        <w:t xml:space="preserve">continue </w:t>
      </w:r>
      <w:r>
        <w:rPr>
          <w:rFonts w:ascii="Calibri" w:hAnsi="Calibri"/>
        </w:rPr>
        <w:t>funding for positions that Congress approved in FY 2010.</w:t>
      </w:r>
    </w:p>
    <w:p w:rsidR="005A7D3D" w:rsidRPr="005A7D3D" w:rsidRDefault="005A7D3D" w:rsidP="00520137">
      <w:pPr>
        <w:jc w:val="both"/>
        <w:rPr>
          <w:rFonts w:ascii="Calibri" w:hAnsi="Calibri"/>
          <w:b/>
          <w:color w:val="632423"/>
          <w:sz w:val="20"/>
          <w:szCs w:val="20"/>
        </w:rPr>
      </w:pPr>
    </w:p>
    <w:p w:rsidR="00520137" w:rsidRDefault="00520137" w:rsidP="00520137">
      <w:pPr>
        <w:jc w:val="both"/>
        <w:rPr>
          <w:rFonts w:ascii="Calibri" w:hAnsi="Calibri"/>
          <w:b/>
          <w:color w:val="632423"/>
          <w:sz w:val="28"/>
          <w:szCs w:val="28"/>
        </w:rPr>
      </w:pPr>
      <w:r>
        <w:rPr>
          <w:rFonts w:ascii="Calibri" w:hAnsi="Calibri"/>
          <w:b/>
          <w:color w:val="632423"/>
          <w:sz w:val="28"/>
          <w:szCs w:val="28"/>
        </w:rPr>
        <w:t>Workload</w:t>
      </w:r>
      <w:r w:rsidRPr="00A555F1">
        <w:rPr>
          <w:rFonts w:ascii="Calibri" w:hAnsi="Calibri"/>
          <w:b/>
          <w:color w:val="632423"/>
          <w:sz w:val="28"/>
          <w:szCs w:val="28"/>
        </w:rPr>
        <w:t>:</w:t>
      </w:r>
    </w:p>
    <w:p w:rsidR="00520137" w:rsidRPr="00FA602C" w:rsidRDefault="00520137" w:rsidP="00520137">
      <w:pPr>
        <w:jc w:val="both"/>
        <w:rPr>
          <w:rFonts w:ascii="Calibri" w:hAnsi="Calibri"/>
          <w:sz w:val="20"/>
          <w:szCs w:val="20"/>
        </w:rPr>
      </w:pPr>
    </w:p>
    <w:p w:rsidR="00520137" w:rsidRDefault="00050D72" w:rsidP="00520137">
      <w:pPr>
        <w:jc w:val="both"/>
        <w:rPr>
          <w:rFonts w:ascii="Calibri" w:hAnsi="Calibri"/>
        </w:rPr>
      </w:pPr>
      <w:r>
        <w:rPr>
          <w:rFonts w:asciiTheme="minorHAnsi" w:hAnsiTheme="minorHAnsi"/>
        </w:rPr>
        <w:t>The</w:t>
      </w:r>
      <w:r w:rsidR="00520137" w:rsidRPr="00050D72">
        <w:rPr>
          <w:rFonts w:ascii="Calibri" w:hAnsi="Calibri"/>
        </w:rPr>
        <w:t xml:space="preserve"> Civil Division expects to handle a</w:t>
      </w:r>
      <w:r w:rsidR="00D23E1A" w:rsidRPr="00050D72">
        <w:rPr>
          <w:rFonts w:ascii="Calibri" w:hAnsi="Calibri"/>
        </w:rPr>
        <w:t>lmost 50,000</w:t>
      </w:r>
      <w:r w:rsidR="00520137" w:rsidRPr="00050D72">
        <w:rPr>
          <w:rFonts w:ascii="Calibri" w:hAnsi="Calibri"/>
        </w:rPr>
        <w:t xml:space="preserve"> cases in FY 2012</w:t>
      </w:r>
      <w:r w:rsidR="002150F2" w:rsidRPr="00050D72">
        <w:rPr>
          <w:rFonts w:ascii="Calibri" w:hAnsi="Calibri"/>
        </w:rPr>
        <w:t>.</w:t>
      </w:r>
      <w:r w:rsidR="00D23E1A" w:rsidRPr="00050D72">
        <w:rPr>
          <w:rFonts w:ascii="Calibri" w:hAnsi="Calibri"/>
        </w:rPr>
        <w:t xml:space="preserve"> </w:t>
      </w:r>
      <w:r w:rsidR="00251F4A" w:rsidRPr="00050D72">
        <w:rPr>
          <w:rFonts w:ascii="Calibri" w:hAnsi="Calibri"/>
        </w:rPr>
        <w:t xml:space="preserve"> </w:t>
      </w:r>
      <w:r w:rsidR="00520137" w:rsidRPr="00050D72">
        <w:rPr>
          <w:rFonts w:ascii="Calibri" w:hAnsi="Calibri"/>
        </w:rPr>
        <w:t>This number belies the true extent of the workload, as the Division is also handling nearly 500,000 administrative claims filed with the Army Corps of Engineers seeking damages asso</w:t>
      </w:r>
      <w:r w:rsidR="002150F2" w:rsidRPr="00050D72">
        <w:rPr>
          <w:rFonts w:ascii="Calibri" w:hAnsi="Calibri"/>
        </w:rPr>
        <w:t xml:space="preserve">ciated with Hurricane Katrina. </w:t>
      </w:r>
      <w:r w:rsidR="00251F4A" w:rsidRPr="00050D72">
        <w:rPr>
          <w:rFonts w:ascii="Calibri" w:hAnsi="Calibri"/>
        </w:rPr>
        <w:t xml:space="preserve"> </w:t>
      </w:r>
      <w:r w:rsidR="00520137" w:rsidRPr="00050D72">
        <w:rPr>
          <w:rFonts w:ascii="Calibri" w:hAnsi="Calibri"/>
        </w:rPr>
        <w:t>In addition, this total does not include thousands of cases and approximately 100,000 administrative claims filed with the Federal Emergency Management Agency seeking damages related to formaldehyde exposure from trailers supplied in response to Hurricanes Katrina and Rita.</w:t>
      </w:r>
    </w:p>
    <w:p w:rsidR="00520137" w:rsidRPr="005A7D3D" w:rsidRDefault="00520137" w:rsidP="00520137">
      <w:pPr>
        <w:jc w:val="both"/>
        <w:rPr>
          <w:rFonts w:ascii="Calibri" w:hAnsi="Calibri"/>
          <w:b/>
          <w:color w:val="632423"/>
          <w:sz w:val="20"/>
          <w:szCs w:val="20"/>
        </w:rPr>
      </w:pPr>
    </w:p>
    <w:p w:rsidR="00520137" w:rsidRPr="00A555F1" w:rsidRDefault="00520137" w:rsidP="00520137">
      <w:pPr>
        <w:jc w:val="both"/>
        <w:rPr>
          <w:rFonts w:ascii="Calibri" w:hAnsi="Calibri"/>
          <w:b/>
          <w:color w:val="632423"/>
          <w:sz w:val="28"/>
          <w:szCs w:val="28"/>
        </w:rPr>
      </w:pPr>
      <w:r w:rsidRPr="00A555F1">
        <w:rPr>
          <w:rFonts w:ascii="Calibri" w:hAnsi="Calibri"/>
          <w:b/>
          <w:color w:val="632423"/>
          <w:sz w:val="28"/>
          <w:szCs w:val="28"/>
        </w:rPr>
        <w:t>External Challenges:</w:t>
      </w:r>
    </w:p>
    <w:p w:rsidR="00520137" w:rsidRPr="00FA602C" w:rsidRDefault="00520137" w:rsidP="00520137">
      <w:pPr>
        <w:jc w:val="both"/>
        <w:rPr>
          <w:rFonts w:ascii="Calibri" w:hAnsi="Calibri"/>
          <w:sz w:val="20"/>
          <w:szCs w:val="20"/>
        </w:rPr>
      </w:pPr>
    </w:p>
    <w:p w:rsidR="00520137" w:rsidRPr="007214FD" w:rsidRDefault="00520137" w:rsidP="00520137">
      <w:pPr>
        <w:jc w:val="both"/>
        <w:rPr>
          <w:rFonts w:ascii="Calibri" w:hAnsi="Calibri"/>
        </w:rPr>
      </w:pPr>
      <w:r w:rsidRPr="007214FD">
        <w:rPr>
          <w:rFonts w:ascii="Calibri" w:hAnsi="Calibri"/>
        </w:rPr>
        <w:t xml:space="preserve">Because nearly 90 percent of the workload is defensive, </w:t>
      </w:r>
      <w:r>
        <w:rPr>
          <w:rFonts w:ascii="Calibri" w:hAnsi="Calibri"/>
        </w:rPr>
        <w:t>the Division</w:t>
      </w:r>
      <w:r w:rsidRPr="007214FD">
        <w:rPr>
          <w:rFonts w:ascii="Calibri" w:hAnsi="Calibri"/>
        </w:rPr>
        <w:t xml:space="preserve"> cannot control the number of cases filed, the timing of discovery, the size of evidentiary collections, the time span of litigation</w:t>
      </w:r>
      <w:r w:rsidR="002150F2">
        <w:rPr>
          <w:rFonts w:ascii="Calibri" w:hAnsi="Calibri"/>
        </w:rPr>
        <w:t>, or the scheduling of trials.</w:t>
      </w:r>
      <w:r w:rsidR="00251F4A">
        <w:rPr>
          <w:rFonts w:ascii="Calibri" w:hAnsi="Calibri"/>
        </w:rPr>
        <w:t xml:space="preserve"> </w:t>
      </w:r>
      <w:r w:rsidR="002150F2">
        <w:rPr>
          <w:rFonts w:ascii="Calibri" w:hAnsi="Calibri"/>
        </w:rPr>
        <w:t xml:space="preserve"> </w:t>
      </w:r>
      <w:r w:rsidRPr="007214FD">
        <w:rPr>
          <w:rFonts w:ascii="Calibri" w:hAnsi="Calibri"/>
        </w:rPr>
        <w:t>The type, volume, and size of the cases are determined by many</w:t>
      </w:r>
      <w:r>
        <w:rPr>
          <w:rFonts w:ascii="Calibri" w:hAnsi="Calibri"/>
        </w:rPr>
        <w:t xml:space="preserve"> exogenous factors, including military actions, natural disasters, and whistleblower referr</w:t>
      </w:r>
      <w:r w:rsidR="002150F2">
        <w:rPr>
          <w:rFonts w:ascii="Calibri" w:hAnsi="Calibri"/>
        </w:rPr>
        <w:t>als.</w:t>
      </w:r>
      <w:r>
        <w:rPr>
          <w:rFonts w:ascii="Calibri" w:hAnsi="Calibri"/>
        </w:rPr>
        <w:t xml:space="preserve"> </w:t>
      </w:r>
      <w:r w:rsidR="00251F4A">
        <w:rPr>
          <w:rFonts w:ascii="Calibri" w:hAnsi="Calibri"/>
        </w:rPr>
        <w:t xml:space="preserve"> </w:t>
      </w:r>
      <w:r w:rsidRPr="002D0B55">
        <w:rPr>
          <w:rFonts w:ascii="Calibri" w:hAnsi="Calibri"/>
        </w:rPr>
        <w:t>New legislation regarding immigration reform, for</w:t>
      </w:r>
      <w:r w:rsidR="007E5606">
        <w:rPr>
          <w:rFonts w:ascii="Calibri" w:hAnsi="Calibri"/>
        </w:rPr>
        <w:t xml:space="preserve"> instance, could </w:t>
      </w:r>
      <w:r>
        <w:rPr>
          <w:rFonts w:ascii="Calibri" w:hAnsi="Calibri"/>
        </w:rPr>
        <w:t xml:space="preserve">greatly affect the Division’s workload, as could an oil spill such as the one following the explosion of the Deepwater Horizon oil rig.  </w:t>
      </w:r>
    </w:p>
    <w:p w:rsidR="00520137" w:rsidRPr="00FA602C" w:rsidRDefault="00520137" w:rsidP="00520137">
      <w:pPr>
        <w:rPr>
          <w:rFonts w:ascii="Calibri" w:hAnsi="Calibri"/>
          <w:b/>
          <w:color w:val="006699"/>
          <w:sz w:val="20"/>
          <w:szCs w:val="20"/>
        </w:rPr>
      </w:pPr>
    </w:p>
    <w:p w:rsidR="00520137" w:rsidRPr="00B4760B" w:rsidRDefault="00520137" w:rsidP="00520137">
      <w:pPr>
        <w:jc w:val="both"/>
        <w:rPr>
          <w:rFonts w:asciiTheme="minorHAnsi" w:hAnsiTheme="minorHAnsi"/>
          <w:b/>
          <w:color w:val="632423"/>
          <w:sz w:val="28"/>
          <w:szCs w:val="28"/>
        </w:rPr>
      </w:pPr>
      <w:r w:rsidRPr="00B4760B">
        <w:rPr>
          <w:rFonts w:asciiTheme="minorHAnsi" w:hAnsiTheme="minorHAnsi"/>
          <w:b/>
          <w:color w:val="632423"/>
          <w:sz w:val="28"/>
          <w:szCs w:val="28"/>
        </w:rPr>
        <w:t>Internal Challenges:</w:t>
      </w:r>
    </w:p>
    <w:p w:rsidR="00520137" w:rsidRPr="00B4760B" w:rsidRDefault="00520137" w:rsidP="00520137">
      <w:pPr>
        <w:jc w:val="both"/>
        <w:rPr>
          <w:rFonts w:asciiTheme="minorHAnsi" w:hAnsiTheme="minorHAnsi"/>
          <w:b/>
          <w:color w:val="006699"/>
          <w:sz w:val="20"/>
          <w:szCs w:val="20"/>
        </w:rPr>
      </w:pPr>
    </w:p>
    <w:p w:rsidR="00520137" w:rsidRPr="00B4760B" w:rsidRDefault="00520137" w:rsidP="00520137">
      <w:pPr>
        <w:jc w:val="both"/>
        <w:rPr>
          <w:rFonts w:asciiTheme="minorHAnsi" w:hAnsiTheme="minorHAnsi"/>
          <w:b/>
          <w:u w:val="single"/>
        </w:rPr>
      </w:pPr>
      <w:r w:rsidRPr="00B4760B">
        <w:rPr>
          <w:rFonts w:asciiTheme="minorHAnsi" w:hAnsiTheme="minorHAnsi"/>
          <w:b/>
          <w:u w:val="single"/>
        </w:rPr>
        <w:t>Skill Mix of Human Capital</w:t>
      </w:r>
    </w:p>
    <w:p w:rsidR="008A6057" w:rsidRPr="00B4760B" w:rsidRDefault="008A6057" w:rsidP="008A6057">
      <w:pPr>
        <w:jc w:val="both"/>
        <w:rPr>
          <w:rFonts w:asciiTheme="minorHAnsi" w:hAnsiTheme="minorHAnsi"/>
        </w:rPr>
      </w:pPr>
      <w:r w:rsidRPr="00B4760B">
        <w:rPr>
          <w:rFonts w:asciiTheme="minorHAnsi" w:hAnsiTheme="minorHAnsi"/>
        </w:rPr>
        <w:t xml:space="preserve">The Civil Division is </w:t>
      </w:r>
      <w:r w:rsidR="000A52F3">
        <w:rPr>
          <w:rFonts w:asciiTheme="minorHAnsi" w:hAnsiTheme="minorHAnsi"/>
        </w:rPr>
        <w:t>changing its mix of resources</w:t>
      </w:r>
      <w:r w:rsidR="006F203A">
        <w:rPr>
          <w:rFonts w:asciiTheme="minorHAnsi" w:hAnsiTheme="minorHAnsi"/>
        </w:rPr>
        <w:t xml:space="preserve"> </w:t>
      </w:r>
      <w:r w:rsidR="000A52F3">
        <w:rPr>
          <w:rFonts w:asciiTheme="minorHAnsi" w:hAnsiTheme="minorHAnsi"/>
        </w:rPr>
        <w:t>as it reduces</w:t>
      </w:r>
      <w:r w:rsidR="006F203A">
        <w:rPr>
          <w:rFonts w:asciiTheme="minorHAnsi" w:hAnsiTheme="minorHAnsi"/>
        </w:rPr>
        <w:t xml:space="preserve"> the number of contract personnel relative </w:t>
      </w:r>
      <w:r w:rsidRPr="00B4760B">
        <w:rPr>
          <w:rFonts w:asciiTheme="minorHAnsi" w:hAnsiTheme="minorHAnsi"/>
        </w:rPr>
        <w:t xml:space="preserve">to Government personnel. </w:t>
      </w:r>
      <w:r w:rsidR="006F203A">
        <w:rPr>
          <w:rFonts w:asciiTheme="minorHAnsi" w:hAnsiTheme="minorHAnsi"/>
        </w:rPr>
        <w:t xml:space="preserve"> </w:t>
      </w:r>
      <w:r w:rsidRPr="00B4760B">
        <w:rPr>
          <w:rFonts w:asciiTheme="minorHAnsi" w:hAnsiTheme="minorHAnsi"/>
        </w:rPr>
        <w:t xml:space="preserve">Since the start of FY 2011, the Division has cut or plans to cut 270 contract support positions, a </w:t>
      </w:r>
      <w:r w:rsidR="006F203A">
        <w:rPr>
          <w:rFonts w:asciiTheme="minorHAnsi" w:hAnsiTheme="minorHAnsi"/>
        </w:rPr>
        <w:t xml:space="preserve">41 percent </w:t>
      </w:r>
      <w:r w:rsidRPr="00B4760B">
        <w:rPr>
          <w:rFonts w:asciiTheme="minorHAnsi" w:hAnsiTheme="minorHAnsi"/>
        </w:rPr>
        <w:t>reduction.</w:t>
      </w:r>
      <w:r w:rsidR="00CA5788" w:rsidRPr="00B4760B">
        <w:rPr>
          <w:rFonts w:asciiTheme="minorHAnsi" w:hAnsiTheme="minorHAnsi"/>
        </w:rPr>
        <w:t xml:space="preserve"> </w:t>
      </w:r>
      <w:r w:rsidR="00251F4A">
        <w:rPr>
          <w:rFonts w:asciiTheme="minorHAnsi" w:hAnsiTheme="minorHAnsi"/>
        </w:rPr>
        <w:t xml:space="preserve"> </w:t>
      </w:r>
      <w:r w:rsidR="00CA5788" w:rsidRPr="00B4760B">
        <w:rPr>
          <w:rFonts w:asciiTheme="minorHAnsi" w:hAnsiTheme="minorHAnsi"/>
        </w:rPr>
        <w:t>Contract positions, such as l</w:t>
      </w:r>
      <w:r w:rsidRPr="00B4760B">
        <w:rPr>
          <w:rFonts w:asciiTheme="minorHAnsi" w:hAnsiTheme="minorHAnsi"/>
        </w:rPr>
        <w:t>itigation support</w:t>
      </w:r>
      <w:r w:rsidR="006F203A">
        <w:rPr>
          <w:rFonts w:asciiTheme="minorHAnsi" w:hAnsiTheme="minorHAnsi"/>
        </w:rPr>
        <w:t xml:space="preserve"> paralegals</w:t>
      </w:r>
      <w:r w:rsidR="000A52F3">
        <w:rPr>
          <w:rFonts w:asciiTheme="minorHAnsi" w:hAnsiTheme="minorHAnsi"/>
        </w:rPr>
        <w:t>,</w:t>
      </w:r>
      <w:r w:rsidR="006F203A">
        <w:rPr>
          <w:rFonts w:asciiTheme="minorHAnsi" w:hAnsiTheme="minorHAnsi"/>
        </w:rPr>
        <w:t xml:space="preserve"> </w:t>
      </w:r>
      <w:r w:rsidR="000A52F3">
        <w:rPr>
          <w:rFonts w:asciiTheme="minorHAnsi" w:hAnsiTheme="minorHAnsi"/>
        </w:rPr>
        <w:t>consultants, and</w:t>
      </w:r>
      <w:r w:rsidRPr="00B4760B">
        <w:rPr>
          <w:rFonts w:asciiTheme="minorHAnsi" w:hAnsiTheme="minorHAnsi"/>
        </w:rPr>
        <w:t xml:space="preserve"> IT </w:t>
      </w:r>
      <w:r w:rsidR="000A52F3">
        <w:rPr>
          <w:rFonts w:asciiTheme="minorHAnsi" w:hAnsiTheme="minorHAnsi"/>
        </w:rPr>
        <w:t>professionals,</w:t>
      </w:r>
      <w:r w:rsidRPr="00B4760B">
        <w:rPr>
          <w:rFonts w:asciiTheme="minorHAnsi" w:hAnsiTheme="minorHAnsi"/>
        </w:rPr>
        <w:t xml:space="preserve"> have been severely curtailed and a growing percentage of the Division’s spending is </w:t>
      </w:r>
      <w:r w:rsidR="00B4760B">
        <w:rPr>
          <w:rFonts w:asciiTheme="minorHAnsi" w:hAnsiTheme="minorHAnsi"/>
        </w:rPr>
        <w:t>devoted to</w:t>
      </w:r>
      <w:r w:rsidRPr="00B4760B">
        <w:rPr>
          <w:rFonts w:asciiTheme="minorHAnsi" w:hAnsiTheme="minorHAnsi"/>
        </w:rPr>
        <w:t xml:space="preserve"> personnel and associated overhead costs. </w:t>
      </w:r>
      <w:r w:rsidR="00251F4A">
        <w:rPr>
          <w:rFonts w:asciiTheme="minorHAnsi" w:hAnsiTheme="minorHAnsi"/>
        </w:rPr>
        <w:t xml:space="preserve"> </w:t>
      </w:r>
    </w:p>
    <w:p w:rsidR="00520137" w:rsidRPr="00B4760B" w:rsidRDefault="00520137" w:rsidP="00520137">
      <w:pPr>
        <w:jc w:val="both"/>
        <w:rPr>
          <w:rFonts w:asciiTheme="minorHAnsi" w:hAnsiTheme="minorHAnsi"/>
          <w:b/>
          <w:sz w:val="20"/>
          <w:szCs w:val="20"/>
        </w:rPr>
      </w:pPr>
    </w:p>
    <w:p w:rsidR="00A74E13" w:rsidRPr="00B4760B" w:rsidRDefault="00A74E13" w:rsidP="00A74E13">
      <w:pPr>
        <w:jc w:val="both"/>
        <w:rPr>
          <w:rFonts w:asciiTheme="minorHAnsi" w:hAnsiTheme="minorHAnsi"/>
          <w:b/>
          <w:u w:val="single"/>
        </w:rPr>
      </w:pPr>
      <w:r w:rsidRPr="00B4760B">
        <w:rPr>
          <w:rFonts w:asciiTheme="minorHAnsi" w:hAnsiTheme="minorHAnsi"/>
          <w:b/>
          <w:u w:val="single"/>
        </w:rPr>
        <w:t>Electronic Discovery</w:t>
      </w:r>
    </w:p>
    <w:p w:rsidR="00A74E13" w:rsidRPr="00B4760B" w:rsidRDefault="00A74E13" w:rsidP="00A74E13">
      <w:pPr>
        <w:pStyle w:val="NoSpacing"/>
        <w:jc w:val="both"/>
        <w:rPr>
          <w:sz w:val="24"/>
          <w:szCs w:val="24"/>
        </w:rPr>
      </w:pPr>
      <w:r w:rsidRPr="00B4760B">
        <w:rPr>
          <w:sz w:val="24"/>
          <w:szCs w:val="24"/>
        </w:rPr>
        <w:t xml:space="preserve">The effective management and use of electronic discovery (E-Discovery) is a top priority for the Department. </w:t>
      </w:r>
      <w:r w:rsidR="00251F4A">
        <w:rPr>
          <w:sz w:val="24"/>
          <w:szCs w:val="24"/>
        </w:rPr>
        <w:t xml:space="preserve"> </w:t>
      </w:r>
      <w:r w:rsidRPr="00B4760B">
        <w:rPr>
          <w:sz w:val="24"/>
          <w:szCs w:val="24"/>
        </w:rPr>
        <w:t>From FY 2009 to FY 2010, the Division experienced an unprecedented 300 percent increase in the amount of electronic information receive</w:t>
      </w:r>
      <w:r w:rsidR="006040B5">
        <w:rPr>
          <w:sz w:val="24"/>
          <w:szCs w:val="24"/>
        </w:rPr>
        <w:t xml:space="preserve">d, straining base resources </w:t>
      </w:r>
      <w:r w:rsidRPr="00B4760B">
        <w:rPr>
          <w:sz w:val="24"/>
          <w:szCs w:val="24"/>
        </w:rPr>
        <w:t>dedicat</w:t>
      </w:r>
      <w:r w:rsidR="006040B5">
        <w:rPr>
          <w:sz w:val="24"/>
          <w:szCs w:val="24"/>
        </w:rPr>
        <w:t>ed</w:t>
      </w:r>
      <w:r w:rsidRPr="00B4760B">
        <w:rPr>
          <w:sz w:val="24"/>
          <w:szCs w:val="24"/>
        </w:rPr>
        <w:t xml:space="preserve"> to discovery activities. </w:t>
      </w:r>
      <w:r w:rsidR="00251F4A">
        <w:rPr>
          <w:sz w:val="24"/>
          <w:szCs w:val="24"/>
        </w:rPr>
        <w:t xml:space="preserve"> </w:t>
      </w:r>
      <w:r w:rsidRPr="00B4760B">
        <w:rPr>
          <w:sz w:val="24"/>
          <w:szCs w:val="24"/>
        </w:rPr>
        <w:t xml:space="preserve">Of deep concern is the fact that the litigation landscape has shifted drastically with changes in law and the explosion of technology. </w:t>
      </w:r>
      <w:r w:rsidR="00251F4A">
        <w:rPr>
          <w:sz w:val="24"/>
          <w:szCs w:val="24"/>
        </w:rPr>
        <w:t xml:space="preserve"> </w:t>
      </w:r>
      <w:r w:rsidRPr="00B4760B">
        <w:rPr>
          <w:sz w:val="24"/>
          <w:szCs w:val="24"/>
        </w:rPr>
        <w:t>The reality is that evide</w:t>
      </w:r>
      <w:r w:rsidR="00251F4A">
        <w:rPr>
          <w:sz w:val="24"/>
          <w:szCs w:val="24"/>
        </w:rPr>
        <w:t>nce is no longer in paper form; i</w:t>
      </w:r>
      <w:r w:rsidRPr="00B4760B">
        <w:rPr>
          <w:sz w:val="24"/>
          <w:szCs w:val="24"/>
        </w:rPr>
        <w:t xml:space="preserve">t is found in e-mail, websites, databases, phones, and computer back-up tapes. </w:t>
      </w:r>
      <w:r w:rsidR="00251F4A">
        <w:rPr>
          <w:sz w:val="24"/>
          <w:szCs w:val="24"/>
        </w:rPr>
        <w:t xml:space="preserve"> </w:t>
      </w:r>
      <w:r w:rsidRPr="00B4760B">
        <w:rPr>
          <w:sz w:val="24"/>
          <w:szCs w:val="24"/>
        </w:rPr>
        <w:t xml:space="preserve">Specialized tools are needed, as cheaper discovery options are </w:t>
      </w:r>
      <w:r w:rsidR="00CA5788" w:rsidRPr="00B4760B">
        <w:rPr>
          <w:sz w:val="24"/>
          <w:szCs w:val="24"/>
        </w:rPr>
        <w:t xml:space="preserve">prohibited </w:t>
      </w:r>
      <w:r w:rsidRPr="00B4760B">
        <w:rPr>
          <w:sz w:val="24"/>
          <w:szCs w:val="24"/>
        </w:rPr>
        <w:t>or useless in many instances.</w:t>
      </w:r>
      <w:r w:rsidR="00251F4A">
        <w:rPr>
          <w:sz w:val="24"/>
          <w:szCs w:val="24"/>
        </w:rPr>
        <w:t xml:space="preserve"> </w:t>
      </w:r>
      <w:r w:rsidRPr="00B4760B">
        <w:rPr>
          <w:sz w:val="24"/>
          <w:szCs w:val="24"/>
        </w:rPr>
        <w:t xml:space="preserve"> The result is that parties must engage in expensive technological exercises or suffer the expensive legal and financial ramifi</w:t>
      </w:r>
      <w:r w:rsidR="006040B5">
        <w:rPr>
          <w:sz w:val="24"/>
          <w:szCs w:val="24"/>
        </w:rPr>
        <w:t xml:space="preserve">cations for failing to comply.  </w:t>
      </w:r>
    </w:p>
    <w:p w:rsidR="00A74E13" w:rsidRPr="00251F4A" w:rsidRDefault="00A74E13" w:rsidP="00520137">
      <w:pPr>
        <w:jc w:val="both"/>
        <w:rPr>
          <w:rFonts w:ascii="Calibri" w:hAnsi="Calibri"/>
          <w:b/>
          <w:bCs/>
          <w:color w:val="632423"/>
          <w:sz w:val="20"/>
          <w:szCs w:val="20"/>
        </w:rPr>
      </w:pPr>
    </w:p>
    <w:p w:rsidR="00520137" w:rsidRDefault="00520137" w:rsidP="00520137">
      <w:pPr>
        <w:jc w:val="both"/>
        <w:rPr>
          <w:rFonts w:ascii="Calibri" w:hAnsi="Calibri"/>
          <w:b/>
          <w:bCs/>
          <w:color w:val="632423"/>
          <w:sz w:val="28"/>
          <w:szCs w:val="28"/>
        </w:rPr>
      </w:pPr>
      <w:r>
        <w:rPr>
          <w:rFonts w:ascii="Calibri" w:hAnsi="Calibri"/>
          <w:b/>
          <w:bCs/>
          <w:color w:val="632423"/>
          <w:sz w:val="28"/>
          <w:szCs w:val="28"/>
        </w:rPr>
        <w:lastRenderedPageBreak/>
        <w:t>Environmental Accountability:</w:t>
      </w:r>
    </w:p>
    <w:p w:rsidR="00520137" w:rsidRPr="00A81FB4" w:rsidRDefault="00520137" w:rsidP="00520137">
      <w:pPr>
        <w:jc w:val="both"/>
        <w:rPr>
          <w:rFonts w:ascii="Calibri" w:hAnsi="Calibri"/>
          <w:color w:val="632423"/>
          <w:sz w:val="20"/>
          <w:szCs w:val="20"/>
        </w:rPr>
      </w:pPr>
    </w:p>
    <w:p w:rsidR="00520137" w:rsidRDefault="00520137" w:rsidP="00520137">
      <w:pPr>
        <w:jc w:val="both"/>
        <w:rPr>
          <w:rFonts w:ascii="Calibri" w:hAnsi="Calibri"/>
        </w:rPr>
      </w:pPr>
      <w:r>
        <w:rPr>
          <w:rFonts w:ascii="Calibri" w:hAnsi="Calibri"/>
        </w:rPr>
        <w:t>The Division is actively working toward meeting all Administration and Department guidelines for improving environ</w:t>
      </w:r>
      <w:r w:rsidR="002150F2">
        <w:rPr>
          <w:rFonts w:ascii="Calibri" w:hAnsi="Calibri"/>
        </w:rPr>
        <w:t xml:space="preserve">mental and energy performance. </w:t>
      </w:r>
      <w:r w:rsidR="00251F4A">
        <w:rPr>
          <w:rFonts w:ascii="Calibri" w:hAnsi="Calibri"/>
        </w:rPr>
        <w:t xml:space="preserve"> </w:t>
      </w:r>
      <w:r>
        <w:rPr>
          <w:rFonts w:ascii="Calibri" w:hAnsi="Calibri"/>
        </w:rPr>
        <w:t>As outlined in the Department’s Power Management Policy Recommendations and Executive Order 134234, the Division is moving toward full compliance with efforts to achieve reductions in greenhouse gas emissions, acquire green products and services, and establish cost-effective waste prevention and recycling programs.</w:t>
      </w:r>
      <w:r>
        <w:rPr>
          <w:rStyle w:val="FootnoteReference"/>
          <w:rFonts w:ascii="Calibri" w:hAnsi="Calibri"/>
        </w:rPr>
        <w:footnoteReference w:id="2"/>
      </w:r>
    </w:p>
    <w:p w:rsidR="00520137" w:rsidRPr="00A81FB4" w:rsidRDefault="00520137" w:rsidP="00520137">
      <w:pPr>
        <w:jc w:val="both"/>
        <w:rPr>
          <w:rFonts w:ascii="Calibri" w:hAnsi="Calibri"/>
          <w:sz w:val="20"/>
          <w:szCs w:val="20"/>
        </w:rPr>
      </w:pPr>
    </w:p>
    <w:p w:rsidR="00520137" w:rsidRDefault="00520137" w:rsidP="00520137">
      <w:pPr>
        <w:jc w:val="both"/>
        <w:rPr>
          <w:rFonts w:ascii="Calibri" w:hAnsi="Calibri"/>
        </w:rPr>
      </w:pPr>
      <w:r>
        <w:rPr>
          <w:rFonts w:ascii="Calibri" w:hAnsi="Calibri"/>
        </w:rPr>
        <w:t xml:space="preserve">The Division is in the process of implementing an organizational environmental system by the end of FY 2011 in accordance with the schedule </w:t>
      </w:r>
      <w:r w:rsidR="002150F2">
        <w:rPr>
          <w:rFonts w:ascii="Calibri" w:hAnsi="Calibri"/>
        </w:rPr>
        <w:t xml:space="preserve">established by the Department. </w:t>
      </w:r>
      <w:r w:rsidR="00251F4A">
        <w:rPr>
          <w:rFonts w:ascii="Calibri" w:hAnsi="Calibri"/>
        </w:rPr>
        <w:t xml:space="preserve"> </w:t>
      </w:r>
      <w:r>
        <w:rPr>
          <w:rFonts w:ascii="Calibri" w:hAnsi="Calibri"/>
        </w:rPr>
        <w:t xml:space="preserve">Some examples of the Division’s environmentally sound practices include:  </w:t>
      </w:r>
    </w:p>
    <w:p w:rsidR="00520137" w:rsidRPr="00A81FB4" w:rsidRDefault="00520137" w:rsidP="00520137">
      <w:pPr>
        <w:jc w:val="both"/>
        <w:rPr>
          <w:rFonts w:ascii="Calibri" w:hAnsi="Calibri"/>
          <w:sz w:val="20"/>
          <w:szCs w:val="20"/>
        </w:rPr>
      </w:pPr>
    </w:p>
    <w:p w:rsidR="00520137" w:rsidRDefault="00520137" w:rsidP="00520137">
      <w:pPr>
        <w:pStyle w:val="ListParagraph"/>
        <w:numPr>
          <w:ilvl w:val="0"/>
          <w:numId w:val="15"/>
        </w:numPr>
        <w:jc w:val="both"/>
        <w:rPr>
          <w:rFonts w:ascii="Calibri" w:hAnsi="Calibri"/>
        </w:rPr>
      </w:pPr>
      <w:r>
        <w:rPr>
          <w:rFonts w:ascii="Calibri" w:hAnsi="Calibri"/>
        </w:rPr>
        <w:t>using the conference call and teleconferencing options to reduce travel;</w:t>
      </w:r>
    </w:p>
    <w:p w:rsidR="00520137" w:rsidRPr="006A4680" w:rsidRDefault="00520137" w:rsidP="00520137">
      <w:pPr>
        <w:pStyle w:val="ListParagraph"/>
        <w:numPr>
          <w:ilvl w:val="0"/>
          <w:numId w:val="15"/>
        </w:numPr>
        <w:jc w:val="both"/>
        <w:rPr>
          <w:rFonts w:ascii="Calibri" w:hAnsi="Calibri"/>
        </w:rPr>
      </w:pPr>
      <w:r>
        <w:rPr>
          <w:rFonts w:ascii="Calibri" w:hAnsi="Calibri"/>
        </w:rPr>
        <w:t>expanding the recycling program in each of its buildings;</w:t>
      </w:r>
    </w:p>
    <w:p w:rsidR="00520137" w:rsidRDefault="00520137" w:rsidP="00520137">
      <w:pPr>
        <w:pStyle w:val="ListParagraph"/>
        <w:numPr>
          <w:ilvl w:val="0"/>
          <w:numId w:val="15"/>
        </w:numPr>
        <w:jc w:val="both"/>
        <w:rPr>
          <w:rFonts w:ascii="Calibri" w:hAnsi="Calibri"/>
        </w:rPr>
      </w:pPr>
      <w:r>
        <w:rPr>
          <w:rFonts w:ascii="Calibri" w:hAnsi="Calibri"/>
        </w:rPr>
        <w:t>installing motion detector light controls in re</w:t>
      </w:r>
      <w:r w:rsidR="007E5606">
        <w:rPr>
          <w:rFonts w:ascii="Calibri" w:hAnsi="Calibri"/>
        </w:rPr>
        <w:t>strooms and parking garages;</w:t>
      </w:r>
      <w:r>
        <w:rPr>
          <w:rFonts w:ascii="Calibri" w:hAnsi="Calibri"/>
        </w:rPr>
        <w:t xml:space="preserve"> </w:t>
      </w:r>
    </w:p>
    <w:p w:rsidR="00520137" w:rsidRDefault="00520137" w:rsidP="00520137">
      <w:pPr>
        <w:pStyle w:val="ListParagraph"/>
        <w:numPr>
          <w:ilvl w:val="0"/>
          <w:numId w:val="15"/>
        </w:numPr>
        <w:jc w:val="both"/>
        <w:rPr>
          <w:rFonts w:ascii="Calibri" w:hAnsi="Calibri"/>
        </w:rPr>
      </w:pPr>
      <w:r>
        <w:rPr>
          <w:rFonts w:ascii="Calibri" w:hAnsi="Calibri"/>
        </w:rPr>
        <w:t>re-lamping office space</w:t>
      </w:r>
      <w:r w:rsidR="006040B5">
        <w:rPr>
          <w:rFonts w:ascii="Calibri" w:hAnsi="Calibri"/>
        </w:rPr>
        <w:t>s with 25 watt “green” lighting;</w:t>
      </w:r>
      <w:r w:rsidR="007E5606">
        <w:rPr>
          <w:rFonts w:ascii="Calibri" w:hAnsi="Calibri"/>
        </w:rPr>
        <w:t xml:space="preserve"> and</w:t>
      </w:r>
    </w:p>
    <w:p w:rsidR="006040B5" w:rsidRPr="007E60B6" w:rsidRDefault="006040B5" w:rsidP="00520137">
      <w:pPr>
        <w:pStyle w:val="ListParagraph"/>
        <w:numPr>
          <w:ilvl w:val="0"/>
          <w:numId w:val="15"/>
        </w:numPr>
        <w:jc w:val="both"/>
        <w:rPr>
          <w:rFonts w:ascii="Calibri" w:hAnsi="Calibri"/>
        </w:rPr>
      </w:pPr>
      <w:r w:rsidRPr="007E60B6">
        <w:rPr>
          <w:rFonts w:ascii="Calibri" w:hAnsi="Calibri"/>
        </w:rPr>
        <w:t xml:space="preserve">reducing </w:t>
      </w:r>
      <w:r w:rsidR="007E60B6" w:rsidRPr="007E60B6">
        <w:rPr>
          <w:rFonts w:ascii="Calibri" w:hAnsi="Calibri"/>
        </w:rPr>
        <w:t xml:space="preserve">overtime use of heating </w:t>
      </w:r>
      <w:r w:rsidR="007E60B6">
        <w:rPr>
          <w:rFonts w:ascii="Calibri" w:hAnsi="Calibri"/>
        </w:rPr>
        <w:t xml:space="preserve">and </w:t>
      </w:r>
      <w:r w:rsidR="007E60B6" w:rsidRPr="007E60B6">
        <w:rPr>
          <w:rFonts w:ascii="Calibri" w:hAnsi="Calibri"/>
        </w:rPr>
        <w:t>air conditioning</w:t>
      </w:r>
      <w:r w:rsidR="007E60B6">
        <w:rPr>
          <w:rFonts w:ascii="Calibri" w:hAnsi="Calibri"/>
        </w:rPr>
        <w:t>.</w:t>
      </w:r>
    </w:p>
    <w:p w:rsidR="00520137" w:rsidRPr="007214FD" w:rsidRDefault="00520137" w:rsidP="00520137">
      <w:pPr>
        <w:jc w:val="both"/>
        <w:rPr>
          <w:rFonts w:ascii="Calibri" w:hAnsi="Calibri"/>
        </w:rPr>
      </w:pPr>
    </w:p>
    <w:p w:rsidR="00520137" w:rsidRDefault="00520137" w:rsidP="00520137">
      <w:pPr>
        <w:widowControl w:val="0"/>
        <w:jc w:val="both"/>
        <w:rPr>
          <w:rFonts w:ascii="Calibri" w:hAnsi="Calibri"/>
        </w:rPr>
      </w:pPr>
    </w:p>
    <w:p w:rsidR="00520137" w:rsidRPr="00E96C65" w:rsidRDefault="00520137" w:rsidP="00520137">
      <w:pPr>
        <w:widowControl w:val="0"/>
        <w:rPr>
          <w:rFonts w:ascii="Calibri" w:hAnsi="Calibri"/>
        </w:rPr>
      </w:pPr>
      <w:r>
        <w:rPr>
          <w:rFonts w:asciiTheme="minorHAnsi" w:hAnsiTheme="minorHAnsi"/>
          <w:b/>
          <w:sz w:val="36"/>
          <w:szCs w:val="36"/>
        </w:rPr>
        <w:br w:type="page"/>
      </w:r>
    </w:p>
    <w:p w:rsidR="00520137" w:rsidRPr="00AA41A6" w:rsidRDefault="00520137" w:rsidP="00520137">
      <w:pPr>
        <w:widowControl w:val="0"/>
        <w:jc w:val="center"/>
        <w:rPr>
          <w:rFonts w:asciiTheme="minorHAnsi" w:hAnsiTheme="minorHAnsi"/>
          <w:b/>
          <w:sz w:val="36"/>
          <w:szCs w:val="36"/>
        </w:rPr>
      </w:pPr>
      <w:r w:rsidRPr="00AA41A6">
        <w:rPr>
          <w:rFonts w:asciiTheme="minorHAnsi" w:hAnsiTheme="minorHAnsi"/>
          <w:b/>
          <w:sz w:val="36"/>
          <w:szCs w:val="36"/>
        </w:rPr>
        <w:lastRenderedPageBreak/>
        <w:t>Summary of Program Changes</w:t>
      </w:r>
    </w:p>
    <w:tbl>
      <w:tblPr>
        <w:tblpPr w:leftFromText="180" w:rightFromText="180" w:vertAnchor="text" w:horzAnchor="margin" w:tblpY="359"/>
        <w:tblW w:w="95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006699"/>
        <w:tblLook w:val="01E0" w:firstRow="1" w:lastRow="1" w:firstColumn="1" w:lastColumn="1" w:noHBand="0" w:noVBand="0"/>
      </w:tblPr>
      <w:tblGrid>
        <w:gridCol w:w="3780"/>
        <w:gridCol w:w="1260"/>
        <w:gridCol w:w="1260"/>
        <w:gridCol w:w="2314"/>
        <w:gridCol w:w="926"/>
      </w:tblGrid>
      <w:tr w:rsidR="00520137" w:rsidRPr="00AA41A6" w:rsidTr="00BB214A">
        <w:trPr>
          <w:trHeight w:val="647"/>
        </w:trPr>
        <w:tc>
          <w:tcPr>
            <w:tcW w:w="9540" w:type="dxa"/>
            <w:gridSpan w:val="5"/>
            <w:shd w:val="clear" w:color="auto" w:fill="632423" w:themeFill="accent2" w:themeFillShade="80"/>
            <w:vAlign w:val="center"/>
          </w:tcPr>
          <w:p w:rsidR="00520137" w:rsidRPr="00AA41A6" w:rsidRDefault="00B408CF" w:rsidP="00BB214A">
            <w:pPr>
              <w:jc w:val="center"/>
              <w:rPr>
                <w:rFonts w:asciiTheme="minorHAnsi" w:hAnsiTheme="minorHAnsi"/>
                <w:b/>
                <w:bCs/>
                <w:color w:val="FFFFFF"/>
                <w:sz w:val="26"/>
                <w:szCs w:val="26"/>
              </w:rPr>
            </w:pPr>
            <w:r w:rsidRPr="00AA41A6">
              <w:rPr>
                <w:rFonts w:asciiTheme="minorHAnsi" w:hAnsiTheme="minorHAnsi"/>
                <w:b/>
                <w:color w:val="FFFFFF"/>
                <w:lang w:val="en-CA"/>
              </w:rPr>
              <w:fldChar w:fldCharType="begin"/>
            </w:r>
            <w:r w:rsidR="00520137" w:rsidRPr="00AA41A6">
              <w:rPr>
                <w:rFonts w:asciiTheme="minorHAnsi" w:hAnsiTheme="minorHAnsi"/>
                <w:b/>
                <w:color w:val="FFFFFF"/>
                <w:lang w:val="en-CA"/>
              </w:rPr>
              <w:instrText xml:space="preserve"> SEQ CHAPTER \h \r 1</w:instrText>
            </w:r>
            <w:r w:rsidRPr="00AA41A6">
              <w:rPr>
                <w:rFonts w:asciiTheme="minorHAnsi" w:hAnsiTheme="minorHAnsi"/>
                <w:b/>
                <w:color w:val="FFFFFF"/>
                <w:lang w:val="en-CA"/>
              </w:rPr>
              <w:fldChar w:fldCharType="end"/>
            </w:r>
            <w:r w:rsidR="00520137">
              <w:rPr>
                <w:rFonts w:asciiTheme="minorHAnsi" w:hAnsiTheme="minorHAnsi"/>
                <w:b/>
                <w:bCs/>
                <w:color w:val="FFFFFF"/>
                <w:sz w:val="26"/>
                <w:szCs w:val="26"/>
              </w:rPr>
              <w:t>Proposed FY 2012</w:t>
            </w:r>
            <w:r w:rsidR="00520137" w:rsidRPr="00AA41A6">
              <w:rPr>
                <w:rFonts w:asciiTheme="minorHAnsi" w:hAnsiTheme="minorHAnsi"/>
                <w:b/>
                <w:bCs/>
                <w:color w:val="FFFFFF"/>
                <w:sz w:val="26"/>
                <w:szCs w:val="26"/>
              </w:rPr>
              <w:t xml:space="preserve"> Program Changes</w:t>
            </w:r>
          </w:p>
          <w:p w:rsidR="00520137" w:rsidRPr="00AA41A6" w:rsidRDefault="00520137" w:rsidP="00BB214A">
            <w:pPr>
              <w:jc w:val="center"/>
              <w:rPr>
                <w:rFonts w:asciiTheme="minorHAnsi" w:hAnsiTheme="minorHAnsi"/>
              </w:rPr>
            </w:pPr>
            <w:r w:rsidRPr="00AA41A6">
              <w:rPr>
                <w:rFonts w:asciiTheme="minorHAnsi" w:hAnsiTheme="minorHAnsi"/>
                <w:b/>
                <w:bCs/>
                <w:color w:val="FFFFFF"/>
                <w:sz w:val="26"/>
                <w:szCs w:val="26"/>
              </w:rPr>
              <w:t>GLA Appropriation</w:t>
            </w:r>
          </w:p>
        </w:tc>
      </w:tr>
      <w:tr w:rsidR="00520137" w:rsidRPr="00AA41A6" w:rsidTr="00BB214A">
        <w:trPr>
          <w:trHeight w:val="350"/>
        </w:trPr>
        <w:tc>
          <w:tcPr>
            <w:tcW w:w="3780" w:type="dxa"/>
            <w:shd w:val="clear" w:color="auto" w:fill="auto"/>
            <w:vAlign w:val="center"/>
          </w:tcPr>
          <w:p w:rsidR="00520137" w:rsidRPr="00AA41A6" w:rsidRDefault="00520137" w:rsidP="00BB214A">
            <w:pPr>
              <w:jc w:val="center"/>
              <w:rPr>
                <w:rFonts w:asciiTheme="minorHAnsi" w:hAnsiTheme="minorHAnsi"/>
                <w:b/>
              </w:rPr>
            </w:pPr>
            <w:r w:rsidRPr="00AA41A6">
              <w:rPr>
                <w:rFonts w:asciiTheme="minorHAnsi" w:hAnsiTheme="minorHAnsi"/>
                <w:b/>
              </w:rPr>
              <w:t>Item Name</w:t>
            </w:r>
          </w:p>
        </w:tc>
        <w:tc>
          <w:tcPr>
            <w:tcW w:w="1260" w:type="dxa"/>
            <w:shd w:val="clear" w:color="auto" w:fill="auto"/>
            <w:vAlign w:val="center"/>
          </w:tcPr>
          <w:p w:rsidR="00520137" w:rsidRPr="00AA41A6" w:rsidRDefault="00520137" w:rsidP="00BB214A">
            <w:pPr>
              <w:jc w:val="center"/>
              <w:rPr>
                <w:rFonts w:asciiTheme="minorHAnsi" w:hAnsiTheme="minorHAnsi"/>
                <w:b/>
              </w:rPr>
            </w:pPr>
            <w:r w:rsidRPr="00AA41A6">
              <w:rPr>
                <w:rFonts w:asciiTheme="minorHAnsi" w:hAnsiTheme="minorHAnsi"/>
                <w:b/>
              </w:rPr>
              <w:t>Pos.</w:t>
            </w:r>
          </w:p>
        </w:tc>
        <w:tc>
          <w:tcPr>
            <w:tcW w:w="1260" w:type="dxa"/>
            <w:shd w:val="clear" w:color="auto" w:fill="auto"/>
            <w:vAlign w:val="center"/>
          </w:tcPr>
          <w:p w:rsidR="00520137" w:rsidRPr="00AA41A6" w:rsidRDefault="00520137" w:rsidP="00BB214A">
            <w:pPr>
              <w:jc w:val="center"/>
              <w:rPr>
                <w:rFonts w:asciiTheme="minorHAnsi" w:hAnsiTheme="minorHAnsi"/>
                <w:b/>
              </w:rPr>
            </w:pPr>
            <w:r w:rsidRPr="00AA41A6">
              <w:rPr>
                <w:rFonts w:asciiTheme="minorHAnsi" w:hAnsiTheme="minorHAnsi"/>
                <w:b/>
              </w:rPr>
              <w:t>FTE</w:t>
            </w:r>
          </w:p>
        </w:tc>
        <w:tc>
          <w:tcPr>
            <w:tcW w:w="2314" w:type="dxa"/>
            <w:shd w:val="clear" w:color="auto" w:fill="auto"/>
            <w:vAlign w:val="center"/>
          </w:tcPr>
          <w:p w:rsidR="00520137" w:rsidRPr="00AA41A6" w:rsidRDefault="00520137" w:rsidP="00BB214A">
            <w:pPr>
              <w:jc w:val="center"/>
              <w:rPr>
                <w:rFonts w:asciiTheme="minorHAnsi" w:hAnsiTheme="minorHAnsi"/>
                <w:b/>
              </w:rPr>
            </w:pPr>
            <w:r w:rsidRPr="00AA41A6">
              <w:rPr>
                <w:rFonts w:asciiTheme="minorHAnsi" w:hAnsiTheme="minorHAnsi"/>
                <w:b/>
              </w:rPr>
              <w:t>Dollars ($000)</w:t>
            </w:r>
          </w:p>
        </w:tc>
        <w:tc>
          <w:tcPr>
            <w:tcW w:w="926" w:type="dxa"/>
            <w:shd w:val="clear" w:color="auto" w:fill="auto"/>
            <w:vAlign w:val="center"/>
          </w:tcPr>
          <w:p w:rsidR="00520137" w:rsidRPr="00AA41A6" w:rsidRDefault="00520137" w:rsidP="00BB214A">
            <w:pPr>
              <w:jc w:val="center"/>
              <w:rPr>
                <w:rFonts w:asciiTheme="minorHAnsi" w:hAnsiTheme="minorHAnsi"/>
                <w:b/>
              </w:rPr>
            </w:pPr>
            <w:r w:rsidRPr="00AA41A6">
              <w:rPr>
                <w:rFonts w:asciiTheme="minorHAnsi" w:hAnsiTheme="minorHAnsi"/>
                <w:b/>
              </w:rPr>
              <w:t>Page</w:t>
            </w:r>
          </w:p>
        </w:tc>
      </w:tr>
      <w:tr w:rsidR="00520137" w:rsidRPr="00AA41A6" w:rsidTr="00BB214A">
        <w:trPr>
          <w:trHeight w:val="341"/>
        </w:trPr>
        <w:tc>
          <w:tcPr>
            <w:tcW w:w="3780" w:type="dxa"/>
            <w:shd w:val="clear" w:color="auto" w:fill="auto"/>
            <w:vAlign w:val="center"/>
          </w:tcPr>
          <w:p w:rsidR="00520137" w:rsidRPr="00AA41A6" w:rsidRDefault="00520137" w:rsidP="00BB214A">
            <w:pPr>
              <w:rPr>
                <w:rFonts w:asciiTheme="minorHAnsi" w:hAnsiTheme="minorHAnsi"/>
              </w:rPr>
            </w:pPr>
            <w:r w:rsidRPr="00AA41A6">
              <w:rPr>
                <w:rFonts w:asciiTheme="minorHAnsi" w:hAnsiTheme="minorHAnsi"/>
              </w:rPr>
              <w:t>Administrative Efficiencies</w:t>
            </w:r>
          </w:p>
        </w:tc>
        <w:tc>
          <w:tcPr>
            <w:tcW w:w="1260" w:type="dxa"/>
            <w:shd w:val="clear" w:color="auto" w:fill="auto"/>
          </w:tcPr>
          <w:p w:rsidR="00520137" w:rsidRPr="00AA41A6" w:rsidRDefault="00520137" w:rsidP="00BB214A">
            <w:pPr>
              <w:jc w:val="center"/>
              <w:rPr>
                <w:rFonts w:asciiTheme="minorHAnsi" w:hAnsiTheme="minorHAnsi"/>
              </w:rPr>
            </w:pPr>
            <w:r w:rsidRPr="00AA41A6">
              <w:rPr>
                <w:rFonts w:asciiTheme="minorHAnsi" w:hAnsiTheme="minorHAnsi"/>
              </w:rPr>
              <w:t>0</w:t>
            </w:r>
          </w:p>
        </w:tc>
        <w:tc>
          <w:tcPr>
            <w:tcW w:w="1260" w:type="dxa"/>
            <w:shd w:val="clear" w:color="auto" w:fill="auto"/>
          </w:tcPr>
          <w:p w:rsidR="00520137" w:rsidRPr="00AA41A6" w:rsidRDefault="00520137" w:rsidP="00BB214A">
            <w:pPr>
              <w:jc w:val="center"/>
              <w:rPr>
                <w:rFonts w:asciiTheme="minorHAnsi" w:hAnsiTheme="minorHAnsi"/>
              </w:rPr>
            </w:pPr>
            <w:r w:rsidRPr="00AA41A6">
              <w:rPr>
                <w:rFonts w:asciiTheme="minorHAnsi" w:hAnsiTheme="minorHAnsi"/>
              </w:rPr>
              <w:t>0</w:t>
            </w:r>
          </w:p>
        </w:tc>
        <w:tc>
          <w:tcPr>
            <w:tcW w:w="2314" w:type="dxa"/>
            <w:shd w:val="clear" w:color="auto" w:fill="auto"/>
          </w:tcPr>
          <w:p w:rsidR="00520137" w:rsidRPr="00AA41A6" w:rsidRDefault="00520137" w:rsidP="00BB214A">
            <w:pPr>
              <w:jc w:val="center"/>
              <w:rPr>
                <w:rFonts w:asciiTheme="minorHAnsi" w:hAnsiTheme="minorHAnsi"/>
              </w:rPr>
            </w:pPr>
            <w:r w:rsidRPr="00AA41A6">
              <w:rPr>
                <w:rFonts w:asciiTheme="minorHAnsi" w:hAnsiTheme="minorHAnsi"/>
              </w:rPr>
              <w:t>($264)</w:t>
            </w:r>
          </w:p>
        </w:tc>
        <w:tc>
          <w:tcPr>
            <w:tcW w:w="926" w:type="dxa"/>
            <w:shd w:val="clear" w:color="auto" w:fill="auto"/>
          </w:tcPr>
          <w:p w:rsidR="00520137" w:rsidRPr="001E6656" w:rsidRDefault="00CA5788" w:rsidP="00BB214A">
            <w:pPr>
              <w:jc w:val="center"/>
              <w:rPr>
                <w:rFonts w:asciiTheme="minorHAnsi" w:hAnsiTheme="minorHAnsi"/>
              </w:rPr>
            </w:pPr>
            <w:r>
              <w:rPr>
                <w:rFonts w:asciiTheme="minorHAnsi" w:hAnsiTheme="minorHAnsi"/>
              </w:rPr>
              <w:t>2</w:t>
            </w:r>
            <w:r w:rsidR="00EC5BE8">
              <w:rPr>
                <w:rFonts w:asciiTheme="minorHAnsi" w:hAnsiTheme="minorHAnsi"/>
              </w:rPr>
              <w:t>7</w:t>
            </w:r>
          </w:p>
        </w:tc>
      </w:tr>
      <w:tr w:rsidR="00520137" w:rsidRPr="00AA41A6" w:rsidTr="00BB214A">
        <w:trPr>
          <w:trHeight w:val="341"/>
        </w:trPr>
        <w:tc>
          <w:tcPr>
            <w:tcW w:w="3780" w:type="dxa"/>
            <w:shd w:val="clear" w:color="auto" w:fill="auto"/>
            <w:vAlign w:val="center"/>
          </w:tcPr>
          <w:p w:rsidR="00520137" w:rsidRPr="00AA41A6" w:rsidRDefault="00520137" w:rsidP="00BB214A">
            <w:pPr>
              <w:rPr>
                <w:rFonts w:asciiTheme="minorHAnsi" w:hAnsiTheme="minorHAnsi"/>
              </w:rPr>
            </w:pPr>
            <w:r w:rsidRPr="00AA41A6">
              <w:rPr>
                <w:rFonts w:asciiTheme="minorHAnsi" w:hAnsiTheme="minorHAnsi"/>
              </w:rPr>
              <w:t>Technology Refresh</w:t>
            </w:r>
          </w:p>
        </w:tc>
        <w:tc>
          <w:tcPr>
            <w:tcW w:w="1260" w:type="dxa"/>
            <w:shd w:val="clear" w:color="auto" w:fill="auto"/>
          </w:tcPr>
          <w:p w:rsidR="00520137" w:rsidRPr="00AA41A6" w:rsidRDefault="00520137" w:rsidP="00BB214A">
            <w:pPr>
              <w:jc w:val="center"/>
              <w:rPr>
                <w:rFonts w:asciiTheme="minorHAnsi" w:hAnsiTheme="minorHAnsi"/>
              </w:rPr>
            </w:pPr>
            <w:r w:rsidRPr="00AA41A6">
              <w:rPr>
                <w:rFonts w:asciiTheme="minorHAnsi" w:hAnsiTheme="minorHAnsi"/>
              </w:rPr>
              <w:t>0</w:t>
            </w:r>
          </w:p>
        </w:tc>
        <w:tc>
          <w:tcPr>
            <w:tcW w:w="1260" w:type="dxa"/>
            <w:shd w:val="clear" w:color="auto" w:fill="auto"/>
          </w:tcPr>
          <w:p w:rsidR="00520137" w:rsidRPr="00AA41A6" w:rsidRDefault="00520137" w:rsidP="00BB214A">
            <w:pPr>
              <w:jc w:val="center"/>
              <w:rPr>
                <w:rFonts w:asciiTheme="minorHAnsi" w:hAnsiTheme="minorHAnsi"/>
              </w:rPr>
            </w:pPr>
            <w:r w:rsidRPr="00AA41A6">
              <w:rPr>
                <w:rFonts w:asciiTheme="minorHAnsi" w:hAnsiTheme="minorHAnsi"/>
              </w:rPr>
              <w:t>0</w:t>
            </w:r>
          </w:p>
        </w:tc>
        <w:tc>
          <w:tcPr>
            <w:tcW w:w="2314" w:type="dxa"/>
            <w:shd w:val="clear" w:color="auto" w:fill="auto"/>
          </w:tcPr>
          <w:p w:rsidR="00520137" w:rsidRPr="00AA41A6" w:rsidRDefault="00520137" w:rsidP="00BB214A">
            <w:pPr>
              <w:jc w:val="center"/>
              <w:rPr>
                <w:rFonts w:asciiTheme="minorHAnsi" w:hAnsiTheme="minorHAnsi"/>
              </w:rPr>
            </w:pPr>
            <w:r w:rsidRPr="00AA41A6">
              <w:rPr>
                <w:rFonts w:asciiTheme="minorHAnsi" w:hAnsiTheme="minorHAnsi"/>
              </w:rPr>
              <w:t>($120)</w:t>
            </w:r>
          </w:p>
        </w:tc>
        <w:tc>
          <w:tcPr>
            <w:tcW w:w="926" w:type="dxa"/>
            <w:shd w:val="clear" w:color="auto" w:fill="auto"/>
          </w:tcPr>
          <w:p w:rsidR="00520137" w:rsidRPr="001E6656" w:rsidRDefault="00CA5788" w:rsidP="00BB214A">
            <w:pPr>
              <w:jc w:val="center"/>
              <w:rPr>
                <w:rFonts w:asciiTheme="minorHAnsi" w:hAnsiTheme="minorHAnsi"/>
              </w:rPr>
            </w:pPr>
            <w:r>
              <w:rPr>
                <w:rFonts w:asciiTheme="minorHAnsi" w:hAnsiTheme="minorHAnsi"/>
              </w:rPr>
              <w:t>2</w:t>
            </w:r>
            <w:r w:rsidR="00EC5BE8">
              <w:rPr>
                <w:rFonts w:asciiTheme="minorHAnsi" w:hAnsiTheme="minorHAnsi"/>
              </w:rPr>
              <w:t>7</w:t>
            </w:r>
          </w:p>
        </w:tc>
      </w:tr>
      <w:tr w:rsidR="00520137" w:rsidRPr="00AA41A6" w:rsidTr="00BB214A">
        <w:trPr>
          <w:trHeight w:val="341"/>
        </w:trPr>
        <w:tc>
          <w:tcPr>
            <w:tcW w:w="3780" w:type="dxa"/>
            <w:shd w:val="clear" w:color="auto" w:fill="632423" w:themeFill="accent2" w:themeFillShade="80"/>
            <w:vAlign w:val="center"/>
          </w:tcPr>
          <w:p w:rsidR="00520137" w:rsidRPr="00AA41A6" w:rsidRDefault="00520137" w:rsidP="00CA5788">
            <w:pPr>
              <w:rPr>
                <w:rFonts w:asciiTheme="minorHAnsi" w:hAnsiTheme="minorHAnsi"/>
                <w:b/>
                <w:color w:val="FFFFFF"/>
                <w:highlight w:val="yellow"/>
              </w:rPr>
            </w:pPr>
            <w:r w:rsidRPr="00AA41A6">
              <w:rPr>
                <w:rFonts w:asciiTheme="minorHAnsi" w:hAnsiTheme="minorHAnsi"/>
                <w:b/>
                <w:color w:val="FFFFFF"/>
              </w:rPr>
              <w:t xml:space="preserve">Total GLA Program </w:t>
            </w:r>
            <w:r w:rsidR="00CA5788">
              <w:rPr>
                <w:rFonts w:asciiTheme="minorHAnsi" w:hAnsiTheme="minorHAnsi"/>
                <w:b/>
                <w:color w:val="FFFFFF"/>
              </w:rPr>
              <w:t>Change</w:t>
            </w:r>
          </w:p>
        </w:tc>
        <w:tc>
          <w:tcPr>
            <w:tcW w:w="1260" w:type="dxa"/>
            <w:shd w:val="clear" w:color="auto" w:fill="632423" w:themeFill="accent2" w:themeFillShade="80"/>
          </w:tcPr>
          <w:p w:rsidR="00520137" w:rsidRPr="00AA41A6" w:rsidRDefault="00CA5788" w:rsidP="00BB214A">
            <w:pPr>
              <w:jc w:val="center"/>
              <w:rPr>
                <w:rFonts w:asciiTheme="minorHAnsi" w:hAnsiTheme="minorHAnsi"/>
                <w:b/>
                <w:color w:val="FFFFFF"/>
              </w:rPr>
            </w:pPr>
            <w:r>
              <w:rPr>
                <w:rFonts w:asciiTheme="minorHAnsi" w:hAnsiTheme="minorHAnsi"/>
                <w:b/>
                <w:color w:val="FFFFFF"/>
              </w:rPr>
              <w:t>0</w:t>
            </w:r>
          </w:p>
        </w:tc>
        <w:tc>
          <w:tcPr>
            <w:tcW w:w="1260" w:type="dxa"/>
            <w:shd w:val="clear" w:color="auto" w:fill="632423" w:themeFill="accent2" w:themeFillShade="80"/>
          </w:tcPr>
          <w:p w:rsidR="00520137" w:rsidRPr="00AA41A6" w:rsidRDefault="00CA5788" w:rsidP="00BB214A">
            <w:pPr>
              <w:jc w:val="center"/>
              <w:rPr>
                <w:rFonts w:asciiTheme="minorHAnsi" w:hAnsiTheme="minorHAnsi"/>
                <w:b/>
                <w:color w:val="FFFFFF"/>
              </w:rPr>
            </w:pPr>
            <w:r>
              <w:rPr>
                <w:rFonts w:asciiTheme="minorHAnsi" w:hAnsiTheme="minorHAnsi"/>
                <w:b/>
                <w:color w:val="FFFFFF"/>
              </w:rPr>
              <w:t>0</w:t>
            </w:r>
          </w:p>
        </w:tc>
        <w:tc>
          <w:tcPr>
            <w:tcW w:w="2314" w:type="dxa"/>
            <w:shd w:val="clear" w:color="auto" w:fill="632423" w:themeFill="accent2" w:themeFillShade="80"/>
          </w:tcPr>
          <w:p w:rsidR="00520137" w:rsidRPr="00AA41A6" w:rsidRDefault="00CA5788" w:rsidP="00CA5788">
            <w:pPr>
              <w:jc w:val="center"/>
              <w:rPr>
                <w:rFonts w:asciiTheme="minorHAnsi" w:hAnsiTheme="minorHAnsi"/>
                <w:b/>
                <w:color w:val="FFFFFF"/>
              </w:rPr>
            </w:pPr>
            <w:r>
              <w:rPr>
                <w:rFonts w:asciiTheme="minorHAnsi" w:hAnsiTheme="minorHAnsi"/>
                <w:b/>
                <w:color w:val="FFFFFF"/>
              </w:rPr>
              <w:t>(</w:t>
            </w:r>
            <w:r w:rsidR="00520137" w:rsidRPr="00AA41A6">
              <w:rPr>
                <w:rFonts w:asciiTheme="minorHAnsi" w:hAnsiTheme="minorHAnsi"/>
                <w:b/>
                <w:color w:val="FFFFFF"/>
              </w:rPr>
              <w:t>$</w:t>
            </w:r>
            <w:r>
              <w:rPr>
                <w:rFonts w:asciiTheme="minorHAnsi" w:hAnsiTheme="minorHAnsi"/>
                <w:b/>
                <w:color w:val="FFFFFF"/>
              </w:rPr>
              <w:t>384)</w:t>
            </w:r>
          </w:p>
        </w:tc>
        <w:tc>
          <w:tcPr>
            <w:tcW w:w="926" w:type="dxa"/>
            <w:shd w:val="clear" w:color="auto" w:fill="632423" w:themeFill="accent2" w:themeFillShade="80"/>
          </w:tcPr>
          <w:p w:rsidR="00520137" w:rsidRPr="00AA41A6" w:rsidRDefault="00520137" w:rsidP="00BB214A">
            <w:pPr>
              <w:rPr>
                <w:rFonts w:asciiTheme="minorHAnsi" w:hAnsiTheme="minorHAnsi"/>
                <w:b/>
                <w:color w:val="FFFFFF"/>
              </w:rPr>
            </w:pPr>
          </w:p>
        </w:tc>
      </w:tr>
    </w:tbl>
    <w:p w:rsidR="00520137" w:rsidRDefault="00520137" w:rsidP="00520137">
      <w:pPr>
        <w:jc w:val="both"/>
        <w:rPr>
          <w:rFonts w:asciiTheme="minorHAnsi" w:hAnsiTheme="minorHAnsi"/>
          <w:b/>
          <w:color w:val="006699"/>
          <w:sz w:val="20"/>
          <w:szCs w:val="20"/>
        </w:rPr>
      </w:pPr>
    </w:p>
    <w:p w:rsidR="00520137" w:rsidRPr="00AA41A6" w:rsidRDefault="00520137" w:rsidP="00520137">
      <w:pPr>
        <w:jc w:val="both"/>
        <w:rPr>
          <w:rFonts w:asciiTheme="minorHAnsi" w:hAnsiTheme="minorHAnsi"/>
          <w:b/>
          <w:color w:val="006699"/>
          <w:sz w:val="20"/>
          <w:szCs w:val="20"/>
        </w:rPr>
      </w:pPr>
    </w:p>
    <w:p w:rsidR="00251F4A" w:rsidRDefault="00251F4A">
      <w:pPr>
        <w:spacing w:after="200" w:line="276" w:lineRule="auto"/>
        <w:rPr>
          <w:rFonts w:asciiTheme="minorHAnsi" w:hAnsiTheme="minorHAnsi"/>
          <w:b/>
          <w:sz w:val="20"/>
          <w:szCs w:val="20"/>
        </w:rPr>
      </w:pPr>
      <w:r>
        <w:rPr>
          <w:rFonts w:asciiTheme="minorHAnsi" w:hAnsiTheme="minorHAnsi"/>
          <w:b/>
          <w:sz w:val="20"/>
          <w:szCs w:val="20"/>
        </w:rPr>
        <w:br w:type="page"/>
      </w:r>
    </w:p>
    <w:p w:rsidR="00520137" w:rsidRPr="00DD284A" w:rsidRDefault="00520137" w:rsidP="00251F4A">
      <w:pPr>
        <w:rPr>
          <w:rFonts w:asciiTheme="minorHAnsi" w:hAnsiTheme="minorHAnsi"/>
          <w:b/>
          <w:sz w:val="20"/>
          <w:szCs w:val="20"/>
        </w:rPr>
      </w:pPr>
    </w:p>
    <w:p w:rsidR="00520137" w:rsidRPr="00DD284A" w:rsidRDefault="00520137" w:rsidP="00520137">
      <w:pPr>
        <w:jc w:val="both"/>
        <w:rPr>
          <w:rFonts w:asciiTheme="minorHAnsi" w:hAnsiTheme="minorHAnsi"/>
          <w:b/>
          <w:sz w:val="20"/>
          <w:szCs w:val="20"/>
        </w:rPr>
      </w:pPr>
    </w:p>
    <w:p w:rsidR="00520137" w:rsidRPr="00DD284A" w:rsidRDefault="00520137" w:rsidP="00520137">
      <w:pPr>
        <w:jc w:val="both"/>
        <w:rPr>
          <w:rFonts w:asciiTheme="minorHAnsi" w:hAnsiTheme="minorHAnsi"/>
          <w:b/>
          <w:sz w:val="20"/>
          <w:szCs w:val="20"/>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520137">
      <w:pPr>
        <w:jc w:val="both"/>
        <w:rPr>
          <w:rFonts w:asciiTheme="minorHAnsi" w:hAnsiTheme="minorHAnsi"/>
          <w:b/>
        </w:rPr>
      </w:pPr>
    </w:p>
    <w:p w:rsidR="00520137" w:rsidRDefault="00520137" w:rsidP="00251F4A">
      <w:pPr>
        <w:widowControl w:val="0"/>
        <w:rPr>
          <w:rFonts w:ascii="Calibri" w:hAnsi="Calibri"/>
          <w:b/>
          <w:color w:val="632423" w:themeColor="accent2" w:themeShade="80"/>
          <w:sz w:val="36"/>
          <w:szCs w:val="36"/>
        </w:rPr>
      </w:pPr>
    </w:p>
    <w:p w:rsidR="00520137" w:rsidRPr="00A555F1" w:rsidRDefault="00520137" w:rsidP="00520137">
      <w:pPr>
        <w:widowControl w:val="0"/>
        <w:jc w:val="center"/>
        <w:rPr>
          <w:rFonts w:ascii="Calibri" w:hAnsi="Calibri"/>
          <w:b/>
          <w:color w:val="632423" w:themeColor="accent2" w:themeShade="80"/>
          <w:sz w:val="36"/>
          <w:szCs w:val="36"/>
        </w:rPr>
      </w:pPr>
      <w:r w:rsidRPr="00A555F1">
        <w:rPr>
          <w:rFonts w:ascii="Calibri" w:hAnsi="Calibri"/>
          <w:b/>
          <w:color w:val="632423" w:themeColor="accent2" w:themeShade="80"/>
          <w:sz w:val="36"/>
          <w:szCs w:val="36"/>
        </w:rPr>
        <w:lastRenderedPageBreak/>
        <w:t>Decision Unit Justification</w:t>
      </w:r>
    </w:p>
    <w:p w:rsidR="00520137" w:rsidRPr="00A555F1" w:rsidRDefault="00520137" w:rsidP="00520137">
      <w:pPr>
        <w:jc w:val="center"/>
        <w:rPr>
          <w:rFonts w:ascii="Calibri" w:hAnsi="Calibri"/>
          <w:color w:val="632423" w:themeColor="accent2" w:themeShade="80"/>
        </w:rPr>
      </w:pPr>
      <w:r w:rsidRPr="00A555F1">
        <w:rPr>
          <w:rFonts w:ascii="Calibri" w:hAnsi="Calibri"/>
          <w:b/>
          <w:color w:val="632423" w:themeColor="accent2" w:themeShade="80"/>
          <w:sz w:val="36"/>
          <w:szCs w:val="36"/>
        </w:rPr>
        <w:t>Civil Division: Legal Representation Decision Unit</w:t>
      </w:r>
    </w:p>
    <w:tbl>
      <w:tblPr>
        <w:tblpPr w:leftFromText="180" w:rightFromText="180" w:vertAnchor="text" w:horzAnchor="margin" w:tblpY="242"/>
        <w:tblW w:w="95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CFFFF"/>
        <w:tblLayout w:type="fixed"/>
        <w:tblLook w:val="01E0" w:firstRow="1" w:lastRow="1" w:firstColumn="1" w:lastColumn="1" w:noHBand="0" w:noVBand="0"/>
      </w:tblPr>
      <w:tblGrid>
        <w:gridCol w:w="5258"/>
        <w:gridCol w:w="1436"/>
        <w:gridCol w:w="1008"/>
        <w:gridCol w:w="1804"/>
      </w:tblGrid>
      <w:tr w:rsidR="007D59E3" w:rsidRPr="007214FD" w:rsidTr="007D59E3">
        <w:trPr>
          <w:trHeight w:val="431"/>
        </w:trPr>
        <w:tc>
          <w:tcPr>
            <w:tcW w:w="5258" w:type="dxa"/>
            <w:shd w:val="clear" w:color="auto" w:fill="632423"/>
            <w:vAlign w:val="center"/>
          </w:tcPr>
          <w:p w:rsidR="007D59E3" w:rsidRPr="007214FD" w:rsidRDefault="007D59E3" w:rsidP="007D59E3">
            <w:pPr>
              <w:rPr>
                <w:rFonts w:ascii="Calibri" w:hAnsi="Calibri"/>
                <w:b/>
                <w:color w:val="FFFFFF"/>
              </w:rPr>
            </w:pPr>
            <w:r w:rsidRPr="007214FD">
              <w:rPr>
                <w:rFonts w:ascii="Calibri" w:hAnsi="Calibri"/>
                <w:b/>
                <w:color w:val="FFFFFF"/>
              </w:rPr>
              <w:t>Legal Representation – TOTAL</w:t>
            </w:r>
          </w:p>
        </w:tc>
        <w:tc>
          <w:tcPr>
            <w:tcW w:w="1436" w:type="dxa"/>
            <w:shd w:val="clear" w:color="auto" w:fill="632423"/>
            <w:vAlign w:val="center"/>
          </w:tcPr>
          <w:p w:rsidR="007D59E3" w:rsidRPr="007214FD" w:rsidRDefault="007D59E3" w:rsidP="007D59E3">
            <w:pPr>
              <w:jc w:val="center"/>
              <w:rPr>
                <w:rFonts w:ascii="Calibri" w:hAnsi="Calibri"/>
                <w:b/>
                <w:color w:val="FFFFFF"/>
              </w:rPr>
            </w:pPr>
            <w:r w:rsidRPr="007214FD">
              <w:rPr>
                <w:rFonts w:ascii="Calibri" w:hAnsi="Calibri"/>
                <w:b/>
                <w:color w:val="FFFFFF"/>
              </w:rPr>
              <w:t>Perm. Pos.</w:t>
            </w:r>
          </w:p>
        </w:tc>
        <w:tc>
          <w:tcPr>
            <w:tcW w:w="1008" w:type="dxa"/>
            <w:shd w:val="clear" w:color="auto" w:fill="632423"/>
            <w:vAlign w:val="center"/>
          </w:tcPr>
          <w:p w:rsidR="007D59E3" w:rsidRPr="007214FD" w:rsidRDefault="007D59E3" w:rsidP="007D59E3">
            <w:pPr>
              <w:jc w:val="center"/>
              <w:rPr>
                <w:rFonts w:ascii="Calibri" w:hAnsi="Calibri"/>
                <w:b/>
                <w:color w:val="FFFFFF"/>
              </w:rPr>
            </w:pPr>
            <w:r w:rsidRPr="007214FD">
              <w:rPr>
                <w:rFonts w:ascii="Calibri" w:hAnsi="Calibri"/>
                <w:b/>
                <w:color w:val="FFFFFF"/>
              </w:rPr>
              <w:t>FTE</w:t>
            </w:r>
          </w:p>
        </w:tc>
        <w:tc>
          <w:tcPr>
            <w:tcW w:w="1804" w:type="dxa"/>
            <w:shd w:val="clear" w:color="auto" w:fill="632423"/>
            <w:vAlign w:val="center"/>
          </w:tcPr>
          <w:p w:rsidR="007D59E3" w:rsidRPr="007214FD" w:rsidRDefault="007D59E3" w:rsidP="007D59E3">
            <w:pPr>
              <w:jc w:val="center"/>
              <w:rPr>
                <w:rFonts w:ascii="Calibri" w:hAnsi="Calibri"/>
                <w:b/>
                <w:color w:val="FFFFFF"/>
              </w:rPr>
            </w:pPr>
            <w:r w:rsidRPr="007214FD">
              <w:rPr>
                <w:rFonts w:ascii="Calibri" w:hAnsi="Calibri"/>
                <w:b/>
                <w:color w:val="FFFFFF"/>
              </w:rPr>
              <w:t>Amount ($000)</w:t>
            </w:r>
          </w:p>
        </w:tc>
      </w:tr>
      <w:tr w:rsidR="007D59E3" w:rsidRPr="007214FD" w:rsidTr="007D59E3">
        <w:trPr>
          <w:trHeight w:val="350"/>
        </w:trPr>
        <w:tc>
          <w:tcPr>
            <w:tcW w:w="5258" w:type="dxa"/>
            <w:shd w:val="clear" w:color="auto" w:fill="FFFFFF"/>
            <w:vAlign w:val="center"/>
          </w:tcPr>
          <w:p w:rsidR="007D59E3" w:rsidRPr="007214FD" w:rsidRDefault="007D59E3" w:rsidP="007D59E3">
            <w:pPr>
              <w:rPr>
                <w:rFonts w:ascii="Calibri" w:hAnsi="Calibri"/>
                <w:lang w:val="en-CA"/>
              </w:rPr>
            </w:pPr>
            <w:r>
              <w:rPr>
                <w:rFonts w:ascii="Calibri" w:hAnsi="Calibri"/>
                <w:lang w:val="en-CA"/>
              </w:rPr>
              <w:t>2010</w:t>
            </w:r>
            <w:r w:rsidRPr="007214FD">
              <w:rPr>
                <w:rFonts w:ascii="Calibri" w:hAnsi="Calibri"/>
                <w:lang w:val="en-CA"/>
              </w:rPr>
              <w:t xml:space="preserve"> Enacted with Rescissions</w:t>
            </w:r>
          </w:p>
        </w:tc>
        <w:tc>
          <w:tcPr>
            <w:tcW w:w="1436" w:type="dxa"/>
            <w:shd w:val="clear" w:color="auto" w:fill="FFFFFF"/>
            <w:vAlign w:val="center"/>
          </w:tcPr>
          <w:p w:rsidR="007D59E3" w:rsidRPr="007214FD" w:rsidRDefault="007D59E3" w:rsidP="007D59E3">
            <w:pPr>
              <w:jc w:val="center"/>
              <w:rPr>
                <w:rFonts w:ascii="Calibri" w:hAnsi="Calibri"/>
              </w:rPr>
            </w:pPr>
            <w:r w:rsidRPr="007214FD">
              <w:rPr>
                <w:rFonts w:ascii="Calibri" w:hAnsi="Calibri"/>
              </w:rPr>
              <w:t>1,475</w:t>
            </w:r>
          </w:p>
        </w:tc>
        <w:tc>
          <w:tcPr>
            <w:tcW w:w="1008" w:type="dxa"/>
            <w:shd w:val="clear" w:color="auto" w:fill="FFFFFF"/>
            <w:vAlign w:val="center"/>
          </w:tcPr>
          <w:p w:rsidR="007D59E3" w:rsidRPr="007214FD" w:rsidRDefault="007D59E3" w:rsidP="007D59E3">
            <w:pPr>
              <w:jc w:val="center"/>
              <w:rPr>
                <w:rFonts w:ascii="Calibri" w:hAnsi="Calibri"/>
              </w:rPr>
            </w:pPr>
            <w:r w:rsidRPr="007214FD">
              <w:rPr>
                <w:rFonts w:ascii="Calibri" w:hAnsi="Calibri"/>
              </w:rPr>
              <w:t>1,350</w:t>
            </w:r>
          </w:p>
        </w:tc>
        <w:tc>
          <w:tcPr>
            <w:tcW w:w="1804" w:type="dxa"/>
            <w:shd w:val="clear" w:color="auto" w:fill="FFFFFF"/>
            <w:vAlign w:val="center"/>
          </w:tcPr>
          <w:p w:rsidR="007D59E3" w:rsidRPr="007214FD" w:rsidRDefault="007D59E3" w:rsidP="007D59E3">
            <w:pPr>
              <w:jc w:val="center"/>
              <w:rPr>
                <w:rFonts w:ascii="Calibri" w:hAnsi="Calibri"/>
              </w:rPr>
            </w:pPr>
            <w:r w:rsidRPr="007214FD">
              <w:rPr>
                <w:rFonts w:ascii="Calibri" w:hAnsi="Calibri"/>
              </w:rPr>
              <w:t>$287,758</w:t>
            </w:r>
          </w:p>
        </w:tc>
      </w:tr>
      <w:tr w:rsidR="007D59E3" w:rsidRPr="007214FD" w:rsidTr="007D59E3">
        <w:trPr>
          <w:trHeight w:val="350"/>
        </w:trPr>
        <w:tc>
          <w:tcPr>
            <w:tcW w:w="5258" w:type="dxa"/>
            <w:shd w:val="clear" w:color="auto" w:fill="FFFFFF"/>
            <w:vAlign w:val="center"/>
          </w:tcPr>
          <w:p w:rsidR="007D59E3" w:rsidRPr="007214FD" w:rsidRDefault="00B408CF" w:rsidP="007D59E3">
            <w:pPr>
              <w:rPr>
                <w:rFonts w:ascii="Calibri" w:hAnsi="Calibri"/>
              </w:rPr>
            </w:pPr>
            <w:r w:rsidRPr="007214FD">
              <w:rPr>
                <w:rFonts w:ascii="Calibri" w:hAnsi="Calibri"/>
                <w:lang w:val="en-CA"/>
              </w:rPr>
              <w:fldChar w:fldCharType="begin"/>
            </w:r>
            <w:r w:rsidR="007D59E3" w:rsidRPr="007214FD">
              <w:rPr>
                <w:rFonts w:ascii="Calibri" w:hAnsi="Calibri"/>
                <w:lang w:val="en-CA"/>
              </w:rPr>
              <w:instrText xml:space="preserve"> SEQ CHAPTER \h \r 1</w:instrText>
            </w:r>
            <w:r w:rsidRPr="007214FD">
              <w:rPr>
                <w:rFonts w:ascii="Calibri" w:hAnsi="Calibri"/>
                <w:lang w:val="en-CA"/>
              </w:rPr>
              <w:fldChar w:fldCharType="end"/>
            </w:r>
            <w:r w:rsidR="007D59E3" w:rsidRPr="007214FD">
              <w:rPr>
                <w:rFonts w:ascii="Calibri" w:hAnsi="Calibri"/>
                <w:lang w:val="en-CA"/>
              </w:rPr>
              <w:t xml:space="preserve">2010 </w:t>
            </w:r>
            <w:r w:rsidR="007D59E3">
              <w:rPr>
                <w:rFonts w:ascii="Calibri" w:hAnsi="Calibri"/>
                <w:lang w:val="en-CA"/>
              </w:rPr>
              <w:t>Supplemental</w:t>
            </w:r>
          </w:p>
        </w:tc>
        <w:tc>
          <w:tcPr>
            <w:tcW w:w="1436" w:type="dxa"/>
            <w:shd w:val="clear" w:color="auto" w:fill="FFFFFF"/>
            <w:vAlign w:val="center"/>
          </w:tcPr>
          <w:p w:rsidR="007D59E3" w:rsidRPr="007214FD" w:rsidRDefault="007D59E3" w:rsidP="007D59E3">
            <w:pPr>
              <w:jc w:val="center"/>
              <w:rPr>
                <w:rFonts w:ascii="Calibri" w:hAnsi="Calibri"/>
              </w:rPr>
            </w:pPr>
            <w:r>
              <w:rPr>
                <w:rFonts w:ascii="Calibri" w:hAnsi="Calibri"/>
              </w:rPr>
              <w:t>13</w:t>
            </w:r>
          </w:p>
        </w:tc>
        <w:tc>
          <w:tcPr>
            <w:tcW w:w="1008" w:type="dxa"/>
            <w:shd w:val="clear" w:color="auto" w:fill="FFFFFF"/>
            <w:vAlign w:val="center"/>
          </w:tcPr>
          <w:p w:rsidR="007D59E3" w:rsidRPr="007214FD" w:rsidRDefault="007D59E3" w:rsidP="007D59E3">
            <w:pPr>
              <w:jc w:val="center"/>
              <w:rPr>
                <w:rFonts w:ascii="Calibri" w:hAnsi="Calibri"/>
              </w:rPr>
            </w:pPr>
            <w:r>
              <w:rPr>
                <w:rFonts w:ascii="Calibri" w:hAnsi="Calibri"/>
              </w:rPr>
              <w:t>12</w:t>
            </w:r>
          </w:p>
        </w:tc>
        <w:tc>
          <w:tcPr>
            <w:tcW w:w="1804" w:type="dxa"/>
            <w:shd w:val="clear" w:color="auto" w:fill="FFFFFF"/>
            <w:vAlign w:val="center"/>
          </w:tcPr>
          <w:p w:rsidR="007D59E3" w:rsidRPr="007214FD" w:rsidRDefault="007D59E3" w:rsidP="007D59E3">
            <w:pPr>
              <w:jc w:val="center"/>
              <w:rPr>
                <w:rFonts w:ascii="Calibri" w:hAnsi="Calibri"/>
              </w:rPr>
            </w:pPr>
            <w:r>
              <w:rPr>
                <w:rFonts w:ascii="Calibri" w:hAnsi="Calibri"/>
              </w:rPr>
              <w:t>$5,312</w:t>
            </w:r>
          </w:p>
        </w:tc>
      </w:tr>
      <w:tr w:rsidR="007D59E3" w:rsidRPr="007214FD" w:rsidTr="007D59E3">
        <w:trPr>
          <w:trHeight w:val="350"/>
        </w:trPr>
        <w:tc>
          <w:tcPr>
            <w:tcW w:w="5258" w:type="dxa"/>
            <w:shd w:val="clear" w:color="auto" w:fill="FFFFFF"/>
            <w:vAlign w:val="center"/>
          </w:tcPr>
          <w:p w:rsidR="007D59E3" w:rsidRPr="007214FD" w:rsidRDefault="007D59E3" w:rsidP="007D59E3">
            <w:pPr>
              <w:rPr>
                <w:rFonts w:ascii="Calibri" w:hAnsi="Calibri"/>
                <w:lang w:val="en-CA"/>
              </w:rPr>
            </w:pPr>
            <w:r>
              <w:rPr>
                <w:rFonts w:ascii="Calibri" w:hAnsi="Calibri"/>
                <w:lang w:val="en-CA"/>
              </w:rPr>
              <w:t>2010 Enacted w/Rescissions and Supplementals</w:t>
            </w:r>
          </w:p>
        </w:tc>
        <w:tc>
          <w:tcPr>
            <w:tcW w:w="1436" w:type="dxa"/>
            <w:shd w:val="clear" w:color="auto" w:fill="FFFFFF"/>
            <w:vAlign w:val="center"/>
          </w:tcPr>
          <w:p w:rsidR="007D59E3" w:rsidRPr="007214FD" w:rsidRDefault="007D59E3" w:rsidP="007D59E3">
            <w:pPr>
              <w:jc w:val="center"/>
              <w:rPr>
                <w:rFonts w:ascii="Calibri" w:hAnsi="Calibri"/>
              </w:rPr>
            </w:pPr>
            <w:r>
              <w:rPr>
                <w:rFonts w:ascii="Calibri" w:hAnsi="Calibri"/>
              </w:rPr>
              <w:t>1,488</w:t>
            </w:r>
          </w:p>
        </w:tc>
        <w:tc>
          <w:tcPr>
            <w:tcW w:w="1008" w:type="dxa"/>
            <w:shd w:val="clear" w:color="auto" w:fill="FFFFFF"/>
            <w:vAlign w:val="center"/>
          </w:tcPr>
          <w:p w:rsidR="007D59E3" w:rsidRPr="007214FD" w:rsidRDefault="007D59E3" w:rsidP="007D59E3">
            <w:pPr>
              <w:jc w:val="center"/>
              <w:rPr>
                <w:rFonts w:ascii="Calibri" w:hAnsi="Calibri"/>
              </w:rPr>
            </w:pPr>
            <w:r>
              <w:rPr>
                <w:rFonts w:ascii="Calibri" w:hAnsi="Calibri"/>
              </w:rPr>
              <w:t>1,362</w:t>
            </w:r>
          </w:p>
        </w:tc>
        <w:tc>
          <w:tcPr>
            <w:tcW w:w="1804" w:type="dxa"/>
            <w:shd w:val="clear" w:color="auto" w:fill="FFFFFF"/>
            <w:vAlign w:val="center"/>
          </w:tcPr>
          <w:p w:rsidR="007D59E3" w:rsidRPr="007214FD" w:rsidRDefault="007D59E3" w:rsidP="007D59E3">
            <w:pPr>
              <w:jc w:val="center"/>
              <w:rPr>
                <w:rFonts w:ascii="Calibri" w:hAnsi="Calibri"/>
              </w:rPr>
            </w:pPr>
            <w:r>
              <w:rPr>
                <w:rFonts w:ascii="Calibri" w:hAnsi="Calibri"/>
              </w:rPr>
              <w:t>$293,070</w:t>
            </w:r>
          </w:p>
        </w:tc>
      </w:tr>
      <w:tr w:rsidR="007D59E3" w:rsidRPr="007214FD" w:rsidTr="007D59E3">
        <w:trPr>
          <w:trHeight w:val="350"/>
        </w:trPr>
        <w:tc>
          <w:tcPr>
            <w:tcW w:w="5258" w:type="dxa"/>
            <w:shd w:val="clear" w:color="auto" w:fill="FFFFFF"/>
            <w:vAlign w:val="center"/>
          </w:tcPr>
          <w:p w:rsidR="007D59E3" w:rsidRPr="007214FD" w:rsidRDefault="007D59E3" w:rsidP="007D59E3">
            <w:pPr>
              <w:rPr>
                <w:rFonts w:ascii="Calibri" w:hAnsi="Calibri"/>
                <w:lang w:val="en-CA"/>
              </w:rPr>
            </w:pPr>
            <w:r>
              <w:rPr>
                <w:rFonts w:ascii="Calibri" w:hAnsi="Calibri"/>
                <w:lang w:val="en-CA"/>
              </w:rPr>
              <w:t>2011 Full-Year Continuing Resolution</w:t>
            </w:r>
          </w:p>
        </w:tc>
        <w:tc>
          <w:tcPr>
            <w:tcW w:w="1436" w:type="dxa"/>
            <w:shd w:val="clear" w:color="auto" w:fill="FFFFFF"/>
            <w:vAlign w:val="center"/>
          </w:tcPr>
          <w:p w:rsidR="007D59E3" w:rsidRPr="007214FD" w:rsidRDefault="007D59E3" w:rsidP="007D59E3">
            <w:pPr>
              <w:jc w:val="center"/>
              <w:rPr>
                <w:rFonts w:ascii="Calibri" w:hAnsi="Calibri"/>
              </w:rPr>
            </w:pPr>
            <w:r>
              <w:rPr>
                <w:rFonts w:ascii="Calibri" w:hAnsi="Calibri"/>
              </w:rPr>
              <w:t>1,475</w:t>
            </w:r>
          </w:p>
        </w:tc>
        <w:tc>
          <w:tcPr>
            <w:tcW w:w="1008" w:type="dxa"/>
            <w:shd w:val="clear" w:color="auto" w:fill="FFFFFF"/>
            <w:vAlign w:val="center"/>
          </w:tcPr>
          <w:p w:rsidR="007D59E3" w:rsidRPr="007214FD" w:rsidRDefault="007D59E3" w:rsidP="007D59E3">
            <w:pPr>
              <w:jc w:val="center"/>
              <w:rPr>
                <w:rFonts w:ascii="Calibri" w:hAnsi="Calibri"/>
              </w:rPr>
            </w:pPr>
            <w:r>
              <w:rPr>
                <w:rFonts w:ascii="Calibri" w:hAnsi="Calibri"/>
              </w:rPr>
              <w:t>1,</w:t>
            </w:r>
            <w:r w:rsidR="00225993">
              <w:rPr>
                <w:rFonts w:ascii="Calibri" w:hAnsi="Calibri"/>
              </w:rPr>
              <w:t>350</w:t>
            </w:r>
          </w:p>
        </w:tc>
        <w:tc>
          <w:tcPr>
            <w:tcW w:w="1804" w:type="dxa"/>
            <w:shd w:val="clear" w:color="auto" w:fill="FFFFFF"/>
            <w:vAlign w:val="center"/>
          </w:tcPr>
          <w:p w:rsidR="007D59E3" w:rsidRPr="007214FD" w:rsidRDefault="007D59E3" w:rsidP="007D59E3">
            <w:pPr>
              <w:jc w:val="center"/>
              <w:rPr>
                <w:rFonts w:ascii="Calibri" w:hAnsi="Calibri"/>
              </w:rPr>
            </w:pPr>
            <w:r>
              <w:rPr>
                <w:rFonts w:ascii="Calibri" w:hAnsi="Calibri"/>
              </w:rPr>
              <w:t>$287,758</w:t>
            </w:r>
          </w:p>
        </w:tc>
      </w:tr>
      <w:tr w:rsidR="007D59E3" w:rsidRPr="007214FD" w:rsidTr="007D59E3">
        <w:trPr>
          <w:trHeight w:val="350"/>
        </w:trPr>
        <w:tc>
          <w:tcPr>
            <w:tcW w:w="5258" w:type="dxa"/>
            <w:shd w:val="clear" w:color="auto" w:fill="FFFFFF"/>
            <w:vAlign w:val="center"/>
          </w:tcPr>
          <w:p w:rsidR="007D59E3" w:rsidRPr="007214FD" w:rsidRDefault="007D59E3" w:rsidP="007D59E3">
            <w:pPr>
              <w:rPr>
                <w:rFonts w:ascii="Calibri" w:hAnsi="Calibri"/>
                <w:lang w:val="en-CA"/>
              </w:rPr>
            </w:pPr>
            <w:r>
              <w:rPr>
                <w:rFonts w:ascii="Calibri" w:hAnsi="Calibri"/>
                <w:lang w:val="en-CA"/>
              </w:rPr>
              <w:t>Adjustments to Base and</w:t>
            </w:r>
            <w:r w:rsidRPr="007214FD">
              <w:rPr>
                <w:rFonts w:ascii="Calibri" w:hAnsi="Calibri"/>
                <w:lang w:val="en-CA"/>
              </w:rPr>
              <w:t xml:space="preserve"> Technical Adjustments</w:t>
            </w:r>
          </w:p>
        </w:tc>
        <w:tc>
          <w:tcPr>
            <w:tcW w:w="1436" w:type="dxa"/>
            <w:shd w:val="clear" w:color="auto" w:fill="FFFFFF"/>
            <w:vAlign w:val="center"/>
          </w:tcPr>
          <w:p w:rsidR="007D59E3" w:rsidRPr="00CA5788" w:rsidRDefault="007D59E3" w:rsidP="007D59E3">
            <w:pPr>
              <w:jc w:val="center"/>
              <w:rPr>
                <w:rFonts w:ascii="Calibri" w:hAnsi="Calibri"/>
              </w:rPr>
            </w:pPr>
            <w:r w:rsidRPr="00CA5788">
              <w:rPr>
                <w:rFonts w:ascii="Calibri" w:hAnsi="Calibri"/>
              </w:rPr>
              <w:t>13</w:t>
            </w:r>
          </w:p>
        </w:tc>
        <w:tc>
          <w:tcPr>
            <w:tcW w:w="1008" w:type="dxa"/>
            <w:shd w:val="clear" w:color="auto" w:fill="FFFFFF"/>
            <w:vAlign w:val="center"/>
          </w:tcPr>
          <w:p w:rsidR="007D59E3" w:rsidRPr="00CA5788" w:rsidRDefault="007D59E3" w:rsidP="007D59E3">
            <w:pPr>
              <w:jc w:val="center"/>
              <w:rPr>
                <w:rFonts w:ascii="Calibri" w:hAnsi="Calibri"/>
              </w:rPr>
            </w:pPr>
            <w:r>
              <w:rPr>
                <w:rFonts w:ascii="Calibri" w:hAnsi="Calibri"/>
              </w:rPr>
              <w:t>113</w:t>
            </w:r>
          </w:p>
        </w:tc>
        <w:tc>
          <w:tcPr>
            <w:tcW w:w="1804" w:type="dxa"/>
            <w:shd w:val="clear" w:color="auto" w:fill="FFFFFF"/>
            <w:vAlign w:val="center"/>
          </w:tcPr>
          <w:p w:rsidR="007D59E3" w:rsidRPr="007214FD" w:rsidRDefault="007D59E3" w:rsidP="007D59E3">
            <w:pPr>
              <w:jc w:val="center"/>
              <w:rPr>
                <w:rFonts w:ascii="Calibri" w:hAnsi="Calibri"/>
              </w:rPr>
            </w:pPr>
            <w:r>
              <w:rPr>
                <w:rFonts w:ascii="Calibri" w:hAnsi="Calibri"/>
              </w:rPr>
              <w:t>$22,738</w:t>
            </w:r>
          </w:p>
        </w:tc>
      </w:tr>
      <w:tr w:rsidR="007D59E3" w:rsidRPr="007214FD" w:rsidTr="007D59E3">
        <w:trPr>
          <w:trHeight w:val="350"/>
        </w:trPr>
        <w:tc>
          <w:tcPr>
            <w:tcW w:w="5258" w:type="dxa"/>
            <w:shd w:val="clear" w:color="auto" w:fill="FFFFFF"/>
            <w:vAlign w:val="center"/>
          </w:tcPr>
          <w:p w:rsidR="007D59E3" w:rsidRPr="007214FD" w:rsidRDefault="007D59E3" w:rsidP="007D59E3">
            <w:pPr>
              <w:rPr>
                <w:rFonts w:ascii="Calibri" w:hAnsi="Calibri"/>
                <w:lang w:val="en-CA"/>
              </w:rPr>
            </w:pPr>
            <w:r>
              <w:rPr>
                <w:rFonts w:ascii="Calibri" w:hAnsi="Calibri"/>
                <w:lang w:val="en-CA"/>
              </w:rPr>
              <w:t>2012</w:t>
            </w:r>
            <w:r w:rsidRPr="007214FD">
              <w:rPr>
                <w:rFonts w:ascii="Calibri" w:hAnsi="Calibri"/>
                <w:lang w:val="en-CA"/>
              </w:rPr>
              <w:t xml:space="preserve"> Current Services</w:t>
            </w:r>
          </w:p>
        </w:tc>
        <w:tc>
          <w:tcPr>
            <w:tcW w:w="1436" w:type="dxa"/>
            <w:shd w:val="clear" w:color="auto" w:fill="FFFFFF"/>
            <w:vAlign w:val="center"/>
          </w:tcPr>
          <w:p w:rsidR="007D59E3" w:rsidRPr="00CA5788" w:rsidRDefault="007D59E3" w:rsidP="007D59E3">
            <w:pPr>
              <w:jc w:val="center"/>
              <w:rPr>
                <w:rFonts w:ascii="Calibri" w:hAnsi="Calibri"/>
              </w:rPr>
            </w:pPr>
            <w:r w:rsidRPr="00CA5788">
              <w:rPr>
                <w:rFonts w:ascii="Calibri" w:hAnsi="Calibri"/>
              </w:rPr>
              <w:t>1,</w:t>
            </w:r>
            <w:r>
              <w:rPr>
                <w:rFonts w:ascii="Calibri" w:hAnsi="Calibri"/>
              </w:rPr>
              <w:t>488</w:t>
            </w:r>
          </w:p>
        </w:tc>
        <w:tc>
          <w:tcPr>
            <w:tcW w:w="1008" w:type="dxa"/>
            <w:shd w:val="clear" w:color="auto" w:fill="FFFFFF"/>
            <w:vAlign w:val="center"/>
          </w:tcPr>
          <w:p w:rsidR="007D59E3" w:rsidRPr="00CA5788" w:rsidRDefault="007D59E3" w:rsidP="007D59E3">
            <w:pPr>
              <w:jc w:val="center"/>
              <w:rPr>
                <w:rFonts w:ascii="Calibri" w:hAnsi="Calibri"/>
              </w:rPr>
            </w:pPr>
            <w:r w:rsidRPr="00CA5788">
              <w:rPr>
                <w:rFonts w:ascii="Calibri" w:hAnsi="Calibri"/>
              </w:rPr>
              <w:t>1,</w:t>
            </w:r>
            <w:r w:rsidR="00225993">
              <w:rPr>
                <w:rFonts w:ascii="Calibri" w:hAnsi="Calibri"/>
              </w:rPr>
              <w:t>463</w:t>
            </w:r>
          </w:p>
        </w:tc>
        <w:tc>
          <w:tcPr>
            <w:tcW w:w="1804" w:type="dxa"/>
            <w:shd w:val="clear" w:color="auto" w:fill="FFFFFF"/>
            <w:vAlign w:val="center"/>
          </w:tcPr>
          <w:p w:rsidR="007D59E3" w:rsidRPr="007214FD" w:rsidRDefault="007D59E3" w:rsidP="007D59E3">
            <w:pPr>
              <w:jc w:val="center"/>
              <w:rPr>
                <w:rFonts w:ascii="Calibri" w:hAnsi="Calibri"/>
              </w:rPr>
            </w:pPr>
            <w:r>
              <w:rPr>
                <w:rFonts w:ascii="Calibri" w:hAnsi="Calibri"/>
              </w:rPr>
              <w:t>$310,496</w:t>
            </w:r>
          </w:p>
        </w:tc>
      </w:tr>
      <w:tr w:rsidR="007D59E3" w:rsidRPr="007214FD" w:rsidTr="007D59E3">
        <w:trPr>
          <w:trHeight w:val="350"/>
        </w:trPr>
        <w:tc>
          <w:tcPr>
            <w:tcW w:w="5258" w:type="dxa"/>
            <w:tcBorders>
              <w:bottom w:val="single" w:sz="8" w:space="0" w:color="auto"/>
            </w:tcBorders>
            <w:shd w:val="clear" w:color="auto" w:fill="FFFFFF"/>
            <w:vAlign w:val="center"/>
          </w:tcPr>
          <w:p w:rsidR="007D59E3" w:rsidRPr="007214FD" w:rsidRDefault="007D59E3" w:rsidP="007D59E3">
            <w:pPr>
              <w:rPr>
                <w:rFonts w:ascii="Calibri" w:hAnsi="Calibri"/>
                <w:lang w:val="en-CA"/>
              </w:rPr>
            </w:pPr>
            <w:r>
              <w:rPr>
                <w:rFonts w:ascii="Calibri" w:hAnsi="Calibri"/>
                <w:lang w:val="en-CA"/>
              </w:rPr>
              <w:t>2012 Program Decreases</w:t>
            </w:r>
          </w:p>
        </w:tc>
        <w:tc>
          <w:tcPr>
            <w:tcW w:w="1436" w:type="dxa"/>
            <w:tcBorders>
              <w:bottom w:val="single" w:sz="8" w:space="0" w:color="auto"/>
            </w:tcBorders>
            <w:shd w:val="clear" w:color="auto" w:fill="FFFFFF"/>
            <w:vAlign w:val="center"/>
          </w:tcPr>
          <w:p w:rsidR="007D59E3" w:rsidRPr="00CA5788" w:rsidRDefault="007D59E3" w:rsidP="007D59E3">
            <w:pPr>
              <w:jc w:val="center"/>
              <w:rPr>
                <w:rFonts w:ascii="Calibri" w:hAnsi="Calibri"/>
              </w:rPr>
            </w:pPr>
            <w:r w:rsidRPr="00CA5788">
              <w:rPr>
                <w:rFonts w:ascii="Calibri" w:hAnsi="Calibri"/>
              </w:rPr>
              <w:t>0</w:t>
            </w:r>
          </w:p>
        </w:tc>
        <w:tc>
          <w:tcPr>
            <w:tcW w:w="1008" w:type="dxa"/>
            <w:tcBorders>
              <w:bottom w:val="single" w:sz="8" w:space="0" w:color="auto"/>
            </w:tcBorders>
            <w:shd w:val="clear" w:color="auto" w:fill="FFFFFF"/>
            <w:vAlign w:val="center"/>
          </w:tcPr>
          <w:p w:rsidR="007D59E3" w:rsidRPr="00CA5788" w:rsidRDefault="007D59E3" w:rsidP="007D59E3">
            <w:pPr>
              <w:jc w:val="center"/>
              <w:rPr>
                <w:rFonts w:ascii="Calibri" w:hAnsi="Calibri"/>
              </w:rPr>
            </w:pPr>
            <w:r w:rsidRPr="00CA5788">
              <w:rPr>
                <w:rFonts w:ascii="Calibri" w:hAnsi="Calibri"/>
              </w:rPr>
              <w:t>0</w:t>
            </w:r>
          </w:p>
        </w:tc>
        <w:tc>
          <w:tcPr>
            <w:tcW w:w="1804" w:type="dxa"/>
            <w:tcBorders>
              <w:bottom w:val="single" w:sz="8" w:space="0" w:color="auto"/>
            </w:tcBorders>
            <w:shd w:val="clear" w:color="auto" w:fill="FFFFFF"/>
            <w:vAlign w:val="center"/>
          </w:tcPr>
          <w:p w:rsidR="007D59E3" w:rsidRDefault="007D59E3" w:rsidP="007D59E3">
            <w:pPr>
              <w:jc w:val="center"/>
              <w:rPr>
                <w:rFonts w:ascii="Calibri" w:hAnsi="Calibri"/>
              </w:rPr>
            </w:pPr>
            <w:r>
              <w:rPr>
                <w:rFonts w:ascii="Calibri" w:hAnsi="Calibri"/>
              </w:rPr>
              <w:t>($384)</w:t>
            </w:r>
          </w:p>
        </w:tc>
      </w:tr>
      <w:tr w:rsidR="007D59E3" w:rsidRPr="007214FD" w:rsidTr="007D59E3">
        <w:trPr>
          <w:trHeight w:val="350"/>
        </w:trPr>
        <w:tc>
          <w:tcPr>
            <w:tcW w:w="5258" w:type="dxa"/>
            <w:tcBorders>
              <w:bottom w:val="single" w:sz="8" w:space="0" w:color="auto"/>
            </w:tcBorders>
            <w:shd w:val="clear" w:color="auto" w:fill="FFFFFF"/>
            <w:vAlign w:val="center"/>
          </w:tcPr>
          <w:p w:rsidR="007D59E3" w:rsidRPr="007214FD" w:rsidRDefault="007D59E3" w:rsidP="007D59E3">
            <w:pPr>
              <w:rPr>
                <w:rFonts w:ascii="Calibri" w:hAnsi="Calibri"/>
                <w:lang w:val="en-CA"/>
              </w:rPr>
            </w:pPr>
            <w:r w:rsidRPr="007214FD">
              <w:rPr>
                <w:rFonts w:ascii="Calibri" w:hAnsi="Calibri"/>
                <w:lang w:val="en-CA"/>
              </w:rPr>
              <w:t>201</w:t>
            </w:r>
            <w:r>
              <w:rPr>
                <w:rFonts w:ascii="Calibri" w:hAnsi="Calibri"/>
                <w:lang w:val="en-CA"/>
              </w:rPr>
              <w:t>2</w:t>
            </w:r>
            <w:r w:rsidRPr="007214FD">
              <w:rPr>
                <w:rFonts w:ascii="Calibri" w:hAnsi="Calibri"/>
                <w:lang w:val="en-CA"/>
              </w:rPr>
              <w:t xml:space="preserve"> Request</w:t>
            </w:r>
          </w:p>
        </w:tc>
        <w:tc>
          <w:tcPr>
            <w:tcW w:w="1436" w:type="dxa"/>
            <w:tcBorders>
              <w:bottom w:val="single" w:sz="8" w:space="0" w:color="auto"/>
            </w:tcBorders>
            <w:shd w:val="clear" w:color="auto" w:fill="FFFFFF"/>
            <w:vAlign w:val="center"/>
          </w:tcPr>
          <w:p w:rsidR="007D59E3" w:rsidRPr="00CA5788" w:rsidRDefault="007D59E3" w:rsidP="007D59E3">
            <w:pPr>
              <w:jc w:val="center"/>
              <w:rPr>
                <w:rFonts w:ascii="Calibri" w:hAnsi="Calibri"/>
              </w:rPr>
            </w:pPr>
            <w:r w:rsidRPr="00CA5788">
              <w:rPr>
                <w:rFonts w:ascii="Calibri" w:hAnsi="Calibri"/>
              </w:rPr>
              <w:t>1,</w:t>
            </w:r>
            <w:r>
              <w:rPr>
                <w:rFonts w:ascii="Calibri" w:hAnsi="Calibri"/>
              </w:rPr>
              <w:t>488</w:t>
            </w:r>
          </w:p>
        </w:tc>
        <w:tc>
          <w:tcPr>
            <w:tcW w:w="1008" w:type="dxa"/>
            <w:tcBorders>
              <w:bottom w:val="single" w:sz="8" w:space="0" w:color="auto"/>
            </w:tcBorders>
            <w:shd w:val="clear" w:color="auto" w:fill="FFFFFF"/>
            <w:vAlign w:val="center"/>
          </w:tcPr>
          <w:p w:rsidR="007D59E3" w:rsidRPr="00CA5788" w:rsidRDefault="007D59E3" w:rsidP="007D59E3">
            <w:pPr>
              <w:jc w:val="center"/>
              <w:rPr>
                <w:rFonts w:ascii="Calibri" w:hAnsi="Calibri"/>
              </w:rPr>
            </w:pPr>
            <w:r>
              <w:rPr>
                <w:rFonts w:ascii="Calibri" w:hAnsi="Calibri"/>
              </w:rPr>
              <w:t>1,</w:t>
            </w:r>
            <w:r w:rsidR="00225993">
              <w:rPr>
                <w:rFonts w:ascii="Calibri" w:hAnsi="Calibri"/>
              </w:rPr>
              <w:t>463</w:t>
            </w:r>
          </w:p>
        </w:tc>
        <w:tc>
          <w:tcPr>
            <w:tcW w:w="1804" w:type="dxa"/>
            <w:tcBorders>
              <w:bottom w:val="single" w:sz="8" w:space="0" w:color="auto"/>
            </w:tcBorders>
            <w:shd w:val="clear" w:color="auto" w:fill="FFFFFF"/>
            <w:vAlign w:val="center"/>
          </w:tcPr>
          <w:p w:rsidR="007D59E3" w:rsidRPr="007214FD" w:rsidRDefault="007D59E3" w:rsidP="007D59E3">
            <w:pPr>
              <w:jc w:val="center"/>
              <w:rPr>
                <w:rFonts w:ascii="Calibri" w:hAnsi="Calibri"/>
              </w:rPr>
            </w:pPr>
            <w:r>
              <w:rPr>
                <w:rFonts w:ascii="Calibri" w:hAnsi="Calibri"/>
              </w:rPr>
              <w:t>$310,112</w:t>
            </w:r>
          </w:p>
        </w:tc>
      </w:tr>
      <w:tr w:rsidR="007D59E3" w:rsidRPr="007214FD" w:rsidTr="007D59E3">
        <w:trPr>
          <w:trHeight w:val="350"/>
        </w:trPr>
        <w:tc>
          <w:tcPr>
            <w:tcW w:w="5258" w:type="dxa"/>
            <w:shd w:val="clear" w:color="auto" w:fill="632423"/>
            <w:vAlign w:val="center"/>
          </w:tcPr>
          <w:p w:rsidR="007D59E3" w:rsidRPr="007214FD" w:rsidRDefault="00B408CF" w:rsidP="007D59E3">
            <w:pPr>
              <w:rPr>
                <w:rFonts w:ascii="Calibri" w:hAnsi="Calibri"/>
                <w:b/>
                <w:color w:val="FFFFFF"/>
              </w:rPr>
            </w:pPr>
            <w:r w:rsidRPr="007214FD">
              <w:rPr>
                <w:rFonts w:ascii="Calibri" w:hAnsi="Calibri"/>
                <w:b/>
                <w:color w:val="FFFFFF"/>
                <w:lang w:val="en-CA"/>
              </w:rPr>
              <w:fldChar w:fldCharType="begin"/>
            </w:r>
            <w:r w:rsidR="007D59E3" w:rsidRPr="007214FD">
              <w:rPr>
                <w:rFonts w:ascii="Calibri" w:hAnsi="Calibri"/>
                <w:b/>
                <w:color w:val="FFFFFF"/>
                <w:lang w:val="en-CA"/>
              </w:rPr>
              <w:instrText xml:space="preserve"> SEQ CHAPTER \h \r 1</w:instrText>
            </w:r>
            <w:r w:rsidRPr="007214FD">
              <w:rPr>
                <w:rFonts w:ascii="Calibri" w:hAnsi="Calibri"/>
                <w:b/>
                <w:color w:val="FFFFFF"/>
                <w:lang w:val="en-CA"/>
              </w:rPr>
              <w:fldChar w:fldCharType="end"/>
            </w:r>
            <w:r w:rsidR="007D59E3" w:rsidRPr="007214FD">
              <w:rPr>
                <w:rFonts w:ascii="Calibri" w:hAnsi="Calibri"/>
                <w:b/>
                <w:bCs/>
                <w:color w:val="FFFFFF"/>
              </w:rPr>
              <w:t>Total Change 201</w:t>
            </w:r>
            <w:r w:rsidR="007D59E3">
              <w:rPr>
                <w:rFonts w:ascii="Calibri" w:hAnsi="Calibri"/>
                <w:b/>
                <w:bCs/>
                <w:color w:val="FFFFFF"/>
              </w:rPr>
              <w:t>0</w:t>
            </w:r>
            <w:r w:rsidR="007D59E3" w:rsidRPr="007214FD">
              <w:rPr>
                <w:rFonts w:ascii="Calibri" w:hAnsi="Calibri"/>
                <w:b/>
                <w:bCs/>
                <w:color w:val="FFFFFF"/>
              </w:rPr>
              <w:t>-201</w:t>
            </w:r>
            <w:r w:rsidR="007D59E3">
              <w:rPr>
                <w:rFonts w:ascii="Calibri" w:hAnsi="Calibri"/>
                <w:b/>
                <w:bCs/>
                <w:color w:val="FFFFFF"/>
              </w:rPr>
              <w:t>2</w:t>
            </w:r>
          </w:p>
        </w:tc>
        <w:tc>
          <w:tcPr>
            <w:tcW w:w="1436" w:type="dxa"/>
            <w:shd w:val="clear" w:color="auto" w:fill="632423"/>
            <w:vAlign w:val="center"/>
          </w:tcPr>
          <w:p w:rsidR="007D59E3" w:rsidRPr="00CA5788" w:rsidRDefault="00971CD0" w:rsidP="007D59E3">
            <w:pPr>
              <w:jc w:val="center"/>
              <w:rPr>
                <w:rFonts w:ascii="Calibri" w:hAnsi="Calibri"/>
                <w:b/>
                <w:color w:val="FFFFFF"/>
              </w:rPr>
            </w:pPr>
            <w:r>
              <w:rPr>
                <w:rFonts w:ascii="Calibri" w:hAnsi="Calibri"/>
                <w:b/>
                <w:color w:val="FFFFFF"/>
              </w:rPr>
              <w:t>0</w:t>
            </w:r>
          </w:p>
        </w:tc>
        <w:tc>
          <w:tcPr>
            <w:tcW w:w="1008" w:type="dxa"/>
            <w:shd w:val="clear" w:color="auto" w:fill="632423"/>
            <w:vAlign w:val="center"/>
          </w:tcPr>
          <w:p w:rsidR="007D59E3" w:rsidRPr="00CA5788" w:rsidRDefault="00A77B42" w:rsidP="007D59E3">
            <w:pPr>
              <w:jc w:val="center"/>
              <w:rPr>
                <w:rFonts w:ascii="Calibri" w:hAnsi="Calibri"/>
                <w:b/>
                <w:color w:val="FFFFFF"/>
              </w:rPr>
            </w:pPr>
            <w:r>
              <w:rPr>
                <w:rFonts w:ascii="Calibri" w:hAnsi="Calibri"/>
                <w:b/>
                <w:color w:val="FFFFFF"/>
              </w:rPr>
              <w:t>1</w:t>
            </w:r>
            <w:r w:rsidR="00971CD0">
              <w:rPr>
                <w:rFonts w:ascii="Calibri" w:hAnsi="Calibri"/>
                <w:b/>
                <w:color w:val="FFFFFF"/>
              </w:rPr>
              <w:t>01</w:t>
            </w:r>
          </w:p>
        </w:tc>
        <w:tc>
          <w:tcPr>
            <w:tcW w:w="1804" w:type="dxa"/>
            <w:shd w:val="clear" w:color="auto" w:fill="632423"/>
            <w:vAlign w:val="center"/>
          </w:tcPr>
          <w:p w:rsidR="007D59E3" w:rsidRPr="007214FD" w:rsidRDefault="007D59E3" w:rsidP="007D59E3">
            <w:pPr>
              <w:jc w:val="center"/>
              <w:rPr>
                <w:rFonts w:ascii="Calibri" w:hAnsi="Calibri"/>
                <w:b/>
                <w:color w:val="FFFFFF"/>
              </w:rPr>
            </w:pPr>
            <w:r>
              <w:rPr>
                <w:rFonts w:ascii="Calibri" w:hAnsi="Calibri"/>
                <w:b/>
                <w:color w:val="FFFFFF"/>
              </w:rPr>
              <w:t>$17,042</w:t>
            </w:r>
          </w:p>
        </w:tc>
      </w:tr>
    </w:tbl>
    <w:tbl>
      <w:tblPr>
        <w:tblpPr w:leftFromText="180" w:rightFromText="180" w:bottomFromText="155" w:vertAnchor="text" w:horzAnchor="margin" w:tblpY="4524"/>
        <w:tblW w:w="9510" w:type="dxa"/>
        <w:shd w:val="clear" w:color="auto" w:fill="CCFFFF"/>
        <w:tblCellMar>
          <w:left w:w="0" w:type="dxa"/>
          <w:right w:w="0" w:type="dxa"/>
        </w:tblCellMar>
        <w:tblLook w:val="04A0" w:firstRow="1" w:lastRow="0" w:firstColumn="1" w:lastColumn="0" w:noHBand="0" w:noVBand="1"/>
      </w:tblPr>
      <w:tblGrid>
        <w:gridCol w:w="5260"/>
        <w:gridCol w:w="1437"/>
        <w:gridCol w:w="1008"/>
        <w:gridCol w:w="1805"/>
      </w:tblGrid>
      <w:tr w:rsidR="007D59E3" w:rsidRPr="007D59E3" w:rsidTr="007D59E3">
        <w:trPr>
          <w:trHeight w:val="431"/>
        </w:trPr>
        <w:tc>
          <w:tcPr>
            <w:tcW w:w="5260" w:type="dxa"/>
            <w:tcBorders>
              <w:top w:val="single" w:sz="8" w:space="0" w:color="auto"/>
              <w:left w:val="single" w:sz="8" w:space="0" w:color="auto"/>
              <w:bottom w:val="single" w:sz="8" w:space="0" w:color="auto"/>
              <w:right w:val="single" w:sz="8" w:space="0" w:color="auto"/>
            </w:tcBorders>
            <w:shd w:val="clear" w:color="auto" w:fill="632423"/>
            <w:tcMar>
              <w:top w:w="0" w:type="dxa"/>
              <w:left w:w="108" w:type="dxa"/>
              <w:bottom w:w="0" w:type="dxa"/>
              <w:right w:w="108" w:type="dxa"/>
            </w:tcMar>
            <w:vAlign w:val="center"/>
            <w:hideMark/>
          </w:tcPr>
          <w:p w:rsidR="007D59E3" w:rsidRPr="007D59E3" w:rsidRDefault="007D59E3" w:rsidP="007D59E3">
            <w:pPr>
              <w:spacing w:line="276" w:lineRule="auto"/>
              <w:rPr>
                <w:rFonts w:ascii="Calibri" w:eastAsiaTheme="minorHAnsi" w:hAnsi="Calibri"/>
                <w:b/>
                <w:bCs/>
                <w:color w:val="FFFFFF"/>
              </w:rPr>
            </w:pPr>
            <w:r w:rsidRPr="007D59E3">
              <w:rPr>
                <w:rFonts w:ascii="Calibri" w:eastAsiaTheme="minorHAnsi" w:hAnsi="Calibri"/>
                <w:b/>
                <w:bCs/>
                <w:color w:val="FFFFFF"/>
              </w:rPr>
              <w:t>Legal Representation – Information Technology Breakout</w:t>
            </w:r>
          </w:p>
        </w:tc>
        <w:tc>
          <w:tcPr>
            <w:tcW w:w="1437" w:type="dxa"/>
            <w:tcBorders>
              <w:top w:val="single" w:sz="8" w:space="0" w:color="auto"/>
              <w:left w:val="nil"/>
              <w:bottom w:val="single" w:sz="8" w:space="0" w:color="auto"/>
              <w:right w:val="single" w:sz="8" w:space="0" w:color="auto"/>
            </w:tcBorders>
            <w:shd w:val="clear" w:color="auto" w:fill="632423"/>
            <w:tcMar>
              <w:top w:w="0" w:type="dxa"/>
              <w:left w:w="108" w:type="dxa"/>
              <w:bottom w:w="0" w:type="dxa"/>
              <w:right w:w="108" w:type="dxa"/>
            </w:tcMar>
            <w:vAlign w:val="center"/>
            <w:hideMark/>
          </w:tcPr>
          <w:p w:rsidR="007D59E3" w:rsidRPr="007D59E3" w:rsidRDefault="007D59E3" w:rsidP="007D59E3">
            <w:pPr>
              <w:spacing w:line="276" w:lineRule="auto"/>
              <w:jc w:val="center"/>
              <w:rPr>
                <w:rFonts w:ascii="Calibri" w:eastAsiaTheme="minorHAnsi" w:hAnsi="Calibri"/>
                <w:b/>
                <w:bCs/>
                <w:color w:val="FFFFFF"/>
              </w:rPr>
            </w:pPr>
            <w:r w:rsidRPr="007D59E3">
              <w:rPr>
                <w:rFonts w:ascii="Calibri" w:eastAsiaTheme="minorHAnsi" w:hAnsi="Calibri"/>
                <w:b/>
                <w:bCs/>
                <w:color w:val="FFFFFF"/>
              </w:rPr>
              <w:t>Perm. Pos.</w:t>
            </w:r>
          </w:p>
        </w:tc>
        <w:tc>
          <w:tcPr>
            <w:tcW w:w="1008" w:type="dxa"/>
            <w:tcBorders>
              <w:top w:val="single" w:sz="8" w:space="0" w:color="auto"/>
              <w:left w:val="nil"/>
              <w:bottom w:val="single" w:sz="8" w:space="0" w:color="auto"/>
              <w:right w:val="single" w:sz="8" w:space="0" w:color="auto"/>
            </w:tcBorders>
            <w:shd w:val="clear" w:color="auto" w:fill="632423"/>
            <w:tcMar>
              <w:top w:w="0" w:type="dxa"/>
              <w:left w:w="108" w:type="dxa"/>
              <w:bottom w:w="0" w:type="dxa"/>
              <w:right w:w="108" w:type="dxa"/>
            </w:tcMar>
            <w:vAlign w:val="center"/>
            <w:hideMark/>
          </w:tcPr>
          <w:p w:rsidR="007D59E3" w:rsidRPr="007D59E3" w:rsidRDefault="007D59E3" w:rsidP="007D59E3">
            <w:pPr>
              <w:spacing w:line="276" w:lineRule="auto"/>
              <w:jc w:val="center"/>
              <w:rPr>
                <w:rFonts w:ascii="Calibri" w:eastAsiaTheme="minorHAnsi" w:hAnsi="Calibri"/>
                <w:b/>
                <w:bCs/>
                <w:color w:val="FFFFFF"/>
              </w:rPr>
            </w:pPr>
            <w:r w:rsidRPr="007D59E3">
              <w:rPr>
                <w:rFonts w:ascii="Calibri" w:eastAsiaTheme="minorHAnsi" w:hAnsi="Calibri"/>
                <w:b/>
                <w:bCs/>
                <w:color w:val="FFFFFF"/>
              </w:rPr>
              <w:t>FTE</w:t>
            </w:r>
          </w:p>
        </w:tc>
        <w:tc>
          <w:tcPr>
            <w:tcW w:w="1805" w:type="dxa"/>
            <w:tcBorders>
              <w:top w:val="single" w:sz="8" w:space="0" w:color="auto"/>
              <w:left w:val="nil"/>
              <w:bottom w:val="single" w:sz="8" w:space="0" w:color="auto"/>
              <w:right w:val="single" w:sz="8" w:space="0" w:color="auto"/>
            </w:tcBorders>
            <w:shd w:val="clear" w:color="auto" w:fill="632423"/>
            <w:tcMar>
              <w:top w:w="0" w:type="dxa"/>
              <w:left w:w="108" w:type="dxa"/>
              <w:bottom w:w="0" w:type="dxa"/>
              <w:right w:w="108" w:type="dxa"/>
            </w:tcMar>
            <w:vAlign w:val="center"/>
            <w:hideMark/>
          </w:tcPr>
          <w:p w:rsidR="007D59E3" w:rsidRPr="007D59E3" w:rsidRDefault="007D59E3" w:rsidP="007D59E3">
            <w:pPr>
              <w:spacing w:line="276" w:lineRule="auto"/>
              <w:jc w:val="center"/>
              <w:rPr>
                <w:rFonts w:ascii="Calibri" w:eastAsiaTheme="minorHAnsi" w:hAnsi="Calibri"/>
                <w:b/>
                <w:bCs/>
                <w:color w:val="FFFFFF"/>
              </w:rPr>
            </w:pPr>
            <w:r w:rsidRPr="007D59E3">
              <w:rPr>
                <w:rFonts w:ascii="Calibri" w:eastAsiaTheme="minorHAnsi" w:hAnsi="Calibri"/>
                <w:b/>
                <w:bCs/>
                <w:color w:val="FFFFFF"/>
              </w:rPr>
              <w:t>Amount ($000)</w:t>
            </w:r>
          </w:p>
        </w:tc>
      </w:tr>
      <w:tr w:rsidR="007D59E3" w:rsidRPr="007D59E3" w:rsidTr="007D59E3">
        <w:trPr>
          <w:trHeight w:val="350"/>
        </w:trPr>
        <w:tc>
          <w:tcPr>
            <w:tcW w:w="5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D59E3" w:rsidRPr="007D59E3" w:rsidRDefault="007D59E3" w:rsidP="007D59E3">
            <w:pPr>
              <w:spacing w:line="276" w:lineRule="auto"/>
              <w:rPr>
                <w:rFonts w:ascii="Calibri" w:eastAsiaTheme="minorHAnsi" w:hAnsi="Calibri"/>
                <w:lang w:val="en-CA"/>
              </w:rPr>
            </w:pPr>
            <w:r w:rsidRPr="007D59E3">
              <w:rPr>
                <w:rFonts w:ascii="Calibri" w:eastAsiaTheme="minorHAnsi" w:hAnsi="Calibri"/>
                <w:lang w:val="en-CA"/>
              </w:rPr>
              <w:t>2010 Enacted with Rescissions</w:t>
            </w:r>
          </w:p>
        </w:tc>
        <w:tc>
          <w:tcPr>
            <w:tcW w:w="1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59E3" w:rsidRPr="007D59E3" w:rsidRDefault="007D59E3" w:rsidP="007D59E3">
            <w:pPr>
              <w:spacing w:line="276" w:lineRule="auto"/>
              <w:jc w:val="center"/>
              <w:rPr>
                <w:rFonts w:ascii="Calibri" w:eastAsiaTheme="minorHAnsi" w:hAnsi="Calibri"/>
              </w:rPr>
            </w:pPr>
            <w:r w:rsidRPr="007D59E3">
              <w:rPr>
                <w:rFonts w:ascii="Calibri" w:eastAsiaTheme="minorHAnsi" w:hAnsi="Calibri"/>
              </w:rPr>
              <w:t>24</w:t>
            </w:r>
          </w:p>
        </w:tc>
        <w:tc>
          <w:tcPr>
            <w:tcW w:w="1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59E3" w:rsidRPr="007D59E3" w:rsidRDefault="007D59E3" w:rsidP="007D59E3">
            <w:pPr>
              <w:spacing w:line="276" w:lineRule="auto"/>
              <w:jc w:val="center"/>
              <w:rPr>
                <w:rFonts w:ascii="Calibri" w:eastAsiaTheme="minorHAnsi" w:hAnsi="Calibri"/>
              </w:rPr>
            </w:pPr>
            <w:r w:rsidRPr="007D59E3">
              <w:rPr>
                <w:rFonts w:ascii="Calibri" w:eastAsiaTheme="minorHAnsi" w:hAnsi="Calibri"/>
              </w:rPr>
              <w:t>24</w:t>
            </w:r>
          </w:p>
        </w:tc>
        <w:tc>
          <w:tcPr>
            <w:tcW w:w="1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59E3" w:rsidRPr="007D59E3" w:rsidRDefault="007D59E3" w:rsidP="007D59E3">
            <w:pPr>
              <w:spacing w:line="276" w:lineRule="auto"/>
              <w:jc w:val="center"/>
              <w:rPr>
                <w:rFonts w:ascii="Calibri" w:eastAsiaTheme="minorHAnsi" w:hAnsi="Calibri"/>
              </w:rPr>
            </w:pPr>
            <w:r w:rsidRPr="007D59E3">
              <w:rPr>
                <w:rFonts w:ascii="Calibri" w:eastAsiaTheme="minorHAnsi" w:hAnsi="Calibri"/>
              </w:rPr>
              <w:t>$18,519</w:t>
            </w:r>
          </w:p>
        </w:tc>
      </w:tr>
      <w:tr w:rsidR="007D59E3" w:rsidRPr="007D59E3" w:rsidTr="007D59E3">
        <w:trPr>
          <w:trHeight w:val="350"/>
        </w:trPr>
        <w:tc>
          <w:tcPr>
            <w:tcW w:w="5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D59E3" w:rsidRPr="007D59E3" w:rsidRDefault="007D59E3" w:rsidP="007D59E3">
            <w:pPr>
              <w:spacing w:line="276" w:lineRule="auto"/>
              <w:rPr>
                <w:rFonts w:ascii="Calibri" w:eastAsiaTheme="minorHAnsi" w:hAnsi="Calibri"/>
              </w:rPr>
            </w:pPr>
            <w:r w:rsidRPr="007D59E3">
              <w:rPr>
                <w:rFonts w:ascii="Calibri" w:eastAsiaTheme="minorHAnsi" w:hAnsi="Calibri"/>
                <w:lang w:val="en-CA"/>
              </w:rPr>
              <w:t>2010 Supplemental</w:t>
            </w:r>
          </w:p>
        </w:tc>
        <w:tc>
          <w:tcPr>
            <w:tcW w:w="1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59E3" w:rsidRPr="007D59E3" w:rsidRDefault="007D59E3" w:rsidP="007D59E3">
            <w:pPr>
              <w:spacing w:line="276" w:lineRule="auto"/>
              <w:jc w:val="center"/>
              <w:rPr>
                <w:rFonts w:ascii="Calibri" w:eastAsiaTheme="minorHAnsi" w:hAnsi="Calibri"/>
              </w:rPr>
            </w:pPr>
            <w:r w:rsidRPr="007D59E3">
              <w:rPr>
                <w:rFonts w:ascii="Calibri" w:eastAsiaTheme="minorHAnsi" w:hAnsi="Calibri"/>
              </w:rPr>
              <w:t>0</w:t>
            </w:r>
          </w:p>
        </w:tc>
        <w:tc>
          <w:tcPr>
            <w:tcW w:w="1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59E3" w:rsidRPr="007D59E3" w:rsidRDefault="007D59E3" w:rsidP="007D59E3">
            <w:pPr>
              <w:spacing w:line="276" w:lineRule="auto"/>
              <w:jc w:val="center"/>
              <w:rPr>
                <w:rFonts w:ascii="Calibri" w:eastAsiaTheme="minorHAnsi" w:hAnsi="Calibri"/>
              </w:rPr>
            </w:pPr>
            <w:r w:rsidRPr="007D59E3">
              <w:rPr>
                <w:rFonts w:ascii="Calibri" w:eastAsiaTheme="minorHAnsi" w:hAnsi="Calibri"/>
              </w:rPr>
              <w:t>0</w:t>
            </w:r>
          </w:p>
        </w:tc>
        <w:tc>
          <w:tcPr>
            <w:tcW w:w="1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59E3" w:rsidRPr="007D59E3" w:rsidRDefault="007D59E3" w:rsidP="007D59E3">
            <w:pPr>
              <w:spacing w:line="276" w:lineRule="auto"/>
              <w:jc w:val="center"/>
              <w:rPr>
                <w:rFonts w:ascii="Calibri" w:eastAsiaTheme="minorHAnsi" w:hAnsi="Calibri"/>
              </w:rPr>
            </w:pPr>
            <w:r w:rsidRPr="007D59E3">
              <w:rPr>
                <w:rFonts w:ascii="Calibri" w:eastAsiaTheme="minorHAnsi" w:hAnsi="Calibri"/>
              </w:rPr>
              <w:t>0</w:t>
            </w:r>
          </w:p>
        </w:tc>
      </w:tr>
      <w:tr w:rsidR="007D59E3" w:rsidRPr="007D59E3" w:rsidTr="007D59E3">
        <w:trPr>
          <w:trHeight w:val="350"/>
        </w:trPr>
        <w:tc>
          <w:tcPr>
            <w:tcW w:w="5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D59E3" w:rsidRPr="007D59E3" w:rsidRDefault="007D59E3" w:rsidP="007D59E3">
            <w:pPr>
              <w:spacing w:line="276" w:lineRule="auto"/>
              <w:rPr>
                <w:rFonts w:ascii="Calibri" w:eastAsiaTheme="minorHAnsi" w:hAnsi="Calibri"/>
                <w:lang w:val="en-CA"/>
              </w:rPr>
            </w:pPr>
            <w:r w:rsidRPr="007D59E3">
              <w:rPr>
                <w:rFonts w:ascii="Calibri" w:eastAsiaTheme="minorHAnsi" w:hAnsi="Calibri"/>
                <w:lang w:val="en-CA"/>
              </w:rPr>
              <w:t>2010 Enacted w/Rescissions and Supplementals</w:t>
            </w:r>
          </w:p>
        </w:tc>
        <w:tc>
          <w:tcPr>
            <w:tcW w:w="1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59E3" w:rsidRPr="007D59E3" w:rsidRDefault="007D59E3" w:rsidP="007D59E3">
            <w:pPr>
              <w:spacing w:line="276" w:lineRule="auto"/>
              <w:jc w:val="center"/>
              <w:rPr>
                <w:rFonts w:ascii="Calibri" w:eastAsiaTheme="minorHAnsi" w:hAnsi="Calibri"/>
              </w:rPr>
            </w:pPr>
            <w:r w:rsidRPr="007D59E3">
              <w:rPr>
                <w:rFonts w:ascii="Calibri" w:eastAsiaTheme="minorHAnsi" w:hAnsi="Calibri"/>
              </w:rPr>
              <w:t>24</w:t>
            </w:r>
          </w:p>
        </w:tc>
        <w:tc>
          <w:tcPr>
            <w:tcW w:w="1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59E3" w:rsidRPr="007D59E3" w:rsidRDefault="007D59E3" w:rsidP="007D59E3">
            <w:pPr>
              <w:spacing w:line="276" w:lineRule="auto"/>
              <w:jc w:val="center"/>
              <w:rPr>
                <w:rFonts w:ascii="Calibri" w:eastAsiaTheme="minorHAnsi" w:hAnsi="Calibri"/>
              </w:rPr>
            </w:pPr>
            <w:r w:rsidRPr="007D59E3">
              <w:rPr>
                <w:rFonts w:ascii="Calibri" w:eastAsiaTheme="minorHAnsi" w:hAnsi="Calibri"/>
              </w:rPr>
              <w:t>24</w:t>
            </w:r>
          </w:p>
        </w:tc>
        <w:tc>
          <w:tcPr>
            <w:tcW w:w="1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59E3" w:rsidRPr="007D59E3" w:rsidRDefault="007D59E3" w:rsidP="007D59E3">
            <w:pPr>
              <w:spacing w:line="276" w:lineRule="auto"/>
              <w:jc w:val="center"/>
              <w:rPr>
                <w:rFonts w:ascii="Calibri" w:eastAsiaTheme="minorHAnsi" w:hAnsi="Calibri"/>
              </w:rPr>
            </w:pPr>
            <w:r w:rsidRPr="007D59E3">
              <w:rPr>
                <w:rFonts w:ascii="Calibri" w:eastAsiaTheme="minorHAnsi" w:hAnsi="Calibri"/>
              </w:rPr>
              <w:t>$18,519</w:t>
            </w:r>
          </w:p>
        </w:tc>
      </w:tr>
      <w:tr w:rsidR="007D59E3" w:rsidRPr="007D59E3" w:rsidTr="007D59E3">
        <w:trPr>
          <w:trHeight w:val="350"/>
        </w:trPr>
        <w:tc>
          <w:tcPr>
            <w:tcW w:w="5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D59E3" w:rsidRPr="007D59E3" w:rsidRDefault="007D59E3" w:rsidP="007D59E3">
            <w:pPr>
              <w:spacing w:line="276" w:lineRule="auto"/>
              <w:rPr>
                <w:rFonts w:ascii="Calibri" w:eastAsiaTheme="minorHAnsi" w:hAnsi="Calibri"/>
                <w:lang w:val="en-CA"/>
              </w:rPr>
            </w:pPr>
            <w:r w:rsidRPr="007D59E3">
              <w:rPr>
                <w:rFonts w:ascii="Calibri" w:eastAsiaTheme="minorHAnsi" w:hAnsi="Calibri"/>
                <w:lang w:val="en-CA"/>
              </w:rPr>
              <w:t>2011 Full-Year Continuing Resolution</w:t>
            </w:r>
          </w:p>
        </w:tc>
        <w:tc>
          <w:tcPr>
            <w:tcW w:w="1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59E3" w:rsidRPr="007D59E3" w:rsidRDefault="007D59E3" w:rsidP="007D59E3">
            <w:pPr>
              <w:spacing w:line="276" w:lineRule="auto"/>
              <w:jc w:val="center"/>
              <w:rPr>
                <w:rFonts w:ascii="Calibri" w:eastAsiaTheme="minorHAnsi" w:hAnsi="Calibri"/>
              </w:rPr>
            </w:pPr>
            <w:r w:rsidRPr="007D59E3">
              <w:rPr>
                <w:rFonts w:ascii="Calibri" w:eastAsiaTheme="minorHAnsi" w:hAnsi="Calibri"/>
              </w:rPr>
              <w:t>24</w:t>
            </w:r>
          </w:p>
        </w:tc>
        <w:tc>
          <w:tcPr>
            <w:tcW w:w="1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59E3" w:rsidRPr="007D59E3" w:rsidRDefault="007D59E3" w:rsidP="007D59E3">
            <w:pPr>
              <w:spacing w:line="276" w:lineRule="auto"/>
              <w:jc w:val="center"/>
              <w:rPr>
                <w:rFonts w:ascii="Calibri" w:eastAsiaTheme="minorHAnsi" w:hAnsi="Calibri"/>
              </w:rPr>
            </w:pPr>
            <w:r w:rsidRPr="007D59E3">
              <w:rPr>
                <w:rFonts w:ascii="Calibri" w:eastAsiaTheme="minorHAnsi" w:hAnsi="Calibri"/>
              </w:rPr>
              <w:t>24</w:t>
            </w:r>
          </w:p>
        </w:tc>
        <w:tc>
          <w:tcPr>
            <w:tcW w:w="1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59E3" w:rsidRPr="007D59E3" w:rsidRDefault="007D59E3" w:rsidP="007D59E3">
            <w:pPr>
              <w:spacing w:line="276" w:lineRule="auto"/>
              <w:jc w:val="center"/>
              <w:rPr>
                <w:rFonts w:ascii="Calibri" w:eastAsiaTheme="minorHAnsi" w:hAnsi="Calibri"/>
              </w:rPr>
            </w:pPr>
            <w:r w:rsidRPr="007D59E3">
              <w:rPr>
                <w:rFonts w:ascii="Calibri" w:eastAsiaTheme="minorHAnsi" w:hAnsi="Calibri"/>
              </w:rPr>
              <w:t>$17,800</w:t>
            </w:r>
          </w:p>
        </w:tc>
      </w:tr>
      <w:tr w:rsidR="007D59E3" w:rsidRPr="007D59E3" w:rsidTr="007D59E3">
        <w:trPr>
          <w:trHeight w:val="350"/>
        </w:trPr>
        <w:tc>
          <w:tcPr>
            <w:tcW w:w="5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D59E3" w:rsidRPr="007D59E3" w:rsidRDefault="007D59E3" w:rsidP="007D59E3">
            <w:pPr>
              <w:spacing w:line="276" w:lineRule="auto"/>
              <w:rPr>
                <w:rFonts w:ascii="Calibri" w:eastAsiaTheme="minorHAnsi" w:hAnsi="Calibri"/>
                <w:lang w:val="en-CA"/>
              </w:rPr>
            </w:pPr>
            <w:r w:rsidRPr="007D59E3">
              <w:rPr>
                <w:rFonts w:ascii="Calibri" w:eastAsiaTheme="minorHAnsi" w:hAnsi="Calibri"/>
                <w:lang w:val="en-CA"/>
              </w:rPr>
              <w:t>Adjustments to Base and Technical Adjustments</w:t>
            </w:r>
          </w:p>
        </w:tc>
        <w:tc>
          <w:tcPr>
            <w:tcW w:w="1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59E3" w:rsidRPr="007D59E3" w:rsidRDefault="007D59E3" w:rsidP="007D59E3">
            <w:pPr>
              <w:spacing w:line="276" w:lineRule="auto"/>
              <w:jc w:val="center"/>
              <w:rPr>
                <w:rFonts w:ascii="Calibri" w:eastAsiaTheme="minorHAnsi" w:hAnsi="Calibri"/>
              </w:rPr>
            </w:pPr>
            <w:r w:rsidRPr="007D59E3">
              <w:rPr>
                <w:rFonts w:ascii="Calibri" w:eastAsiaTheme="minorHAnsi" w:hAnsi="Calibri"/>
              </w:rPr>
              <w:t>0</w:t>
            </w:r>
          </w:p>
        </w:tc>
        <w:tc>
          <w:tcPr>
            <w:tcW w:w="1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59E3" w:rsidRPr="007D59E3" w:rsidRDefault="007D59E3" w:rsidP="007D59E3">
            <w:pPr>
              <w:spacing w:line="276" w:lineRule="auto"/>
              <w:jc w:val="center"/>
              <w:rPr>
                <w:rFonts w:ascii="Calibri" w:eastAsiaTheme="minorHAnsi" w:hAnsi="Calibri"/>
              </w:rPr>
            </w:pPr>
            <w:r w:rsidRPr="007D59E3">
              <w:rPr>
                <w:rFonts w:ascii="Calibri" w:eastAsiaTheme="minorHAnsi" w:hAnsi="Calibri"/>
              </w:rPr>
              <w:t>0</w:t>
            </w:r>
          </w:p>
        </w:tc>
        <w:tc>
          <w:tcPr>
            <w:tcW w:w="1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59E3" w:rsidRPr="007D59E3" w:rsidRDefault="007D59E3" w:rsidP="007D59E3">
            <w:pPr>
              <w:spacing w:line="276" w:lineRule="auto"/>
              <w:jc w:val="center"/>
              <w:rPr>
                <w:rFonts w:ascii="Calibri" w:eastAsiaTheme="minorHAnsi" w:hAnsi="Calibri"/>
              </w:rPr>
            </w:pPr>
            <w:r w:rsidRPr="007D59E3">
              <w:rPr>
                <w:rFonts w:ascii="Calibri" w:eastAsiaTheme="minorHAnsi" w:hAnsi="Calibri"/>
              </w:rPr>
              <w:t>($223)</w:t>
            </w:r>
          </w:p>
        </w:tc>
      </w:tr>
      <w:tr w:rsidR="007D59E3" w:rsidRPr="007D59E3" w:rsidTr="007D59E3">
        <w:trPr>
          <w:trHeight w:val="350"/>
        </w:trPr>
        <w:tc>
          <w:tcPr>
            <w:tcW w:w="5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D59E3" w:rsidRPr="007D59E3" w:rsidRDefault="007D59E3" w:rsidP="007D59E3">
            <w:pPr>
              <w:spacing w:line="276" w:lineRule="auto"/>
              <w:rPr>
                <w:rFonts w:ascii="Calibri" w:eastAsiaTheme="minorHAnsi" w:hAnsi="Calibri"/>
                <w:lang w:val="en-CA"/>
              </w:rPr>
            </w:pPr>
            <w:r w:rsidRPr="007D59E3">
              <w:rPr>
                <w:rFonts w:ascii="Calibri" w:eastAsiaTheme="minorHAnsi" w:hAnsi="Calibri"/>
                <w:lang w:val="en-CA"/>
              </w:rPr>
              <w:t>2012 Current Services</w:t>
            </w:r>
          </w:p>
        </w:tc>
        <w:tc>
          <w:tcPr>
            <w:tcW w:w="1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59E3" w:rsidRPr="007D59E3" w:rsidRDefault="007D59E3" w:rsidP="007D59E3">
            <w:pPr>
              <w:spacing w:line="276" w:lineRule="auto"/>
              <w:jc w:val="center"/>
              <w:rPr>
                <w:rFonts w:ascii="Calibri" w:eastAsiaTheme="minorHAnsi" w:hAnsi="Calibri"/>
              </w:rPr>
            </w:pPr>
            <w:r w:rsidRPr="007D59E3">
              <w:rPr>
                <w:rFonts w:ascii="Calibri" w:eastAsiaTheme="minorHAnsi" w:hAnsi="Calibri"/>
              </w:rPr>
              <w:t>24</w:t>
            </w:r>
          </w:p>
        </w:tc>
        <w:tc>
          <w:tcPr>
            <w:tcW w:w="1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59E3" w:rsidRPr="007D59E3" w:rsidRDefault="007D59E3" w:rsidP="007D59E3">
            <w:pPr>
              <w:spacing w:line="276" w:lineRule="auto"/>
              <w:jc w:val="center"/>
              <w:rPr>
                <w:rFonts w:ascii="Calibri" w:eastAsiaTheme="minorHAnsi" w:hAnsi="Calibri"/>
              </w:rPr>
            </w:pPr>
            <w:r w:rsidRPr="007D59E3">
              <w:rPr>
                <w:rFonts w:ascii="Calibri" w:eastAsiaTheme="minorHAnsi" w:hAnsi="Calibri"/>
              </w:rPr>
              <w:t>24</w:t>
            </w:r>
          </w:p>
        </w:tc>
        <w:tc>
          <w:tcPr>
            <w:tcW w:w="1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59E3" w:rsidRPr="007D59E3" w:rsidRDefault="007D59E3" w:rsidP="007D59E3">
            <w:pPr>
              <w:spacing w:line="276" w:lineRule="auto"/>
              <w:jc w:val="center"/>
              <w:rPr>
                <w:rFonts w:ascii="Calibri" w:eastAsiaTheme="minorHAnsi" w:hAnsi="Calibri"/>
              </w:rPr>
            </w:pPr>
            <w:r w:rsidRPr="007D59E3">
              <w:rPr>
                <w:rFonts w:ascii="Calibri" w:eastAsiaTheme="minorHAnsi" w:hAnsi="Calibri"/>
              </w:rPr>
              <w:t>$17,577</w:t>
            </w:r>
          </w:p>
        </w:tc>
      </w:tr>
      <w:tr w:rsidR="007D59E3" w:rsidRPr="007D59E3" w:rsidTr="007D59E3">
        <w:trPr>
          <w:trHeight w:val="350"/>
        </w:trPr>
        <w:tc>
          <w:tcPr>
            <w:tcW w:w="5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D59E3" w:rsidRPr="007D59E3" w:rsidRDefault="007D59E3" w:rsidP="007D59E3">
            <w:pPr>
              <w:spacing w:line="276" w:lineRule="auto"/>
              <w:rPr>
                <w:rFonts w:ascii="Calibri" w:eastAsiaTheme="minorHAnsi" w:hAnsi="Calibri"/>
                <w:lang w:val="en-CA"/>
              </w:rPr>
            </w:pPr>
            <w:r w:rsidRPr="007D59E3">
              <w:rPr>
                <w:rFonts w:ascii="Calibri" w:eastAsiaTheme="minorHAnsi" w:hAnsi="Calibri"/>
                <w:lang w:val="en-CA"/>
              </w:rPr>
              <w:t>2012 Request</w:t>
            </w:r>
          </w:p>
        </w:tc>
        <w:tc>
          <w:tcPr>
            <w:tcW w:w="1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59E3" w:rsidRPr="007D59E3" w:rsidRDefault="007D59E3" w:rsidP="007D59E3">
            <w:pPr>
              <w:spacing w:line="276" w:lineRule="auto"/>
              <w:jc w:val="center"/>
              <w:rPr>
                <w:rFonts w:ascii="Calibri" w:eastAsiaTheme="minorHAnsi" w:hAnsi="Calibri"/>
              </w:rPr>
            </w:pPr>
            <w:r w:rsidRPr="007D59E3">
              <w:rPr>
                <w:rFonts w:ascii="Calibri" w:eastAsiaTheme="minorHAnsi" w:hAnsi="Calibri"/>
              </w:rPr>
              <w:t>24</w:t>
            </w:r>
          </w:p>
        </w:tc>
        <w:tc>
          <w:tcPr>
            <w:tcW w:w="1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59E3" w:rsidRPr="007D59E3" w:rsidRDefault="007D59E3" w:rsidP="007D59E3">
            <w:pPr>
              <w:spacing w:line="276" w:lineRule="auto"/>
              <w:jc w:val="center"/>
              <w:rPr>
                <w:rFonts w:ascii="Calibri" w:eastAsiaTheme="minorHAnsi" w:hAnsi="Calibri"/>
              </w:rPr>
            </w:pPr>
            <w:r w:rsidRPr="007D59E3">
              <w:rPr>
                <w:rFonts w:ascii="Calibri" w:eastAsiaTheme="minorHAnsi" w:hAnsi="Calibri"/>
              </w:rPr>
              <w:t>24</w:t>
            </w:r>
          </w:p>
        </w:tc>
        <w:tc>
          <w:tcPr>
            <w:tcW w:w="1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59E3" w:rsidRPr="007D59E3" w:rsidRDefault="007D59E3" w:rsidP="007D59E3">
            <w:pPr>
              <w:spacing w:line="276" w:lineRule="auto"/>
              <w:jc w:val="center"/>
              <w:rPr>
                <w:rFonts w:ascii="Calibri" w:eastAsiaTheme="minorHAnsi" w:hAnsi="Calibri"/>
              </w:rPr>
            </w:pPr>
            <w:r w:rsidRPr="007D59E3">
              <w:rPr>
                <w:rFonts w:ascii="Calibri" w:eastAsiaTheme="minorHAnsi" w:hAnsi="Calibri"/>
              </w:rPr>
              <w:t>$17,577</w:t>
            </w:r>
          </w:p>
        </w:tc>
      </w:tr>
      <w:tr w:rsidR="007D59E3" w:rsidRPr="007D59E3" w:rsidTr="007D59E3">
        <w:trPr>
          <w:trHeight w:val="350"/>
        </w:trPr>
        <w:tc>
          <w:tcPr>
            <w:tcW w:w="5260" w:type="dxa"/>
            <w:tcBorders>
              <w:top w:val="nil"/>
              <w:left w:val="single" w:sz="8" w:space="0" w:color="auto"/>
              <w:bottom w:val="single" w:sz="8" w:space="0" w:color="auto"/>
              <w:right w:val="single" w:sz="8" w:space="0" w:color="auto"/>
            </w:tcBorders>
            <w:shd w:val="clear" w:color="auto" w:fill="632423"/>
            <w:tcMar>
              <w:top w:w="0" w:type="dxa"/>
              <w:left w:w="108" w:type="dxa"/>
              <w:bottom w:w="0" w:type="dxa"/>
              <w:right w:w="108" w:type="dxa"/>
            </w:tcMar>
            <w:vAlign w:val="center"/>
            <w:hideMark/>
          </w:tcPr>
          <w:p w:rsidR="007D59E3" w:rsidRPr="007D59E3" w:rsidRDefault="007D59E3" w:rsidP="007D59E3">
            <w:pPr>
              <w:spacing w:line="276" w:lineRule="auto"/>
              <w:rPr>
                <w:rFonts w:ascii="Calibri" w:eastAsiaTheme="minorHAnsi" w:hAnsi="Calibri"/>
                <w:b/>
                <w:bCs/>
                <w:color w:val="FFFFFF"/>
              </w:rPr>
            </w:pPr>
            <w:r w:rsidRPr="007D59E3">
              <w:rPr>
                <w:rFonts w:ascii="Calibri" w:eastAsiaTheme="minorHAnsi" w:hAnsi="Calibri"/>
                <w:b/>
                <w:bCs/>
                <w:color w:val="FFFFFF"/>
              </w:rPr>
              <w:t>Total Change 2010-2012</w:t>
            </w:r>
          </w:p>
        </w:tc>
        <w:tc>
          <w:tcPr>
            <w:tcW w:w="1437" w:type="dxa"/>
            <w:tcBorders>
              <w:top w:val="nil"/>
              <w:left w:val="nil"/>
              <w:bottom w:val="single" w:sz="8" w:space="0" w:color="auto"/>
              <w:right w:val="single" w:sz="8" w:space="0" w:color="auto"/>
            </w:tcBorders>
            <w:shd w:val="clear" w:color="auto" w:fill="632423"/>
            <w:tcMar>
              <w:top w:w="0" w:type="dxa"/>
              <w:left w:w="108" w:type="dxa"/>
              <w:bottom w:w="0" w:type="dxa"/>
              <w:right w:w="108" w:type="dxa"/>
            </w:tcMar>
            <w:vAlign w:val="center"/>
            <w:hideMark/>
          </w:tcPr>
          <w:p w:rsidR="007D59E3" w:rsidRPr="007D59E3" w:rsidRDefault="007D59E3" w:rsidP="007D59E3">
            <w:pPr>
              <w:spacing w:line="276" w:lineRule="auto"/>
              <w:jc w:val="center"/>
              <w:rPr>
                <w:rFonts w:ascii="Calibri" w:eastAsiaTheme="minorHAnsi" w:hAnsi="Calibri"/>
                <w:b/>
                <w:bCs/>
              </w:rPr>
            </w:pPr>
            <w:r w:rsidRPr="007D59E3">
              <w:rPr>
                <w:rFonts w:ascii="Calibri" w:eastAsiaTheme="minorHAnsi" w:hAnsi="Calibri"/>
                <w:b/>
                <w:bCs/>
              </w:rPr>
              <w:t>0</w:t>
            </w:r>
          </w:p>
        </w:tc>
        <w:tc>
          <w:tcPr>
            <w:tcW w:w="1008" w:type="dxa"/>
            <w:tcBorders>
              <w:top w:val="nil"/>
              <w:left w:val="nil"/>
              <w:bottom w:val="single" w:sz="8" w:space="0" w:color="auto"/>
              <w:right w:val="single" w:sz="8" w:space="0" w:color="auto"/>
            </w:tcBorders>
            <w:shd w:val="clear" w:color="auto" w:fill="632423"/>
            <w:tcMar>
              <w:top w:w="0" w:type="dxa"/>
              <w:left w:w="108" w:type="dxa"/>
              <w:bottom w:w="0" w:type="dxa"/>
              <w:right w:w="108" w:type="dxa"/>
            </w:tcMar>
            <w:vAlign w:val="center"/>
            <w:hideMark/>
          </w:tcPr>
          <w:p w:rsidR="007D59E3" w:rsidRPr="007D59E3" w:rsidRDefault="007D59E3" w:rsidP="007D59E3">
            <w:pPr>
              <w:spacing w:line="276" w:lineRule="auto"/>
              <w:jc w:val="center"/>
              <w:rPr>
                <w:rFonts w:ascii="Calibri" w:eastAsiaTheme="minorHAnsi" w:hAnsi="Calibri"/>
                <w:b/>
                <w:bCs/>
              </w:rPr>
            </w:pPr>
            <w:r w:rsidRPr="007D59E3">
              <w:rPr>
                <w:rFonts w:ascii="Calibri" w:eastAsiaTheme="minorHAnsi" w:hAnsi="Calibri"/>
                <w:b/>
                <w:bCs/>
              </w:rPr>
              <w:t>0</w:t>
            </w:r>
          </w:p>
        </w:tc>
        <w:tc>
          <w:tcPr>
            <w:tcW w:w="1805" w:type="dxa"/>
            <w:tcBorders>
              <w:top w:val="nil"/>
              <w:left w:val="nil"/>
              <w:bottom w:val="single" w:sz="8" w:space="0" w:color="auto"/>
              <w:right w:val="single" w:sz="8" w:space="0" w:color="auto"/>
            </w:tcBorders>
            <w:shd w:val="clear" w:color="auto" w:fill="632423"/>
            <w:tcMar>
              <w:top w:w="0" w:type="dxa"/>
              <w:left w:w="108" w:type="dxa"/>
              <w:bottom w:w="0" w:type="dxa"/>
              <w:right w:w="108" w:type="dxa"/>
            </w:tcMar>
            <w:vAlign w:val="center"/>
            <w:hideMark/>
          </w:tcPr>
          <w:p w:rsidR="007D59E3" w:rsidRPr="007D59E3" w:rsidRDefault="007D59E3" w:rsidP="007D59E3">
            <w:pPr>
              <w:spacing w:line="276" w:lineRule="auto"/>
              <w:jc w:val="center"/>
              <w:rPr>
                <w:rFonts w:ascii="Calibri" w:eastAsiaTheme="minorHAnsi" w:hAnsi="Calibri"/>
                <w:b/>
                <w:bCs/>
              </w:rPr>
            </w:pPr>
            <w:r w:rsidRPr="007D59E3">
              <w:rPr>
                <w:rFonts w:ascii="Calibri" w:eastAsiaTheme="minorHAnsi" w:hAnsi="Calibri"/>
                <w:b/>
                <w:bCs/>
              </w:rPr>
              <w:t>($942)</w:t>
            </w:r>
          </w:p>
        </w:tc>
      </w:tr>
    </w:tbl>
    <w:p w:rsidR="00520137" w:rsidRPr="00566C3D" w:rsidRDefault="00520137" w:rsidP="00520137">
      <w:pPr>
        <w:rPr>
          <w:rFonts w:ascii="Calibri" w:hAnsi="Calibri"/>
          <w:sz w:val="20"/>
          <w:szCs w:val="20"/>
        </w:rPr>
      </w:pPr>
    </w:p>
    <w:p w:rsidR="007D59E3" w:rsidRDefault="007D59E3" w:rsidP="00520137">
      <w:pPr>
        <w:jc w:val="both"/>
        <w:rPr>
          <w:rFonts w:asciiTheme="minorHAnsi" w:hAnsiTheme="minorHAnsi"/>
          <w:sz w:val="20"/>
          <w:szCs w:val="20"/>
        </w:rPr>
      </w:pPr>
    </w:p>
    <w:p w:rsidR="00520137" w:rsidRDefault="00520137" w:rsidP="00520137">
      <w:pPr>
        <w:jc w:val="both"/>
        <w:rPr>
          <w:rFonts w:ascii="Calibri" w:hAnsi="Calibri"/>
        </w:rPr>
      </w:pPr>
      <w:r>
        <w:rPr>
          <w:rFonts w:asciiTheme="minorHAnsi" w:hAnsiTheme="minorHAnsi"/>
        </w:rPr>
        <w:t>T</w:t>
      </w:r>
      <w:r w:rsidRPr="0044286B">
        <w:rPr>
          <w:rFonts w:asciiTheme="minorHAnsi" w:hAnsiTheme="minorHAnsi"/>
        </w:rPr>
        <w:t xml:space="preserve">he </w:t>
      </w:r>
      <w:r>
        <w:rPr>
          <w:rFonts w:asciiTheme="minorHAnsi" w:hAnsiTheme="minorHAnsi"/>
        </w:rPr>
        <w:t xml:space="preserve">Civil </w:t>
      </w:r>
      <w:r w:rsidRPr="0044286B">
        <w:rPr>
          <w:rFonts w:asciiTheme="minorHAnsi" w:hAnsiTheme="minorHAnsi"/>
        </w:rPr>
        <w:t>Division handle</w:t>
      </w:r>
      <w:r>
        <w:rPr>
          <w:rFonts w:asciiTheme="minorHAnsi" w:hAnsiTheme="minorHAnsi"/>
        </w:rPr>
        <w:t>s</w:t>
      </w:r>
      <w:r w:rsidRPr="0044286B">
        <w:rPr>
          <w:rFonts w:asciiTheme="minorHAnsi" w:hAnsiTheme="minorHAnsi"/>
        </w:rPr>
        <w:t xml:space="preserve"> thousands of lawsuits that are filed agains</w:t>
      </w:r>
      <w:r>
        <w:rPr>
          <w:rFonts w:asciiTheme="minorHAnsi" w:hAnsiTheme="minorHAnsi"/>
        </w:rPr>
        <w:t>t the United States each year</w:t>
      </w:r>
      <w:r w:rsidR="009C6599">
        <w:rPr>
          <w:rFonts w:asciiTheme="minorHAnsi" w:hAnsiTheme="minorHAnsi"/>
        </w:rPr>
        <w:t xml:space="preserve">. </w:t>
      </w:r>
      <w:r w:rsidR="00251F4A">
        <w:rPr>
          <w:rFonts w:asciiTheme="minorHAnsi" w:hAnsiTheme="minorHAnsi"/>
        </w:rPr>
        <w:t xml:space="preserve"> </w:t>
      </w:r>
      <w:r w:rsidRPr="0044286B">
        <w:rPr>
          <w:rFonts w:asciiTheme="minorHAnsi" w:hAnsiTheme="minorHAnsi"/>
        </w:rPr>
        <w:t>The Division saves the treasury billions of dollars by defeating un</w:t>
      </w:r>
      <w:r w:rsidR="009C6599">
        <w:rPr>
          <w:rFonts w:asciiTheme="minorHAnsi" w:hAnsiTheme="minorHAnsi"/>
        </w:rPr>
        <w:t xml:space="preserve">meritorious claims. </w:t>
      </w:r>
      <w:r w:rsidR="00251F4A">
        <w:rPr>
          <w:rFonts w:asciiTheme="minorHAnsi" w:hAnsiTheme="minorHAnsi"/>
        </w:rPr>
        <w:t xml:space="preserve"> </w:t>
      </w:r>
      <w:r w:rsidRPr="0044286B">
        <w:rPr>
          <w:rFonts w:asciiTheme="minorHAnsi" w:hAnsiTheme="minorHAnsi"/>
        </w:rPr>
        <w:t>It also brings suits on behalf of the United States, primarily to recoup money lost through fraud, loan defaults, an</w:t>
      </w:r>
      <w:r w:rsidR="009C6599">
        <w:rPr>
          <w:rFonts w:asciiTheme="minorHAnsi" w:hAnsiTheme="minorHAnsi"/>
        </w:rPr>
        <w:t xml:space="preserve">d the abuse of Federal funds. </w:t>
      </w:r>
      <w:r w:rsidR="00251F4A">
        <w:rPr>
          <w:rFonts w:asciiTheme="minorHAnsi" w:hAnsiTheme="minorHAnsi"/>
        </w:rPr>
        <w:t xml:space="preserve"> </w:t>
      </w:r>
      <w:r w:rsidRPr="0044286B">
        <w:rPr>
          <w:rFonts w:asciiTheme="minorHAnsi" w:hAnsiTheme="minorHAnsi"/>
        </w:rPr>
        <w:t>Annually, hundreds of millions, and often billions, of dollars are returned to the treasury, Medicare, and other entitlement programs as a result of the Division’s affirmative litigation efforts.</w:t>
      </w:r>
      <w:r w:rsidR="00251F4A">
        <w:rPr>
          <w:rFonts w:asciiTheme="minorHAnsi" w:hAnsiTheme="minorHAnsi"/>
        </w:rPr>
        <w:t xml:space="preserve"> </w:t>
      </w:r>
      <w:r w:rsidR="009C6599">
        <w:rPr>
          <w:rFonts w:asciiTheme="minorHAnsi" w:hAnsiTheme="minorHAnsi"/>
        </w:rPr>
        <w:t xml:space="preserve"> In FY 2010</w:t>
      </w:r>
      <w:r>
        <w:rPr>
          <w:rFonts w:asciiTheme="minorHAnsi" w:hAnsiTheme="minorHAnsi"/>
        </w:rPr>
        <w:t>, the Di</w:t>
      </w:r>
      <w:r w:rsidR="009C6599">
        <w:rPr>
          <w:rFonts w:asciiTheme="minorHAnsi" w:hAnsiTheme="minorHAnsi"/>
        </w:rPr>
        <w:t>vision defeated $14</w:t>
      </w:r>
      <w:r w:rsidR="00CA5788">
        <w:rPr>
          <w:rFonts w:asciiTheme="minorHAnsi" w:hAnsiTheme="minorHAnsi"/>
        </w:rPr>
        <w:t xml:space="preserve"> billion and recovered $3.7</w:t>
      </w:r>
      <w:r>
        <w:rPr>
          <w:rFonts w:asciiTheme="minorHAnsi" w:hAnsiTheme="minorHAnsi"/>
        </w:rPr>
        <w:t xml:space="preserve"> billion in cases that were closed.</w:t>
      </w:r>
    </w:p>
    <w:p w:rsidR="00520137" w:rsidRPr="008C7DA6" w:rsidRDefault="00520137" w:rsidP="00520137">
      <w:pPr>
        <w:jc w:val="both"/>
        <w:rPr>
          <w:rFonts w:asciiTheme="minorHAnsi" w:hAnsiTheme="minorHAnsi"/>
          <w:sz w:val="20"/>
          <w:szCs w:val="20"/>
        </w:rPr>
      </w:pPr>
    </w:p>
    <w:p w:rsidR="00520137" w:rsidRPr="007D59E3" w:rsidRDefault="00520137" w:rsidP="00520137">
      <w:pPr>
        <w:jc w:val="both"/>
        <w:rPr>
          <w:rFonts w:asciiTheme="minorHAnsi" w:hAnsiTheme="minorHAnsi"/>
        </w:rPr>
      </w:pPr>
      <w:r>
        <w:rPr>
          <w:rFonts w:asciiTheme="minorHAnsi" w:hAnsiTheme="minorHAnsi"/>
        </w:rPr>
        <w:t xml:space="preserve">Additionally, many of the </w:t>
      </w:r>
      <w:r w:rsidRPr="00D23E1A">
        <w:rPr>
          <w:rFonts w:asciiTheme="minorHAnsi" w:hAnsiTheme="minorHAnsi"/>
        </w:rPr>
        <w:t xml:space="preserve">Division’s </w:t>
      </w:r>
      <w:r w:rsidR="009B0EC2">
        <w:rPr>
          <w:rFonts w:asciiTheme="minorHAnsi" w:hAnsiTheme="minorHAnsi"/>
        </w:rPr>
        <w:t>50</w:t>
      </w:r>
      <w:r w:rsidRPr="00D23E1A">
        <w:rPr>
          <w:rFonts w:asciiTheme="minorHAnsi" w:hAnsiTheme="minorHAnsi"/>
        </w:rPr>
        <w:t>,000</w:t>
      </w:r>
      <w:r>
        <w:rPr>
          <w:rFonts w:asciiTheme="minorHAnsi" w:hAnsiTheme="minorHAnsi"/>
        </w:rPr>
        <w:t xml:space="preserve"> cases are filed as a result of Government or state policies and </w:t>
      </w:r>
      <w:r w:rsidRPr="0044286B">
        <w:rPr>
          <w:rFonts w:asciiTheme="minorHAnsi" w:hAnsiTheme="minorHAnsi"/>
        </w:rPr>
        <w:t>laws,</w:t>
      </w:r>
      <w:r>
        <w:rPr>
          <w:rFonts w:asciiTheme="minorHAnsi" w:hAnsiTheme="minorHAnsi"/>
        </w:rPr>
        <w:t xml:space="preserve"> domestic and foreign operations, and involvement in commercial activities,</w:t>
      </w:r>
      <w:r w:rsidRPr="0044286B">
        <w:rPr>
          <w:rFonts w:asciiTheme="minorHAnsi" w:hAnsiTheme="minorHAnsi"/>
        </w:rPr>
        <w:t xml:space="preserve"> as well as law enforcement initiatives, military actions, and counterterrorism efforts.  </w:t>
      </w:r>
      <w:r w:rsidR="00251F4A">
        <w:rPr>
          <w:rFonts w:asciiTheme="minorHAnsi" w:hAnsiTheme="minorHAnsi"/>
        </w:rPr>
        <w:t xml:space="preserve"> </w:t>
      </w:r>
      <w:r w:rsidR="009C6599">
        <w:rPr>
          <w:rFonts w:asciiTheme="minorHAnsi" w:hAnsiTheme="minorHAnsi"/>
        </w:rPr>
        <w:t>In FY 2010</w:t>
      </w:r>
      <w:r>
        <w:rPr>
          <w:rFonts w:asciiTheme="minorHAnsi" w:hAnsiTheme="minorHAnsi"/>
        </w:rPr>
        <w:t xml:space="preserve">, the Division favorably resolved </w:t>
      </w:r>
      <w:r w:rsidR="009C6599">
        <w:rPr>
          <w:rFonts w:asciiTheme="minorHAnsi" w:hAnsiTheme="minorHAnsi"/>
        </w:rPr>
        <w:t>93</w:t>
      </w:r>
      <w:r w:rsidRPr="008C7DA6">
        <w:rPr>
          <w:rFonts w:asciiTheme="minorHAnsi" w:hAnsiTheme="minorHAnsi"/>
        </w:rPr>
        <w:t xml:space="preserve"> percent</w:t>
      </w:r>
      <w:r>
        <w:rPr>
          <w:rFonts w:asciiTheme="minorHAnsi" w:hAnsiTheme="minorHAnsi"/>
        </w:rPr>
        <w:t xml:space="preserve"> of its non-monetary cases.</w:t>
      </w:r>
    </w:p>
    <w:p w:rsidR="00520137" w:rsidRDefault="00520137" w:rsidP="00520137">
      <w:pPr>
        <w:jc w:val="both"/>
        <w:rPr>
          <w:rFonts w:ascii="Calibri" w:hAnsi="Calibri"/>
        </w:rPr>
      </w:pPr>
      <w:r w:rsidRPr="00BE3321">
        <w:rPr>
          <w:rFonts w:ascii="Calibri" w:hAnsi="Calibri"/>
        </w:rPr>
        <w:lastRenderedPageBreak/>
        <w:t>The Division is composed of six litigating branches and the Office of Management Programs as described throughout the following pages.</w:t>
      </w:r>
    </w:p>
    <w:p w:rsidR="00520137" w:rsidRPr="00CD5A9A" w:rsidRDefault="00520137" w:rsidP="00520137">
      <w:pPr>
        <w:jc w:val="both"/>
        <w:rPr>
          <w:rFonts w:ascii="Calibri" w:hAnsi="Calibri"/>
          <w:sz w:val="20"/>
          <w:szCs w:val="20"/>
        </w:rPr>
      </w:pPr>
    </w:p>
    <w:p w:rsidR="00520137" w:rsidRPr="00BE3321" w:rsidRDefault="00520137" w:rsidP="00520137">
      <w:pPr>
        <w:jc w:val="both"/>
        <w:rPr>
          <w:rFonts w:ascii="Calibri" w:hAnsi="Calibri"/>
          <w:b/>
          <w:color w:val="632423"/>
          <w:sz w:val="36"/>
          <w:szCs w:val="36"/>
          <w:lang w:val="en-CA"/>
        </w:rPr>
      </w:pPr>
      <w:r w:rsidRPr="00BE3321">
        <w:rPr>
          <w:rFonts w:ascii="Calibri" w:hAnsi="Calibri"/>
          <w:b/>
          <w:color w:val="632423"/>
          <w:sz w:val="36"/>
          <w:szCs w:val="36"/>
          <w:lang w:val="en-CA"/>
        </w:rPr>
        <w:t>APPELLATE ST</w:t>
      </w:r>
      <w:r w:rsidRPr="0069466A">
        <w:rPr>
          <w:rFonts w:ascii="Calibri" w:hAnsi="Calibri"/>
          <w:b/>
          <w:color w:val="632423"/>
          <w:sz w:val="36"/>
          <w:szCs w:val="36"/>
          <w:lang w:val="en-CA"/>
        </w:rPr>
        <w:t>AFF</w:t>
      </w:r>
    </w:p>
    <w:p w:rsidR="00520137" w:rsidRPr="00BE3321" w:rsidRDefault="00A974BD" w:rsidP="00520137">
      <w:pPr>
        <w:jc w:val="both"/>
        <w:rPr>
          <w:rFonts w:ascii="Calibri" w:hAnsi="Calibri"/>
          <w:lang w:val="en-CA"/>
        </w:rPr>
      </w:pPr>
      <w:r>
        <w:rPr>
          <w:rFonts w:ascii="Calibri" w:hAnsi="Calibri"/>
          <w:noProof/>
          <w:color w:val="632423"/>
          <w:sz w:val="36"/>
          <w:szCs w:val="36"/>
        </w:rPr>
        <w:pict>
          <v:shapetype id="_x0000_t32" coordsize="21600,21600" o:spt="32" o:oned="t" path="m,l21600,21600e" filled="f">
            <v:path arrowok="t" fillok="f" o:connecttype="none"/>
            <o:lock v:ext="edit" shapetype="t"/>
          </v:shapetype>
          <v:shape id="_x0000_s1027" type="#_x0000_t32" style="position:absolute;left:0;text-align:left;margin-left:.75pt;margin-top:.7pt;width:463.05pt;height:0;z-index:251663360" o:connectortype="straight" strokecolor="#622423" strokeweight="3pt"/>
        </w:pict>
      </w:r>
    </w:p>
    <w:p w:rsidR="00520137" w:rsidRPr="00CA5788" w:rsidRDefault="00A974BD" w:rsidP="00520137">
      <w:pPr>
        <w:pStyle w:val="NoSpacing"/>
        <w:jc w:val="both"/>
        <w:rPr>
          <w:sz w:val="24"/>
          <w:szCs w:val="24"/>
        </w:rPr>
      </w:pPr>
      <w:r>
        <w:rPr>
          <w:rFonts w:ascii="Calibri" w:hAnsi="Calibri"/>
          <w:noProof/>
          <w:sz w:val="24"/>
          <w:szCs w:val="24"/>
          <w:lang w:eastAsia="zh-TW"/>
        </w:rPr>
        <w:pict>
          <v:shape id="_x0000_s1038" type="#_x0000_t202" style="position:absolute;left:0;text-align:left;margin-left:3in;margin-top:181.05pt;width:258pt;height:16.95pt;z-index:-251637760;mso-height-percent:200;mso-position-horizontal-relative:text;mso-position-vertical-relative:text;mso-height-percent:200;mso-width-relative:margin;mso-height-relative:margin" wrapcoords="-96 0 -96 20661 21600 20661 21600 0 -96 0" stroked="f">
            <v:textbox style="mso-next-textbox:#_x0000_s1038;mso-fit-shape-to-text:t">
              <w:txbxContent>
                <w:p w:rsidR="009B0EC2" w:rsidRPr="007B1C39" w:rsidRDefault="009B0EC2" w:rsidP="00520137">
                  <w:pPr>
                    <w:jc w:val="center"/>
                    <w:rPr>
                      <w:rFonts w:asciiTheme="minorHAnsi" w:hAnsiTheme="minorHAnsi"/>
                      <w:sz w:val="16"/>
                      <w:szCs w:val="16"/>
                    </w:rPr>
                  </w:pPr>
                  <w:r w:rsidRPr="007B1C39">
                    <w:rPr>
                      <w:rFonts w:asciiTheme="minorHAnsi" w:hAnsiTheme="minorHAnsi"/>
                      <w:sz w:val="16"/>
                      <w:szCs w:val="16"/>
                    </w:rPr>
                    <w:t>http://www.supremecourt.gov/</w:t>
                  </w:r>
                </w:p>
              </w:txbxContent>
            </v:textbox>
            <w10:wrap type="tight"/>
          </v:shape>
        </w:pict>
      </w:r>
      <w:r w:rsidR="00251F4A">
        <w:rPr>
          <w:rFonts w:ascii="Calibri" w:hAnsi="Calibri"/>
          <w:noProof/>
          <w:sz w:val="24"/>
          <w:szCs w:val="24"/>
        </w:rPr>
        <w:drawing>
          <wp:anchor distT="0" distB="0" distL="114300" distR="114300" simplePos="0" relativeHeight="251677696" behindDoc="1" locked="0" layoutInCell="1" allowOverlap="1">
            <wp:simplePos x="0" y="0"/>
            <wp:positionH relativeFrom="column">
              <wp:posOffset>2758440</wp:posOffset>
            </wp:positionH>
            <wp:positionV relativeFrom="paragraph">
              <wp:posOffset>51435</wp:posOffset>
            </wp:positionV>
            <wp:extent cx="3168650" cy="2066925"/>
            <wp:effectExtent l="19050" t="0" r="0" b="0"/>
            <wp:wrapTight wrapText="bothSides">
              <wp:wrapPolygon edited="0">
                <wp:start x="-130" y="0"/>
                <wp:lineTo x="-130" y="21500"/>
                <wp:lineTo x="21557" y="21500"/>
                <wp:lineTo x="21557" y="0"/>
                <wp:lineTo x="-130" y="0"/>
              </wp:wrapPolygon>
            </wp:wrapTight>
            <wp:docPr id="8" name="Picture 1" descr="West view of  the Supreme Court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 view of  the Supreme Court Building"/>
                    <pic:cNvPicPr>
                      <a:picLocks noChangeAspect="1" noChangeArrowheads="1"/>
                    </pic:cNvPicPr>
                  </pic:nvPicPr>
                  <pic:blipFill>
                    <a:blip r:embed="rId13" r:link="rId14" cstate="print">
                      <a:lum bright="20000"/>
                    </a:blip>
                    <a:srcRect/>
                    <a:stretch>
                      <a:fillRect/>
                    </a:stretch>
                  </pic:blipFill>
                  <pic:spPr bwMode="auto">
                    <a:xfrm>
                      <a:off x="0" y="0"/>
                      <a:ext cx="3168650" cy="2066925"/>
                    </a:xfrm>
                    <a:prstGeom prst="rect">
                      <a:avLst/>
                    </a:prstGeom>
                    <a:noFill/>
                    <a:ln w="9525">
                      <a:noFill/>
                      <a:miter lim="800000"/>
                      <a:headEnd/>
                      <a:tailEnd/>
                    </a:ln>
                  </pic:spPr>
                </pic:pic>
              </a:graphicData>
            </a:graphic>
          </wp:anchor>
        </w:drawing>
      </w:r>
      <w:r w:rsidR="00B408CF" w:rsidRPr="00CA5788">
        <w:rPr>
          <w:rFonts w:ascii="Calibri" w:hAnsi="Calibri"/>
          <w:sz w:val="24"/>
          <w:szCs w:val="24"/>
          <w:lang w:val="en-CA"/>
        </w:rPr>
        <w:fldChar w:fldCharType="begin"/>
      </w:r>
      <w:r w:rsidR="00520137" w:rsidRPr="00CA5788">
        <w:rPr>
          <w:rFonts w:ascii="Calibri" w:hAnsi="Calibri"/>
          <w:sz w:val="24"/>
          <w:szCs w:val="24"/>
          <w:lang w:val="en-CA"/>
        </w:rPr>
        <w:instrText xml:space="preserve"> SEQ CHAPTER \h \r 1</w:instrText>
      </w:r>
      <w:r w:rsidR="00B408CF" w:rsidRPr="00CA5788">
        <w:rPr>
          <w:rFonts w:ascii="Calibri" w:hAnsi="Calibri"/>
          <w:sz w:val="24"/>
          <w:szCs w:val="24"/>
          <w:lang w:val="en-CA"/>
        </w:rPr>
        <w:fldChar w:fldCharType="end"/>
      </w:r>
      <w:r w:rsidR="00520137" w:rsidRPr="00CA5788">
        <w:rPr>
          <w:rFonts w:ascii="Calibri" w:hAnsi="Calibri"/>
          <w:sz w:val="24"/>
          <w:szCs w:val="24"/>
        </w:rPr>
        <w:t xml:space="preserve">Appellate Staff attorneys represent the United States at the highest levels of judicial review.  The docket includes constitutional challenges to Federal and state statutes and actions, such as the Defense of Marriage Act and the Iraq War. </w:t>
      </w:r>
      <w:r w:rsidR="00251F4A">
        <w:rPr>
          <w:rFonts w:ascii="Calibri" w:hAnsi="Calibri"/>
          <w:sz w:val="24"/>
          <w:szCs w:val="24"/>
        </w:rPr>
        <w:t xml:space="preserve"> </w:t>
      </w:r>
      <w:r w:rsidR="00520137" w:rsidRPr="00CA5788">
        <w:rPr>
          <w:rFonts w:ascii="Calibri" w:hAnsi="Calibri"/>
          <w:sz w:val="24"/>
          <w:szCs w:val="24"/>
        </w:rPr>
        <w:t xml:space="preserve">In recent years, the Staff’s workload has </w:t>
      </w:r>
      <w:r w:rsidR="006040B5">
        <w:rPr>
          <w:rFonts w:ascii="Calibri" w:hAnsi="Calibri"/>
          <w:sz w:val="24"/>
          <w:szCs w:val="24"/>
        </w:rPr>
        <w:t>increased</w:t>
      </w:r>
      <w:r w:rsidR="00520137" w:rsidRPr="00CA5788">
        <w:rPr>
          <w:rFonts w:ascii="Calibri" w:hAnsi="Calibri"/>
          <w:sz w:val="24"/>
          <w:szCs w:val="24"/>
        </w:rPr>
        <w:t xml:space="preserve"> in the area of counter-terrorism cases involving terrorist surveillance activities, the freezing of terrorist assets, and the designation of foreign terrorist organizations. </w:t>
      </w:r>
      <w:r w:rsidR="00251F4A">
        <w:rPr>
          <w:rFonts w:ascii="Calibri" w:hAnsi="Calibri"/>
          <w:sz w:val="24"/>
          <w:szCs w:val="24"/>
        </w:rPr>
        <w:t xml:space="preserve"> </w:t>
      </w:r>
      <w:r w:rsidR="006040B5">
        <w:rPr>
          <w:rFonts w:ascii="Calibri" w:hAnsi="Calibri"/>
          <w:sz w:val="24"/>
          <w:szCs w:val="24"/>
        </w:rPr>
        <w:t>Also, t</w:t>
      </w:r>
      <w:r w:rsidR="00520137" w:rsidRPr="00CA5788">
        <w:rPr>
          <w:rFonts w:ascii="Calibri" w:hAnsi="Calibri"/>
          <w:sz w:val="24"/>
          <w:szCs w:val="24"/>
        </w:rPr>
        <w:t xml:space="preserve">hese responsibilities have increased significantly in regard to the Guantanamo Bay detainee cases, which involve classified materials and present complex issues of law and fact. </w:t>
      </w:r>
      <w:r w:rsidR="00251F4A">
        <w:rPr>
          <w:rFonts w:ascii="Calibri" w:hAnsi="Calibri"/>
          <w:sz w:val="24"/>
          <w:szCs w:val="24"/>
        </w:rPr>
        <w:t xml:space="preserve"> </w:t>
      </w:r>
      <w:r w:rsidR="006040B5">
        <w:rPr>
          <w:rFonts w:ascii="Calibri" w:hAnsi="Calibri"/>
          <w:sz w:val="24"/>
          <w:szCs w:val="24"/>
        </w:rPr>
        <w:t xml:space="preserve">Finally, the Appellate Staff's work </w:t>
      </w:r>
      <w:r w:rsidR="00520137" w:rsidRPr="00CA5788">
        <w:rPr>
          <w:rFonts w:ascii="Calibri" w:hAnsi="Calibri"/>
          <w:sz w:val="24"/>
          <w:szCs w:val="24"/>
        </w:rPr>
        <w:t xml:space="preserve">concerns Federal programs, such as those under the Food, Drug and Cosmetic Act, </w:t>
      </w:r>
      <w:r w:rsidR="00CA5788">
        <w:rPr>
          <w:rFonts w:ascii="Calibri" w:hAnsi="Calibri"/>
          <w:sz w:val="24"/>
          <w:szCs w:val="24"/>
        </w:rPr>
        <w:t xml:space="preserve">and matters </w:t>
      </w:r>
      <w:r w:rsidR="00520137" w:rsidRPr="00CA5788">
        <w:rPr>
          <w:rFonts w:ascii="Calibri" w:hAnsi="Calibri"/>
          <w:sz w:val="24"/>
          <w:szCs w:val="24"/>
        </w:rPr>
        <w:t>involving</w:t>
      </w:r>
      <w:r w:rsidR="006040B5">
        <w:rPr>
          <w:rFonts w:ascii="Calibri" w:hAnsi="Calibri"/>
          <w:sz w:val="24"/>
          <w:szCs w:val="24"/>
        </w:rPr>
        <w:t xml:space="preserve"> most</w:t>
      </w:r>
      <w:r w:rsidR="00251F4A">
        <w:rPr>
          <w:rFonts w:ascii="Calibri" w:hAnsi="Calibri"/>
          <w:sz w:val="24"/>
          <w:szCs w:val="24"/>
        </w:rPr>
        <w:t xml:space="preserve"> Federal agencies.</w:t>
      </w:r>
    </w:p>
    <w:p w:rsidR="00520137" w:rsidRPr="007D6BB0" w:rsidRDefault="00520137" w:rsidP="00520137">
      <w:pPr>
        <w:jc w:val="both"/>
        <w:rPr>
          <w:rFonts w:ascii="Calibri" w:hAnsi="Calibri"/>
          <w:sz w:val="20"/>
          <w:szCs w:val="20"/>
        </w:rPr>
      </w:pPr>
    </w:p>
    <w:p w:rsidR="00520137" w:rsidRPr="00EA7D5E" w:rsidRDefault="00A974BD" w:rsidP="00520137">
      <w:pPr>
        <w:jc w:val="both"/>
        <w:rPr>
          <w:rFonts w:ascii="Calibri" w:hAnsi="Calibri"/>
          <w:b/>
          <w:color w:val="632423"/>
          <w:sz w:val="36"/>
          <w:szCs w:val="36"/>
          <w:lang w:val="en-CA"/>
        </w:rPr>
      </w:pPr>
      <w:r>
        <w:rPr>
          <w:rFonts w:ascii="Calibri" w:hAnsi="Calibri"/>
          <w:noProof/>
        </w:rPr>
        <w:pict>
          <v:shape id="_x0000_s1029" type="#_x0000_t32" style="position:absolute;left:0;text-align:left;margin-left:.75pt;margin-top:21.85pt;width:463.05pt;height:0;z-index:251665408" o:connectortype="straight" strokecolor="#622423" strokeweight="3pt"/>
        </w:pict>
      </w:r>
      <w:r w:rsidR="00520137" w:rsidRPr="00EA7D5E">
        <w:rPr>
          <w:rFonts w:ascii="Calibri" w:hAnsi="Calibri"/>
          <w:b/>
          <w:color w:val="632423"/>
          <w:sz w:val="36"/>
          <w:szCs w:val="36"/>
          <w:lang w:val="en-CA"/>
        </w:rPr>
        <w:t>FEDERAL PROGRAMS</w:t>
      </w:r>
    </w:p>
    <w:p w:rsidR="004A098C" w:rsidRDefault="004A098C" w:rsidP="00520137">
      <w:pPr>
        <w:jc w:val="both"/>
        <w:rPr>
          <w:rFonts w:ascii="Calibri" w:hAnsi="Calibri"/>
        </w:rPr>
      </w:pPr>
    </w:p>
    <w:p w:rsidR="004A098C" w:rsidRDefault="004A098C" w:rsidP="004A098C">
      <w:pPr>
        <w:jc w:val="both"/>
        <w:rPr>
          <w:rFonts w:ascii="Calibri" w:hAnsi="Calibri"/>
        </w:rPr>
      </w:pPr>
      <w:r>
        <w:rPr>
          <w:rFonts w:ascii="Calibri" w:hAnsi="Calibri"/>
        </w:rPr>
        <w:t>Federal Programs (FP) attorneys handle hundreds of defensive cases that are of unparalleled importance because of their far-reaching repercussions for Government programs and policies. </w:t>
      </w:r>
      <w:r w:rsidR="00251F4A">
        <w:rPr>
          <w:rFonts w:ascii="Calibri" w:hAnsi="Calibri"/>
        </w:rPr>
        <w:t xml:space="preserve"> </w:t>
      </w:r>
      <w:r>
        <w:rPr>
          <w:rFonts w:ascii="Calibri" w:hAnsi="Calibri"/>
        </w:rPr>
        <w:t xml:space="preserve"> The Branch defends Federal agency officials and actions in challenges to executive orders, Federal statutes, Federal regulations,</w:t>
      </w:r>
      <w:r w:rsidR="00CA5788">
        <w:rPr>
          <w:rFonts w:ascii="Calibri" w:hAnsi="Calibri"/>
        </w:rPr>
        <w:t xml:space="preserve"> and administrative decisions. </w:t>
      </w:r>
      <w:r w:rsidR="00251F4A">
        <w:rPr>
          <w:rFonts w:ascii="Calibri" w:hAnsi="Calibri"/>
        </w:rPr>
        <w:t xml:space="preserve"> </w:t>
      </w:r>
      <w:r>
        <w:rPr>
          <w:rFonts w:ascii="Calibri" w:hAnsi="Calibri"/>
        </w:rPr>
        <w:t>Other FP cases protect the public fisc by defending entitlement programs such as Medicare and Social Security. </w:t>
      </w:r>
      <w:r w:rsidR="00251F4A">
        <w:rPr>
          <w:rFonts w:ascii="Calibri" w:hAnsi="Calibri"/>
        </w:rPr>
        <w:t xml:space="preserve"> </w:t>
      </w:r>
      <w:r>
        <w:rPr>
          <w:rFonts w:ascii="Calibri" w:hAnsi="Calibri"/>
        </w:rPr>
        <w:t xml:space="preserve">The Branch is also working with the Appellate Staff on </w:t>
      </w:r>
      <w:r w:rsidR="009B0EC2">
        <w:rPr>
          <w:rFonts w:ascii="Calibri" w:hAnsi="Calibri"/>
        </w:rPr>
        <w:t xml:space="preserve">the </w:t>
      </w:r>
      <w:r>
        <w:rPr>
          <w:rFonts w:ascii="Calibri" w:hAnsi="Calibri"/>
        </w:rPr>
        <w:t xml:space="preserve">Guantanamo Bay detainees’ </w:t>
      </w:r>
      <w:r w:rsidRPr="009B0EC2">
        <w:rPr>
          <w:rFonts w:ascii="Calibri" w:hAnsi="Calibri"/>
          <w:i/>
        </w:rPr>
        <w:t>habeas corpus</w:t>
      </w:r>
      <w:r>
        <w:rPr>
          <w:rFonts w:ascii="Calibri" w:hAnsi="Calibri"/>
        </w:rPr>
        <w:t xml:space="preserve"> cases. </w:t>
      </w:r>
      <w:r w:rsidR="00251F4A">
        <w:rPr>
          <w:rFonts w:ascii="Calibri" w:hAnsi="Calibri"/>
        </w:rPr>
        <w:t xml:space="preserve"> </w:t>
      </w:r>
      <w:r>
        <w:rPr>
          <w:rFonts w:ascii="Calibri" w:hAnsi="Calibri"/>
        </w:rPr>
        <w:t xml:space="preserve">In June 2008, the Supreme Court ruled in </w:t>
      </w:r>
      <w:r>
        <w:rPr>
          <w:rFonts w:ascii="Calibri" w:hAnsi="Calibri"/>
          <w:i/>
          <w:iCs/>
        </w:rPr>
        <w:t>Boumediene v. Bush</w:t>
      </w:r>
      <w:r>
        <w:rPr>
          <w:rFonts w:ascii="Calibri" w:hAnsi="Calibri"/>
        </w:rPr>
        <w:t xml:space="preserve"> that the review process under the Detainee Treatment Act of 2005 did not meet constitutional standards for </w:t>
      </w:r>
      <w:r w:rsidRPr="009B0EC2">
        <w:rPr>
          <w:rFonts w:ascii="Calibri" w:hAnsi="Calibri"/>
          <w:i/>
        </w:rPr>
        <w:t>habeas corpus</w:t>
      </w:r>
      <w:r>
        <w:rPr>
          <w:rFonts w:ascii="Calibri" w:hAnsi="Calibri"/>
        </w:rPr>
        <w:t xml:space="preserve"> review in this context.</w:t>
      </w:r>
      <w:r w:rsidR="00251F4A">
        <w:rPr>
          <w:rFonts w:ascii="Calibri" w:hAnsi="Calibri"/>
        </w:rPr>
        <w:t xml:space="preserve"> </w:t>
      </w:r>
      <w:r>
        <w:rPr>
          <w:rFonts w:ascii="Calibri" w:hAnsi="Calibri"/>
        </w:rPr>
        <w:t xml:space="preserve"> Currently, there are approximately 150 </w:t>
      </w:r>
      <w:r w:rsidRPr="009B0EC2">
        <w:rPr>
          <w:rFonts w:ascii="Calibri" w:hAnsi="Calibri"/>
          <w:i/>
        </w:rPr>
        <w:t>habeas corpus</w:t>
      </w:r>
      <w:r>
        <w:rPr>
          <w:rFonts w:ascii="Calibri" w:hAnsi="Calibri"/>
        </w:rPr>
        <w:t xml:space="preserve"> cases pending on behalf of the detainees still held at Guantanamo Bay, with typically one to three merits trials every month.  </w:t>
      </w:r>
    </w:p>
    <w:p w:rsidR="00520137" w:rsidRPr="007D6BB0" w:rsidRDefault="00520137" w:rsidP="00520137">
      <w:pPr>
        <w:jc w:val="both"/>
        <w:rPr>
          <w:rFonts w:ascii="Calibri" w:hAnsi="Calibri"/>
          <w:sz w:val="20"/>
          <w:szCs w:val="20"/>
          <w:highlight w:val="yellow"/>
        </w:rPr>
      </w:pPr>
    </w:p>
    <w:p w:rsidR="00520137" w:rsidRPr="00BE3321" w:rsidRDefault="00A974BD" w:rsidP="00520137">
      <w:pPr>
        <w:jc w:val="both"/>
        <w:rPr>
          <w:rFonts w:ascii="Calibri" w:hAnsi="Calibri"/>
          <w:b/>
          <w:color w:val="632423"/>
          <w:sz w:val="36"/>
          <w:szCs w:val="36"/>
          <w:lang w:val="en-CA"/>
        </w:rPr>
      </w:pPr>
      <w:r>
        <w:rPr>
          <w:rFonts w:ascii="Calibri" w:hAnsi="Calibri"/>
          <w:noProof/>
        </w:rPr>
        <w:pict>
          <v:shape id="_x0000_s1028" type="#_x0000_t32" style="position:absolute;left:0;text-align:left;margin-left:0;margin-top:21.25pt;width:465.5pt;height:0;z-index:251664384" o:connectortype="straight" strokecolor="#622423" strokeweight="3pt"/>
        </w:pict>
      </w:r>
      <w:r w:rsidR="00520137" w:rsidRPr="00BE3321">
        <w:rPr>
          <w:rFonts w:ascii="Calibri" w:hAnsi="Calibri"/>
          <w:b/>
          <w:color w:val="632423"/>
          <w:sz w:val="36"/>
          <w:szCs w:val="36"/>
          <w:lang w:val="en-CA"/>
        </w:rPr>
        <w:t>TORTS BRANCH</w:t>
      </w:r>
    </w:p>
    <w:p w:rsidR="00520137" w:rsidRPr="007D6BB0" w:rsidRDefault="00520137" w:rsidP="00520137">
      <w:pPr>
        <w:jc w:val="both"/>
        <w:rPr>
          <w:rFonts w:ascii="Calibri" w:hAnsi="Calibri"/>
          <w:b/>
          <w:color w:val="006666"/>
          <w:sz w:val="20"/>
          <w:szCs w:val="20"/>
        </w:rPr>
      </w:pPr>
    </w:p>
    <w:p w:rsidR="00BB214A" w:rsidRDefault="00BB214A" w:rsidP="00BB214A">
      <w:pPr>
        <w:jc w:val="both"/>
        <w:rPr>
          <w:rFonts w:ascii="Calibri" w:hAnsi="Calibri"/>
          <w:b/>
          <w:bCs/>
          <w:color w:val="632423"/>
          <w:sz w:val="28"/>
          <w:szCs w:val="28"/>
        </w:rPr>
      </w:pPr>
      <w:r>
        <w:rPr>
          <w:rFonts w:ascii="Calibri" w:hAnsi="Calibri"/>
          <w:b/>
          <w:bCs/>
          <w:color w:val="632423"/>
          <w:sz w:val="28"/>
          <w:szCs w:val="28"/>
        </w:rPr>
        <w:t>Environmental Torts</w:t>
      </w:r>
    </w:p>
    <w:p w:rsidR="00BD46DD" w:rsidRPr="007E60B6" w:rsidRDefault="00BD46DD" w:rsidP="00BB214A">
      <w:pPr>
        <w:jc w:val="both"/>
        <w:rPr>
          <w:rFonts w:ascii="Calibri" w:hAnsi="Calibri"/>
          <w:sz w:val="20"/>
          <w:szCs w:val="20"/>
        </w:rPr>
      </w:pPr>
    </w:p>
    <w:p w:rsidR="00BD46DD" w:rsidRDefault="00BD46DD" w:rsidP="00BD46DD">
      <w:pPr>
        <w:jc w:val="both"/>
        <w:rPr>
          <w:rFonts w:ascii="Calibri" w:hAnsi="Calibri"/>
        </w:rPr>
      </w:pPr>
      <w:r>
        <w:rPr>
          <w:rFonts w:ascii="Calibri" w:hAnsi="Calibri"/>
        </w:rPr>
        <w:t xml:space="preserve">The Environmental Torts Section (ET) defends the Government against claims for monetary damages resulting from death, personal injury, or property damage allegedly caused by environmental or occupational exposure to toxic substances.  Recent cases arose out of the </w:t>
      </w:r>
      <w:r>
        <w:rPr>
          <w:rFonts w:ascii="Calibri" w:hAnsi="Calibri"/>
        </w:rPr>
        <w:lastRenderedPageBreak/>
        <w:t xml:space="preserve">2001 anthrax attacks, the Navy’s use of Vieques Island for military exercises, the use of formaldehyde in emergency housing units provided in response to Hurricanes Katrina and Rita, and alleged contamination at military bases. </w:t>
      </w:r>
    </w:p>
    <w:p w:rsidR="00BD46DD" w:rsidRDefault="00BD46DD" w:rsidP="00BD46DD">
      <w:pPr>
        <w:jc w:val="both"/>
        <w:rPr>
          <w:rFonts w:ascii="Calibri" w:hAnsi="Calibri"/>
        </w:rPr>
      </w:pPr>
    </w:p>
    <w:p w:rsidR="00306A8B" w:rsidRDefault="00BD46DD" w:rsidP="006F203A">
      <w:pPr>
        <w:jc w:val="both"/>
        <w:rPr>
          <w:rFonts w:ascii="Calibri" w:hAnsi="Calibri"/>
        </w:rPr>
      </w:pPr>
      <w:r>
        <w:rPr>
          <w:rFonts w:ascii="Calibri" w:hAnsi="Calibri"/>
        </w:rPr>
        <w:t xml:space="preserve">The largest case currently handled by ET, </w:t>
      </w:r>
      <w:r>
        <w:rPr>
          <w:rFonts w:ascii="Calibri" w:hAnsi="Calibri"/>
          <w:i/>
          <w:iCs/>
        </w:rPr>
        <w:t>Adams v. United States</w:t>
      </w:r>
      <w:r>
        <w:rPr>
          <w:rFonts w:ascii="Calibri" w:hAnsi="Calibri"/>
        </w:rPr>
        <w:t>,</w:t>
      </w:r>
      <w:r>
        <w:rPr>
          <w:rFonts w:ascii="Calibri" w:hAnsi="Calibri"/>
          <w:i/>
          <w:iCs/>
        </w:rPr>
        <w:t xml:space="preserve"> </w:t>
      </w:r>
      <w:r>
        <w:rPr>
          <w:rFonts w:ascii="Calibri" w:hAnsi="Calibri"/>
        </w:rPr>
        <w:t xml:space="preserve">involves claims of more than $800,000,000 stemming from the Department of the Interior’s application of OUST, an herbicide, to wildfire burn areas in Southern Idaho in 1999 and 2000.  More than 100 groups sued the United States and DuPont (OUST’s manufacturer) alleging that the herbicide damaged their crops.  The first bellwether trial was completed in 2009 and the Division is appealing the court’s March 2010 decision that found the United States liable. </w:t>
      </w:r>
      <w:r w:rsidR="006F203A">
        <w:rPr>
          <w:rFonts w:ascii="Calibri" w:hAnsi="Calibri"/>
        </w:rPr>
        <w:t xml:space="preserve"> </w:t>
      </w:r>
    </w:p>
    <w:p w:rsidR="00306A8B" w:rsidRPr="00306A8B" w:rsidRDefault="00306A8B" w:rsidP="006F203A">
      <w:pPr>
        <w:jc w:val="both"/>
        <w:rPr>
          <w:rFonts w:ascii="Calibri" w:hAnsi="Calibri"/>
          <w:sz w:val="20"/>
          <w:szCs w:val="20"/>
        </w:rPr>
      </w:pPr>
    </w:p>
    <w:p w:rsidR="00BD46DD" w:rsidRDefault="00BD46DD" w:rsidP="006F203A">
      <w:pPr>
        <w:jc w:val="both"/>
        <w:rPr>
          <w:rFonts w:ascii="Calibri" w:hAnsi="Calibri"/>
        </w:rPr>
      </w:pPr>
      <w:r>
        <w:rPr>
          <w:rFonts w:ascii="Calibri" w:hAnsi="Calibri"/>
        </w:rPr>
        <w:t xml:space="preserve">Environmental Torts attorneys are also representing the United States’ interests in the World Trade Center (WTC) litigation, which consists of approximately 5,000 administrative claims alleging personal injury following efforts to clean up the WTC Disaster Site.  However, enactment of the James Zadroga 9/11 Health and Compensation Act of 2010 could significantly reduce the number of claims, if claimants opt to seek compensation under the Act.  </w:t>
      </w:r>
    </w:p>
    <w:p w:rsidR="00520137" w:rsidRPr="007D6BB0" w:rsidRDefault="00520137" w:rsidP="00520137">
      <w:pPr>
        <w:jc w:val="both"/>
        <w:rPr>
          <w:rFonts w:ascii="Calibri" w:hAnsi="Calibri"/>
          <w:b/>
          <w:color w:val="006666"/>
          <w:sz w:val="20"/>
          <w:szCs w:val="20"/>
        </w:rPr>
      </w:pPr>
    </w:p>
    <w:p w:rsidR="00520137" w:rsidRPr="00E146D4" w:rsidRDefault="00520137" w:rsidP="00520137">
      <w:pPr>
        <w:jc w:val="both"/>
        <w:rPr>
          <w:rFonts w:ascii="Calibri" w:hAnsi="Calibri"/>
          <w:b/>
          <w:color w:val="632423"/>
          <w:sz w:val="28"/>
          <w:szCs w:val="28"/>
        </w:rPr>
      </w:pPr>
      <w:r w:rsidRPr="00E146D4">
        <w:rPr>
          <w:rFonts w:ascii="Calibri" w:hAnsi="Calibri"/>
          <w:b/>
          <w:color w:val="632423"/>
          <w:sz w:val="28"/>
          <w:szCs w:val="28"/>
        </w:rPr>
        <w:t>Federal Tort Claims Act</w:t>
      </w:r>
    </w:p>
    <w:p w:rsidR="00F562B8" w:rsidRDefault="00F562B8" w:rsidP="00F562B8">
      <w:pPr>
        <w:jc w:val="both"/>
        <w:rPr>
          <w:rFonts w:ascii="Calibri" w:hAnsi="Calibri"/>
          <w:b/>
          <w:color w:val="006666"/>
          <w:sz w:val="20"/>
          <w:szCs w:val="20"/>
        </w:rPr>
      </w:pPr>
    </w:p>
    <w:p w:rsidR="00F562B8" w:rsidRPr="00F562B8" w:rsidRDefault="00B408CF" w:rsidP="00F562B8">
      <w:pPr>
        <w:jc w:val="both"/>
        <w:rPr>
          <w:rFonts w:ascii="Calibri" w:hAnsi="Calibri"/>
          <w:b/>
          <w:color w:val="006666"/>
          <w:sz w:val="20"/>
          <w:szCs w:val="20"/>
        </w:rPr>
      </w:pPr>
      <w:r w:rsidRPr="00F562B8">
        <w:rPr>
          <w:lang w:val="en-CA"/>
        </w:rPr>
        <w:fldChar w:fldCharType="begin"/>
      </w:r>
      <w:r w:rsidR="00F562B8" w:rsidRPr="00F562B8">
        <w:rPr>
          <w:lang w:val="en-CA"/>
        </w:rPr>
        <w:instrText xml:space="preserve"> SEQ CHAPTER \h \r 1</w:instrText>
      </w:r>
      <w:r w:rsidRPr="00F562B8">
        <w:rPr>
          <w:lang w:val="en-CA"/>
        </w:rPr>
        <w:fldChar w:fldCharType="end"/>
      </w:r>
      <w:r w:rsidR="00F562B8" w:rsidRPr="00F562B8">
        <w:rPr>
          <w:rFonts w:ascii="Calibri" w:hAnsi="Calibri" w:cs="Calibri"/>
          <w:bCs/>
        </w:rPr>
        <w:t>The Federal Tort Claims Act (FTCA) provides for compensation for personal injury and property damage claims caused by the “negligent or wrongful act of any employee of the Government while acting within the scope of his office or employment.” Prior to filing suit under the FTCA, the claimant must first file an administrative claim against the agency allegedly at fault and permit the agency at least six months to act on the claim.  Settlements and judgments are generally paid from the Judgment Fund.</w:t>
      </w:r>
    </w:p>
    <w:p w:rsidR="00F562B8" w:rsidRPr="00F562B8" w:rsidRDefault="00F562B8" w:rsidP="00F562B8">
      <w:pPr>
        <w:jc w:val="both"/>
        <w:rPr>
          <w:rFonts w:ascii="Calibri" w:hAnsi="Calibri" w:cs="Calibri"/>
          <w:bCs/>
        </w:rPr>
      </w:pPr>
    </w:p>
    <w:p w:rsidR="00F562B8" w:rsidRDefault="00F562B8" w:rsidP="00F562B8">
      <w:pPr>
        <w:jc w:val="both"/>
        <w:rPr>
          <w:rFonts w:ascii="Calibri" w:hAnsi="Calibri" w:cs="Calibri"/>
        </w:rPr>
      </w:pPr>
      <w:r w:rsidRPr="00F562B8">
        <w:rPr>
          <w:rFonts w:ascii="Calibri" w:hAnsi="Calibri" w:cs="Calibri"/>
          <w:bCs/>
        </w:rPr>
        <w:t>The Office handles a wide variety of complex, and often controversial</w:t>
      </w:r>
      <w:r w:rsidRPr="00F562B8">
        <w:rPr>
          <w:rFonts w:ascii="Calibri" w:hAnsi="Calibri" w:cs="Calibri"/>
        </w:rPr>
        <w:t>,</w:t>
      </w:r>
      <w:r>
        <w:rPr>
          <w:rFonts w:ascii="Calibri" w:hAnsi="Calibri" w:cs="Calibri"/>
        </w:rPr>
        <w:t xml:space="preserve"> suits filed under the FTCA.  These suits arise most often from th</w:t>
      </w:r>
      <w:r w:rsidR="009B0EC2">
        <w:rPr>
          <w:rFonts w:ascii="Calibri" w:hAnsi="Calibri" w:cs="Calibri"/>
        </w:rPr>
        <w:t>e provision of medical care at F</w:t>
      </w:r>
      <w:r>
        <w:rPr>
          <w:rFonts w:ascii="Calibri" w:hAnsi="Calibri" w:cs="Calibri"/>
        </w:rPr>
        <w:t>ederal facilities or community health centers, law enforcem</w:t>
      </w:r>
      <w:r w:rsidR="009B0EC2">
        <w:rPr>
          <w:rFonts w:ascii="Calibri" w:hAnsi="Calibri" w:cs="Calibri"/>
        </w:rPr>
        <w:t>ent operations, maintenance of F</w:t>
      </w:r>
      <w:r>
        <w:rPr>
          <w:rFonts w:ascii="Calibri" w:hAnsi="Calibri" w:cs="Calibri"/>
        </w:rPr>
        <w:t xml:space="preserve">ederal lands and regulatory </w:t>
      </w:r>
      <w:r w:rsidRPr="002B334D">
        <w:rPr>
          <w:rFonts w:ascii="Calibri" w:hAnsi="Calibri" w:cs="Calibri"/>
        </w:rPr>
        <w:t xml:space="preserve">activities.  </w:t>
      </w:r>
      <w:r w:rsidR="002B334D" w:rsidRPr="002B334D">
        <w:rPr>
          <w:rFonts w:ascii="Calibri" w:hAnsi="Calibri" w:cs="Calibri"/>
        </w:rPr>
        <w:t>The FT</w:t>
      </w:r>
      <w:r w:rsidR="009B0EC2">
        <w:rPr>
          <w:rFonts w:ascii="Calibri" w:hAnsi="Calibri" w:cs="Calibri"/>
        </w:rPr>
        <w:t xml:space="preserve">CA Office also handles </w:t>
      </w:r>
      <w:r w:rsidR="002B334D" w:rsidRPr="002B334D">
        <w:rPr>
          <w:rFonts w:ascii="Calibri" w:hAnsi="Calibri" w:cs="Calibri"/>
        </w:rPr>
        <w:t xml:space="preserve">hundreds of administrative claims based on the conduct of Department employees each year.  </w:t>
      </w:r>
      <w:r w:rsidRPr="002B334D">
        <w:rPr>
          <w:rFonts w:ascii="Calibri" w:hAnsi="Calibri" w:cs="Calibri"/>
        </w:rPr>
        <w:t>On</w:t>
      </w:r>
      <w:r>
        <w:rPr>
          <w:rFonts w:ascii="Calibri" w:hAnsi="Calibri" w:cs="Calibri"/>
        </w:rPr>
        <w:t xml:space="preserve"> a daily basis, the FTCA Office provides guidance to United States Attorneys’ Offices (USAOs) and agencies on a broad range of legal issues, as well as strategy and case development.  </w:t>
      </w:r>
    </w:p>
    <w:p w:rsidR="00F562B8" w:rsidRDefault="00F562B8" w:rsidP="00F562B8">
      <w:pPr>
        <w:jc w:val="both"/>
        <w:rPr>
          <w:rFonts w:ascii="Calibri" w:hAnsi="Calibri" w:cs="Calibri"/>
        </w:rPr>
      </w:pPr>
    </w:p>
    <w:p w:rsidR="00F562B8" w:rsidRDefault="00F562B8" w:rsidP="00F562B8">
      <w:pPr>
        <w:jc w:val="both"/>
        <w:rPr>
          <w:rFonts w:ascii="Calibri" w:hAnsi="Calibri" w:cs="Calibri"/>
        </w:rPr>
      </w:pPr>
      <w:r>
        <w:rPr>
          <w:rFonts w:ascii="Calibri" w:hAnsi="Calibri" w:cs="Calibri"/>
          <w:noProof/>
        </w:rPr>
        <w:drawing>
          <wp:anchor distT="0" distB="0" distL="114300" distR="114300" simplePos="0" relativeHeight="251681792" behindDoc="1" locked="0" layoutInCell="1" allowOverlap="1">
            <wp:simplePos x="0" y="0"/>
            <wp:positionH relativeFrom="column">
              <wp:posOffset>28575</wp:posOffset>
            </wp:positionH>
            <wp:positionV relativeFrom="paragraph">
              <wp:posOffset>10160</wp:posOffset>
            </wp:positionV>
            <wp:extent cx="1697355" cy="1733550"/>
            <wp:effectExtent l="19050" t="0" r="0" b="0"/>
            <wp:wrapTight wrapText="bothSides">
              <wp:wrapPolygon edited="0">
                <wp:start x="-242" y="0"/>
                <wp:lineTo x="-242" y="21363"/>
                <wp:lineTo x="21576" y="21363"/>
                <wp:lineTo x="21576" y="0"/>
                <wp:lineTo x="-242" y="0"/>
              </wp:wrapPolygon>
            </wp:wrapTight>
            <wp:docPr id="10" name="Picture 1" descr="This is an image of the Judgment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dgment Fund logo"/>
                    <pic:cNvPicPr>
                      <a:picLocks noChangeAspect="1" noChangeArrowheads="1"/>
                    </pic:cNvPicPr>
                  </pic:nvPicPr>
                  <pic:blipFill>
                    <a:blip r:embed="rId15" cstate="print">
                      <a:lum bright="10000"/>
                    </a:blip>
                    <a:srcRect/>
                    <a:stretch>
                      <a:fillRect/>
                    </a:stretch>
                  </pic:blipFill>
                  <pic:spPr bwMode="auto">
                    <a:xfrm>
                      <a:off x="0" y="0"/>
                      <a:ext cx="1697355" cy="1733550"/>
                    </a:xfrm>
                    <a:prstGeom prst="rect">
                      <a:avLst/>
                    </a:prstGeom>
                    <a:noFill/>
                    <a:ln w="9525">
                      <a:noFill/>
                      <a:miter lim="800000"/>
                      <a:headEnd/>
                      <a:tailEnd/>
                    </a:ln>
                  </pic:spPr>
                </pic:pic>
              </a:graphicData>
            </a:graphic>
          </wp:anchor>
        </w:drawing>
      </w:r>
      <w:r>
        <w:rPr>
          <w:rFonts w:ascii="Calibri" w:hAnsi="Calibri" w:cs="Calibri"/>
        </w:rPr>
        <w:t>One of the core missions of the FTCA Office is to protect the Judgment Fund from unauthorized or excessive payments.  This is accomplished by assisting USAOs and agencies in assessing claims and negotiating and obtaining higher-level approval for settlements above their authority levels.  The FTCA Office has particular expertise in the evaluation and settlement of catastrophic injury cases.</w:t>
      </w:r>
      <w:r w:rsidR="009B0EC2">
        <w:rPr>
          <w:rFonts w:ascii="Calibri" w:hAnsi="Calibri" w:cs="Calibri"/>
        </w:rPr>
        <w:t xml:space="preserve"> </w:t>
      </w:r>
      <w:r>
        <w:t> </w:t>
      </w:r>
      <w:r>
        <w:rPr>
          <w:rFonts w:ascii="Calibri" w:hAnsi="Calibri" w:cs="Calibri"/>
        </w:rPr>
        <w:t xml:space="preserve">It actively promotes the use of annuities, to reduce the cost of the settlement, and reversionary medical trusts, to avoid unintended windfalls and duplicative payments.  Unused trust funds are returned to the Treasury upon </w:t>
      </w:r>
      <w:r>
        <w:rPr>
          <w:rFonts w:ascii="Calibri" w:hAnsi="Calibri" w:cs="Calibri"/>
        </w:rPr>
        <w:lastRenderedPageBreak/>
        <w:t>termination of the trust.  As of June 1, 2010, approximately $81,600,000 had accrued from the trust</w:t>
      </w:r>
      <w:r w:rsidR="007E5606">
        <w:rPr>
          <w:rFonts w:ascii="Calibri" w:hAnsi="Calibri" w:cs="Calibri"/>
        </w:rPr>
        <w:t xml:space="preserve"> funds and was refunded to the t</w:t>
      </w:r>
      <w:r>
        <w:rPr>
          <w:rFonts w:ascii="Calibri" w:hAnsi="Calibri" w:cs="Calibri"/>
        </w:rPr>
        <w:t>reasury.</w:t>
      </w:r>
    </w:p>
    <w:p w:rsidR="0095548D" w:rsidRDefault="0095548D" w:rsidP="00F562B8">
      <w:pPr>
        <w:jc w:val="both"/>
        <w:rPr>
          <w:rFonts w:ascii="Calibri" w:hAnsi="Calibri" w:cs="Calibri"/>
        </w:rPr>
      </w:pPr>
    </w:p>
    <w:p w:rsidR="00F562B8" w:rsidRDefault="00A974BD" w:rsidP="00F562B8">
      <w:pPr>
        <w:jc w:val="both"/>
        <w:rPr>
          <w:rFonts w:asciiTheme="minorHAnsi" w:hAnsiTheme="minorHAnsi"/>
        </w:rPr>
      </w:pPr>
      <w:r>
        <w:rPr>
          <w:rFonts w:ascii="Calibri" w:hAnsi="Calibri" w:cs="Calibri"/>
          <w:noProof/>
        </w:rPr>
        <w:pict>
          <v:shape id="_x0000_s1051" type="#_x0000_t202" style="position:absolute;left:0;text-align:left;margin-left:215.25pt;margin-top:209.25pt;width:238.85pt;height:26.35pt;z-index:-251617280;mso-position-horizontal-relative:text;mso-position-vertical-relative:text;mso-width-relative:margin;mso-height-relative:margin" wrapcoords="-61 0 -61 21060 21600 21060 21600 0 -61 0" stroked="f">
            <v:textbox style="mso-next-textbox:#_x0000_s1051">
              <w:txbxContent>
                <w:p w:rsidR="009B0EC2" w:rsidRPr="00F562B8" w:rsidRDefault="00A974BD" w:rsidP="00F562B8">
                  <w:pPr>
                    <w:jc w:val="center"/>
                    <w:rPr>
                      <w:rFonts w:asciiTheme="minorHAnsi" w:hAnsiTheme="minorHAnsi"/>
                      <w:sz w:val="16"/>
                      <w:szCs w:val="16"/>
                    </w:rPr>
                  </w:pPr>
                  <w:hyperlink r:id="rId16" w:history="1">
                    <w:r w:rsidR="009B0EC2" w:rsidRPr="00F562B8">
                      <w:rPr>
                        <w:rStyle w:val="Hyperlink"/>
                        <w:rFonts w:asciiTheme="minorHAnsi" w:hAnsiTheme="minorHAnsi"/>
                        <w:color w:val="auto"/>
                        <w:sz w:val="16"/>
                        <w:szCs w:val="16"/>
                      </w:rPr>
                      <w:t>https://eportal.usace.army.mil/sites/DVL/DVL%20Images/Forms/</w:t>
                    </w:r>
                    <w:r w:rsidR="009B0EC2" w:rsidRPr="00F562B8">
                      <w:rPr>
                        <w:rStyle w:val="Hyperlink"/>
                        <w:rFonts w:asciiTheme="minorHAnsi" w:hAnsiTheme="minorHAnsi"/>
                        <w:color w:val="auto"/>
                        <w:sz w:val="16"/>
                        <w:szCs w:val="16"/>
                      </w:rPr>
                      <w:br/>
                      <w:t>DispForm.aspx?ID=6296</w:t>
                    </w:r>
                  </w:hyperlink>
                </w:p>
                <w:p w:rsidR="009B0EC2" w:rsidRPr="00F562B8" w:rsidRDefault="009B0EC2" w:rsidP="00F562B8">
                  <w:pPr>
                    <w:jc w:val="center"/>
                    <w:rPr>
                      <w:rFonts w:asciiTheme="minorHAnsi" w:hAnsiTheme="minorHAnsi"/>
                      <w:sz w:val="16"/>
                      <w:szCs w:val="16"/>
                    </w:rPr>
                  </w:pPr>
                </w:p>
              </w:txbxContent>
            </v:textbox>
            <w10:wrap type="tight"/>
          </v:shape>
        </w:pict>
      </w:r>
      <w:r w:rsidR="00E161C3">
        <w:rPr>
          <w:rFonts w:ascii="Calibri" w:hAnsi="Calibri" w:cs="Calibri"/>
          <w:noProof/>
        </w:rPr>
        <w:drawing>
          <wp:anchor distT="0" distB="0" distL="114300" distR="114300" simplePos="0" relativeHeight="251675648" behindDoc="1" locked="0" layoutInCell="1" allowOverlap="1">
            <wp:simplePos x="0" y="0"/>
            <wp:positionH relativeFrom="column">
              <wp:posOffset>2730500</wp:posOffset>
            </wp:positionH>
            <wp:positionV relativeFrom="paragraph">
              <wp:posOffset>57150</wp:posOffset>
            </wp:positionV>
            <wp:extent cx="3193415" cy="2400300"/>
            <wp:effectExtent l="19050" t="0" r="6985" b="0"/>
            <wp:wrapTight wrapText="bothSides">
              <wp:wrapPolygon edited="0">
                <wp:start x="-129" y="0"/>
                <wp:lineTo x="-129" y="21429"/>
                <wp:lineTo x="21647" y="21429"/>
                <wp:lineTo x="21647" y="0"/>
                <wp:lineTo x="-129" y="0"/>
              </wp:wrapPolygon>
            </wp:wrapTight>
            <wp:docPr id="7" name="Picture 3" descr="This is a photograph of the flooding in New Orleans after Hurricane Katr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jpg@01CB4517.31DDB990"/>
                    <pic:cNvPicPr>
                      <a:picLocks noChangeAspect="1" noChangeArrowheads="1"/>
                    </pic:cNvPicPr>
                  </pic:nvPicPr>
                  <pic:blipFill>
                    <a:blip r:embed="rId17" r:link="rId18" cstate="print">
                      <a:lum contrast="20000"/>
                    </a:blip>
                    <a:srcRect/>
                    <a:stretch>
                      <a:fillRect/>
                    </a:stretch>
                  </pic:blipFill>
                  <pic:spPr bwMode="auto">
                    <a:xfrm>
                      <a:off x="0" y="0"/>
                      <a:ext cx="3193415" cy="2400300"/>
                    </a:xfrm>
                    <a:prstGeom prst="rect">
                      <a:avLst/>
                    </a:prstGeom>
                    <a:noFill/>
                    <a:ln w="9525">
                      <a:noFill/>
                      <a:miter lim="800000"/>
                      <a:headEnd/>
                      <a:tailEnd/>
                    </a:ln>
                  </pic:spPr>
                </pic:pic>
              </a:graphicData>
            </a:graphic>
          </wp:anchor>
        </w:drawing>
      </w:r>
      <w:r w:rsidR="00F562B8">
        <w:rPr>
          <w:rFonts w:ascii="Calibri" w:hAnsi="Calibri" w:cs="Calibri"/>
        </w:rPr>
        <w:t xml:space="preserve">The largest group of cases currently handled by the FTCA Office is the Hurricane Katrina litigation.  Over 400 lawsuits have been filed and more than 500,000 administrative claims are pending with the Army Corps of Engineers seeking compensation for damages. </w:t>
      </w:r>
      <w:r w:rsidR="009B0EC2">
        <w:rPr>
          <w:rFonts w:ascii="Calibri" w:hAnsi="Calibri" w:cs="Calibri"/>
        </w:rPr>
        <w:t xml:space="preserve"> </w:t>
      </w:r>
      <w:r w:rsidR="00F562B8">
        <w:rPr>
          <w:rFonts w:ascii="Calibri" w:hAnsi="Calibri" w:cs="Calibri"/>
        </w:rPr>
        <w:t>After trial in the lead case, the district court concluded that negligence on the part of the Corps led to the massive flooding that damaged much of the greater New Orleans area.  Unless reversed on appeal, this ruling could result in the activation of hundreds of thousands of other cases from individuals, businesses, and governmental entities with claims currently pending. </w:t>
      </w:r>
    </w:p>
    <w:p w:rsidR="00F562B8" w:rsidRPr="00F562B8" w:rsidRDefault="00F562B8" w:rsidP="00520137">
      <w:pPr>
        <w:jc w:val="both"/>
        <w:rPr>
          <w:rFonts w:asciiTheme="minorHAnsi" w:hAnsiTheme="minorHAnsi"/>
          <w:sz w:val="20"/>
          <w:szCs w:val="20"/>
        </w:rPr>
      </w:pPr>
    </w:p>
    <w:p w:rsidR="00520137" w:rsidRPr="00947833" w:rsidRDefault="00520137" w:rsidP="00520137">
      <w:pPr>
        <w:jc w:val="both"/>
        <w:rPr>
          <w:rFonts w:ascii="Calibri" w:hAnsi="Calibri"/>
          <w:b/>
          <w:color w:val="632423"/>
          <w:sz w:val="28"/>
          <w:szCs w:val="28"/>
        </w:rPr>
      </w:pPr>
      <w:r w:rsidRPr="00947833">
        <w:rPr>
          <w:rFonts w:ascii="Calibri" w:hAnsi="Calibri"/>
          <w:b/>
          <w:color w:val="632423"/>
          <w:sz w:val="28"/>
          <w:szCs w:val="28"/>
        </w:rPr>
        <w:t>Aviation and Admiralty Torts</w:t>
      </w:r>
    </w:p>
    <w:p w:rsidR="002F7DAA" w:rsidRPr="002F7DAA" w:rsidRDefault="002F7DAA" w:rsidP="008E5080">
      <w:pPr>
        <w:contextualSpacing/>
        <w:jc w:val="both"/>
        <w:rPr>
          <w:rFonts w:asciiTheme="minorHAnsi" w:hAnsiTheme="minorHAnsi"/>
          <w:sz w:val="20"/>
          <w:szCs w:val="20"/>
        </w:rPr>
      </w:pPr>
    </w:p>
    <w:p w:rsidR="00BD46DD" w:rsidRDefault="00BD46DD" w:rsidP="00BD46DD">
      <w:pPr>
        <w:jc w:val="both"/>
        <w:rPr>
          <w:rFonts w:ascii="Calibri" w:hAnsi="Calibri"/>
        </w:rPr>
      </w:pPr>
      <w:r w:rsidRPr="00BE3321">
        <w:rPr>
          <w:rFonts w:ascii="Calibri" w:hAnsi="Calibri"/>
        </w:rPr>
        <w:t>The Aviation and Admiralty Section handles aviation and maritime accident cases and claims.</w:t>
      </w:r>
      <w:r>
        <w:rPr>
          <w:rFonts w:ascii="Calibri" w:hAnsi="Calibri"/>
        </w:rPr>
        <w:t xml:space="preserve">  </w:t>
      </w:r>
      <w:r w:rsidRPr="00BE3321">
        <w:rPr>
          <w:rFonts w:ascii="Calibri" w:hAnsi="Calibri"/>
        </w:rPr>
        <w:t xml:space="preserve">Aviation litigation arises from the Government’s involvement in such activities as regulation of air commerce, air traffic control, aviation security, weather services, and aeronautical charting.  When aircraft accidents occur, the Section handles high-value litigation involving the </w:t>
      </w:r>
      <w:r>
        <w:rPr>
          <w:rFonts w:ascii="Calibri" w:hAnsi="Calibri"/>
        </w:rPr>
        <w:t xml:space="preserve">Federal Aviation Administration’s </w:t>
      </w:r>
      <w:r w:rsidRPr="00BE3321">
        <w:rPr>
          <w:rFonts w:ascii="Calibri" w:hAnsi="Calibri"/>
        </w:rPr>
        <w:t xml:space="preserve">air traffic control and weather dissemination services, as well as its certification of airports, aircraft, and air personnel.  </w:t>
      </w:r>
    </w:p>
    <w:p w:rsidR="00BD46DD" w:rsidRPr="00CD5A9A" w:rsidRDefault="00BD46DD" w:rsidP="00BD46DD">
      <w:pPr>
        <w:jc w:val="both"/>
        <w:rPr>
          <w:rFonts w:ascii="Calibri" w:hAnsi="Calibri"/>
          <w:sz w:val="20"/>
          <w:szCs w:val="20"/>
        </w:rPr>
      </w:pPr>
    </w:p>
    <w:p w:rsidR="00BD46DD" w:rsidRPr="008E5080" w:rsidRDefault="00BD46DD" w:rsidP="00BD46DD">
      <w:pPr>
        <w:contextualSpacing/>
        <w:jc w:val="both"/>
        <w:rPr>
          <w:rFonts w:asciiTheme="minorHAnsi" w:hAnsiTheme="minorHAnsi"/>
        </w:rPr>
      </w:pPr>
      <w:r>
        <w:rPr>
          <w:rFonts w:ascii="Calibri" w:hAnsi="Calibri"/>
        </w:rPr>
        <w:t>A</w:t>
      </w:r>
      <w:r w:rsidRPr="00BE3321">
        <w:rPr>
          <w:rFonts w:ascii="Calibri" w:hAnsi="Calibri"/>
        </w:rPr>
        <w:t>dmiralty litigation includes collisions involving U.S. vessels, grounding of vessels using U.S. produced charts, challenges to the boarding of vessels on the high seas during national security and drug interdiction activities, and maritime aspects of pollution incide</w:t>
      </w:r>
      <w:r>
        <w:rPr>
          <w:rFonts w:ascii="Calibri" w:hAnsi="Calibri"/>
        </w:rPr>
        <w:t xml:space="preserve">nts at sea.  </w:t>
      </w:r>
      <w:r w:rsidRPr="008E5080">
        <w:rPr>
          <w:rFonts w:asciiTheme="minorHAnsi" w:hAnsiTheme="minorHAnsi"/>
        </w:rPr>
        <w:t>The</w:t>
      </w:r>
      <w:r>
        <w:rPr>
          <w:rFonts w:asciiTheme="minorHAnsi" w:hAnsiTheme="minorHAnsi"/>
        </w:rPr>
        <w:t xml:space="preserve"> Section also </w:t>
      </w:r>
      <w:r w:rsidRPr="008E5080">
        <w:rPr>
          <w:rFonts w:asciiTheme="minorHAnsi" w:hAnsiTheme="minorHAnsi"/>
        </w:rPr>
        <w:t>represents the United States in its role as ship-owner, regulator, and protector of the nation’s wat</w:t>
      </w:r>
      <w:r>
        <w:rPr>
          <w:rFonts w:asciiTheme="minorHAnsi" w:hAnsiTheme="minorHAnsi"/>
        </w:rPr>
        <w:t xml:space="preserve">erways and maritime resources.  </w:t>
      </w:r>
      <w:r w:rsidRPr="008E5080">
        <w:rPr>
          <w:rFonts w:asciiTheme="minorHAnsi" w:hAnsiTheme="minorHAnsi"/>
        </w:rPr>
        <w:t>Currently, the Section is handling matters related to the explosion of the Deepwater Horizon offshore drilling station and the resulting oi</w:t>
      </w:r>
      <w:r>
        <w:rPr>
          <w:rFonts w:asciiTheme="minorHAnsi" w:hAnsiTheme="minorHAnsi"/>
        </w:rPr>
        <w:t xml:space="preserve">l spill in the Gulf of Mexico.  </w:t>
      </w:r>
      <w:r w:rsidRPr="008E5080">
        <w:rPr>
          <w:rFonts w:asciiTheme="minorHAnsi" w:hAnsiTheme="minorHAnsi"/>
        </w:rPr>
        <w:t>The Civil Division is responsible for recovering the billions of dollars spent by numerous Government agencies in response costs</w:t>
      </w:r>
      <w:r w:rsidR="009B0EC2">
        <w:rPr>
          <w:rFonts w:asciiTheme="minorHAnsi" w:hAnsiTheme="minorHAnsi"/>
        </w:rPr>
        <w:t>, as well as</w:t>
      </w:r>
      <w:r w:rsidRPr="008E5080">
        <w:rPr>
          <w:rFonts w:asciiTheme="minorHAnsi" w:hAnsiTheme="minorHAnsi"/>
        </w:rPr>
        <w:t xml:space="preserve"> assess</w:t>
      </w:r>
      <w:r>
        <w:rPr>
          <w:rFonts w:asciiTheme="minorHAnsi" w:hAnsiTheme="minorHAnsi"/>
        </w:rPr>
        <w:t>ing and pursuing</w:t>
      </w:r>
      <w:r w:rsidRPr="008E5080">
        <w:rPr>
          <w:rFonts w:asciiTheme="minorHAnsi" w:hAnsiTheme="minorHAnsi"/>
        </w:rPr>
        <w:t xml:space="preserve"> damages and fines authorized under existing statutes.</w:t>
      </w:r>
      <w:r>
        <w:rPr>
          <w:rFonts w:asciiTheme="minorHAnsi" w:hAnsiTheme="minorHAnsi"/>
        </w:rPr>
        <w:t xml:space="preserve">  </w:t>
      </w:r>
      <w:r w:rsidRPr="008E5080">
        <w:rPr>
          <w:rFonts w:asciiTheme="minorHAnsi" w:hAnsiTheme="minorHAnsi"/>
        </w:rPr>
        <w:t>The Deepwater Horizon litigation will likely be the largest, most significant civil enforcement action in the Civil Division’s history.</w:t>
      </w:r>
      <w:r>
        <w:rPr>
          <w:rFonts w:asciiTheme="minorHAnsi" w:hAnsiTheme="minorHAnsi"/>
        </w:rPr>
        <w:t xml:space="preserve">  </w:t>
      </w:r>
      <w:r w:rsidRPr="008E5080">
        <w:rPr>
          <w:rFonts w:asciiTheme="minorHAnsi" w:hAnsiTheme="minorHAnsi"/>
        </w:rPr>
        <w:t>Additionally, the Division may be</w:t>
      </w:r>
      <w:r>
        <w:rPr>
          <w:rFonts w:asciiTheme="minorHAnsi" w:hAnsiTheme="minorHAnsi"/>
        </w:rPr>
        <w:t xml:space="preserve"> responsible for defending the G</w:t>
      </w:r>
      <w:r w:rsidRPr="008E5080">
        <w:rPr>
          <w:rFonts w:asciiTheme="minorHAnsi" w:hAnsiTheme="minorHAnsi"/>
        </w:rPr>
        <w:t>overnment if the United States is named as a third party in defensive suits.</w:t>
      </w:r>
    </w:p>
    <w:p w:rsidR="00E161C3" w:rsidRPr="00E161C3" w:rsidRDefault="00E161C3" w:rsidP="00E161C3">
      <w:pPr>
        <w:contextualSpacing/>
        <w:jc w:val="both"/>
        <w:rPr>
          <w:rFonts w:ascii="Calibri" w:hAnsi="Calibri"/>
        </w:rPr>
      </w:pPr>
      <w:r>
        <w:rPr>
          <w:rFonts w:ascii="Calibri" w:hAnsi="Calibri"/>
          <w:noProof/>
        </w:rPr>
        <w:lastRenderedPageBreak/>
        <w:drawing>
          <wp:anchor distT="0" distB="0" distL="114300" distR="114300" simplePos="0" relativeHeight="251696128" behindDoc="1" locked="0" layoutInCell="1" allowOverlap="1">
            <wp:simplePos x="0" y="0"/>
            <wp:positionH relativeFrom="column">
              <wp:posOffset>-9525</wp:posOffset>
            </wp:positionH>
            <wp:positionV relativeFrom="paragraph">
              <wp:posOffset>53340</wp:posOffset>
            </wp:positionV>
            <wp:extent cx="3124200" cy="2514600"/>
            <wp:effectExtent l="19050" t="0" r="0" b="0"/>
            <wp:wrapTight wrapText="bothSides">
              <wp:wrapPolygon edited="0">
                <wp:start x="-132" y="0"/>
                <wp:lineTo x="-132" y="21436"/>
                <wp:lineTo x="21600" y="21436"/>
                <wp:lineTo x="21600" y="0"/>
                <wp:lineTo x="-132" y="0"/>
              </wp:wrapPolygon>
            </wp:wrapTight>
            <wp:docPr id="1" name="Picture 4" descr="This is a photograph of rescuers putting out the fire on the Deepwater Horizon oil 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tong\AppData\Local\Microsoft\Windows\Temporary Internet Files\Content.Outlook\2RXOT73I\images (3).jpg"/>
                    <pic:cNvPicPr>
                      <a:picLocks noChangeAspect="1" noChangeArrowheads="1"/>
                    </pic:cNvPicPr>
                  </pic:nvPicPr>
                  <pic:blipFill>
                    <a:blip r:embed="rId19" cstate="print">
                      <a:lum bright="15000" contrast="10000"/>
                    </a:blip>
                    <a:srcRect/>
                    <a:stretch>
                      <a:fillRect/>
                    </a:stretch>
                  </pic:blipFill>
                  <pic:spPr bwMode="auto">
                    <a:xfrm>
                      <a:off x="0" y="0"/>
                      <a:ext cx="3124200" cy="2514600"/>
                    </a:xfrm>
                    <a:prstGeom prst="rect">
                      <a:avLst/>
                    </a:prstGeom>
                    <a:noFill/>
                    <a:ln w="9525">
                      <a:noFill/>
                      <a:miter lim="800000"/>
                      <a:headEnd/>
                      <a:tailEnd/>
                    </a:ln>
                  </pic:spPr>
                </pic:pic>
              </a:graphicData>
            </a:graphic>
          </wp:anchor>
        </w:drawing>
      </w:r>
      <w:r w:rsidR="00A974BD">
        <w:rPr>
          <w:rFonts w:ascii="Calibri" w:hAnsi="Calibri"/>
          <w:noProof/>
        </w:rPr>
        <w:pict>
          <v:shape id="_x0000_s1049" type="#_x0000_t202" style="position:absolute;left:0;text-align:left;margin-left:-1.5pt;margin-top:211.2pt;width:247.5pt;height:20.1pt;z-index:-251619328;mso-position-horizontal-relative:text;mso-position-vertical-relative:text" wrapcoords="-67 0 -67 20736 21600 20736 21600 0 -67 0" stroked="f">
            <v:textbox style="mso-next-textbox:#_x0000_s1049">
              <w:txbxContent>
                <w:p w:rsidR="009B0EC2" w:rsidRPr="006040B5" w:rsidRDefault="00A974BD" w:rsidP="00BD46DD">
                  <w:pPr>
                    <w:jc w:val="center"/>
                    <w:rPr>
                      <w:rFonts w:asciiTheme="minorHAnsi" w:hAnsiTheme="minorHAnsi"/>
                      <w:sz w:val="16"/>
                      <w:szCs w:val="16"/>
                    </w:rPr>
                  </w:pPr>
                  <w:hyperlink r:id="rId20" w:history="1">
                    <w:r w:rsidR="009B0EC2" w:rsidRPr="006040B5">
                      <w:rPr>
                        <w:rStyle w:val="Hyperlink"/>
                        <w:rFonts w:asciiTheme="minorHAnsi" w:hAnsiTheme="minorHAnsi"/>
                        <w:color w:val="auto"/>
                        <w:sz w:val="16"/>
                        <w:szCs w:val="16"/>
                      </w:rPr>
                      <w:t>http://www.uscgnews.com/go/doc/786/440291/</w:t>
                    </w:r>
                  </w:hyperlink>
                </w:p>
              </w:txbxContent>
            </v:textbox>
            <w10:wrap type="tight"/>
          </v:shape>
        </w:pict>
      </w:r>
      <w:r>
        <w:rPr>
          <w:rFonts w:ascii="Calibri" w:hAnsi="Calibri"/>
        </w:rPr>
        <w:t>On December 15, 2010, the United States filed suit against BP Exploration and Production, Inc. and eight other defendants.  The district court established an ambitious schedule, with test trials set to begin in the summer of 2011.  The United States must participate fully in discovery and other pre-trial proceedings, which will include completing the collection, processing, review, and production of billions of pages of documents and electronic files from multiple agencies; taking and defending hundreds of depositions; and engaging in extensive motions practice involving hundreds of parties.   Recovery effo</w:t>
      </w:r>
      <w:r w:rsidRPr="00E161C3">
        <w:rPr>
          <w:rFonts w:ascii="Calibri" w:hAnsi="Calibri"/>
        </w:rPr>
        <w:t>rts will intensify as the Limitation of Liability trial commences in February/March of FY 2012.  In a pretrial order, the court inserted the United States as an o</w:t>
      </w:r>
      <w:r w:rsidR="0008140C">
        <w:rPr>
          <w:rFonts w:ascii="Calibri" w:hAnsi="Calibri"/>
        </w:rPr>
        <w:t>fficial party in the l</w:t>
      </w:r>
      <w:r>
        <w:rPr>
          <w:rFonts w:ascii="Calibri" w:hAnsi="Calibri"/>
        </w:rPr>
        <w:t>iability</w:t>
      </w:r>
      <w:r w:rsidRPr="00E161C3">
        <w:rPr>
          <w:rFonts w:ascii="Calibri" w:hAnsi="Calibri"/>
        </w:rPr>
        <w:t xml:space="preserve"> trial, giving the Government a formal role in witness depositions.  The order also expanded the work required for deposition coverage by doubling the length of time from eight to fifteen hours and mandating that depositions be multi-tracked.  </w:t>
      </w:r>
      <w:r w:rsidR="0008140C">
        <w:rPr>
          <w:rFonts w:ascii="Calibri" w:hAnsi="Calibri"/>
        </w:rPr>
        <w:t>A</w:t>
      </w:r>
      <w:r w:rsidRPr="00E161C3">
        <w:rPr>
          <w:rFonts w:ascii="Calibri" w:hAnsi="Calibri"/>
        </w:rPr>
        <w:t xml:space="preserve"> dedicated trial team, along with support from experts, consultants, and litigation support services, will be essential as the case moves into the litigation phases.</w:t>
      </w:r>
      <w:r>
        <w:rPr>
          <w:rFonts w:ascii="Calibri" w:hAnsi="Calibri"/>
        </w:rPr>
        <w:t xml:space="preserve">  Given the pre-trial requirements, the huge volume of evidentiary material, and the magnitude of the cases, this litigation will require </w:t>
      </w:r>
      <w:r w:rsidR="0008140C">
        <w:rPr>
          <w:rFonts w:ascii="Calibri" w:hAnsi="Calibri"/>
        </w:rPr>
        <w:t>significant staffing and technological resources</w:t>
      </w:r>
      <w:r>
        <w:rPr>
          <w:rFonts w:ascii="Calibri" w:hAnsi="Calibri"/>
        </w:rPr>
        <w:t>.</w:t>
      </w:r>
    </w:p>
    <w:p w:rsidR="00907F31" w:rsidRPr="00BD46DD" w:rsidRDefault="00907F31" w:rsidP="00520137">
      <w:pPr>
        <w:jc w:val="both"/>
        <w:rPr>
          <w:rFonts w:ascii="Calibri" w:hAnsi="Calibri"/>
          <w:b/>
          <w:color w:val="632423"/>
          <w:sz w:val="20"/>
          <w:szCs w:val="20"/>
        </w:rPr>
      </w:pPr>
    </w:p>
    <w:p w:rsidR="00520137" w:rsidRPr="00947833" w:rsidRDefault="00520137" w:rsidP="00520137">
      <w:pPr>
        <w:jc w:val="both"/>
        <w:rPr>
          <w:rFonts w:ascii="Calibri" w:hAnsi="Calibri"/>
          <w:b/>
          <w:color w:val="632423"/>
          <w:sz w:val="28"/>
          <w:szCs w:val="28"/>
        </w:rPr>
      </w:pPr>
      <w:r w:rsidRPr="00947833">
        <w:rPr>
          <w:rFonts w:ascii="Calibri" w:hAnsi="Calibri"/>
          <w:b/>
          <w:color w:val="632423"/>
          <w:sz w:val="28"/>
          <w:szCs w:val="28"/>
        </w:rPr>
        <w:t>Constitutional and Specialized Torts</w:t>
      </w:r>
    </w:p>
    <w:p w:rsidR="00520137" w:rsidRPr="008502AD" w:rsidRDefault="00520137" w:rsidP="00520137">
      <w:pPr>
        <w:jc w:val="both"/>
        <w:rPr>
          <w:rFonts w:ascii="Calibri" w:hAnsi="Calibri"/>
          <w:b/>
          <w:color w:val="006666"/>
          <w:sz w:val="20"/>
          <w:szCs w:val="20"/>
        </w:rPr>
      </w:pPr>
    </w:p>
    <w:p w:rsidR="00520137" w:rsidRPr="00BE3321" w:rsidRDefault="00520137" w:rsidP="00520137">
      <w:pPr>
        <w:jc w:val="both"/>
        <w:rPr>
          <w:rFonts w:ascii="Calibri" w:hAnsi="Calibri"/>
        </w:rPr>
      </w:pPr>
      <w:r w:rsidRPr="00BE3321">
        <w:rPr>
          <w:rFonts w:ascii="Calibri" w:hAnsi="Calibri"/>
        </w:rPr>
        <w:t xml:space="preserve">The Constitutional Torts, or </w:t>
      </w:r>
      <w:r w:rsidRPr="00BE3321">
        <w:rPr>
          <w:rFonts w:ascii="Calibri" w:hAnsi="Calibri"/>
          <w:i/>
          <w:iCs/>
        </w:rPr>
        <w:t xml:space="preserve">Bivens </w:t>
      </w:r>
      <w:r w:rsidRPr="00BE3321">
        <w:rPr>
          <w:rFonts w:ascii="Calibri" w:hAnsi="Calibri"/>
        </w:rPr>
        <w:t>component, handles cases which involve employees in the executive and legislative branches who are personally sued for actions taken within the scope of the</w:t>
      </w:r>
      <w:r>
        <w:rPr>
          <w:rFonts w:ascii="Calibri" w:hAnsi="Calibri"/>
        </w:rPr>
        <w:t xml:space="preserve">ir employment.  These suits </w:t>
      </w:r>
      <w:r w:rsidRPr="00BE3321">
        <w:rPr>
          <w:rFonts w:ascii="Calibri" w:hAnsi="Calibri"/>
        </w:rPr>
        <w:t xml:space="preserve">cover a wide variety of actions and levels of employees, including those involved in law enforcement and national security.  They go to the heart of the many missions of the Federal public service.  Effective representation of Federal employees allows public servants to carry out their duties without fear of personal liability for their actions.  </w:t>
      </w:r>
    </w:p>
    <w:p w:rsidR="00520137" w:rsidRDefault="00520137" w:rsidP="00520137">
      <w:pPr>
        <w:jc w:val="both"/>
        <w:rPr>
          <w:rFonts w:ascii="Calibri" w:hAnsi="Calibri"/>
          <w:b/>
          <w:color w:val="632423"/>
          <w:sz w:val="20"/>
          <w:szCs w:val="20"/>
          <w:lang w:val="en-CA"/>
        </w:rPr>
      </w:pPr>
    </w:p>
    <w:p w:rsidR="00520137" w:rsidRPr="00EA7D5E" w:rsidRDefault="00520137" w:rsidP="00520137">
      <w:pPr>
        <w:jc w:val="both"/>
        <w:rPr>
          <w:rFonts w:ascii="Calibri" w:hAnsi="Calibri"/>
          <w:b/>
          <w:color w:val="632423"/>
          <w:sz w:val="36"/>
          <w:szCs w:val="36"/>
          <w:lang w:val="en-CA"/>
        </w:rPr>
      </w:pPr>
      <w:r w:rsidRPr="00EA7D5E">
        <w:rPr>
          <w:rFonts w:ascii="Calibri" w:hAnsi="Calibri"/>
          <w:b/>
          <w:color w:val="632423"/>
          <w:sz w:val="36"/>
          <w:szCs w:val="36"/>
          <w:lang w:val="en-CA"/>
        </w:rPr>
        <w:t>COMMERCIAL BRANCH</w:t>
      </w:r>
    </w:p>
    <w:p w:rsidR="00E32565" w:rsidRDefault="00A974BD" w:rsidP="00520137">
      <w:pPr>
        <w:jc w:val="both"/>
        <w:rPr>
          <w:rFonts w:ascii="Calibri" w:hAnsi="Calibri"/>
          <w:color w:val="006666"/>
          <w:lang w:val="en-CA"/>
        </w:rPr>
      </w:pPr>
      <w:r>
        <w:rPr>
          <w:rFonts w:ascii="Calibri" w:hAnsi="Calibri"/>
          <w:b/>
          <w:noProof/>
          <w:color w:val="632423"/>
          <w:sz w:val="32"/>
          <w:szCs w:val="32"/>
          <w:u w:val="single"/>
        </w:rPr>
        <w:pict>
          <v:shape id="_x0000_s1030" type="#_x0000_t32" style="position:absolute;left:0;text-align:left;margin-left:-1.5pt;margin-top:1.3pt;width:467pt;height:0;z-index:251666432" o:connectortype="straight" strokecolor="#622423" strokeweight="3pt"/>
        </w:pict>
      </w:r>
    </w:p>
    <w:p w:rsidR="00520137" w:rsidRPr="00E32565" w:rsidRDefault="00B408CF" w:rsidP="00520137">
      <w:pPr>
        <w:jc w:val="both"/>
        <w:rPr>
          <w:rFonts w:ascii="Calibri" w:hAnsi="Calibri"/>
          <w:color w:val="006666"/>
          <w:lang w:val="en-CA"/>
        </w:rPr>
      </w:pPr>
      <w:r w:rsidRPr="00947833">
        <w:rPr>
          <w:rFonts w:ascii="Calibri" w:hAnsi="Calibri"/>
          <w:color w:val="632423"/>
          <w:sz w:val="28"/>
          <w:szCs w:val="28"/>
          <w:lang w:val="en-CA"/>
        </w:rPr>
        <w:fldChar w:fldCharType="begin"/>
      </w:r>
      <w:r w:rsidR="00520137" w:rsidRPr="00947833">
        <w:rPr>
          <w:rFonts w:ascii="Calibri" w:hAnsi="Calibri"/>
          <w:color w:val="632423"/>
          <w:sz w:val="28"/>
          <w:szCs w:val="28"/>
          <w:lang w:val="en-CA"/>
        </w:rPr>
        <w:instrText xml:space="preserve"> SEQ CHAPTER \h \r 1</w:instrText>
      </w:r>
      <w:r w:rsidRPr="00947833">
        <w:rPr>
          <w:rFonts w:ascii="Calibri" w:hAnsi="Calibri"/>
          <w:color w:val="632423"/>
          <w:sz w:val="28"/>
          <w:szCs w:val="28"/>
          <w:lang w:val="en-CA"/>
        </w:rPr>
        <w:fldChar w:fldCharType="end"/>
      </w:r>
      <w:r w:rsidR="00520137" w:rsidRPr="00947833">
        <w:rPr>
          <w:rFonts w:ascii="Calibri" w:hAnsi="Calibri"/>
          <w:b/>
          <w:bCs/>
          <w:color w:val="632423"/>
          <w:sz w:val="28"/>
          <w:szCs w:val="28"/>
        </w:rPr>
        <w:t>National Courts</w:t>
      </w:r>
    </w:p>
    <w:p w:rsidR="00520137" w:rsidRPr="008502AD" w:rsidRDefault="00520137" w:rsidP="00520137">
      <w:pPr>
        <w:jc w:val="both"/>
        <w:rPr>
          <w:rFonts w:ascii="Calibri" w:hAnsi="Calibri"/>
          <w:b/>
          <w:bCs/>
          <w:color w:val="006666"/>
          <w:sz w:val="20"/>
          <w:szCs w:val="20"/>
        </w:rPr>
      </w:pPr>
    </w:p>
    <w:p w:rsidR="00520137" w:rsidRPr="00BE3321" w:rsidRDefault="00520137" w:rsidP="00520137">
      <w:pPr>
        <w:jc w:val="both"/>
        <w:rPr>
          <w:rFonts w:ascii="Calibri" w:hAnsi="Calibri"/>
        </w:rPr>
      </w:pPr>
      <w:r w:rsidRPr="00BE3321">
        <w:rPr>
          <w:rFonts w:ascii="Calibri" w:hAnsi="Calibri"/>
        </w:rPr>
        <w:t>Attorneys in National Courts represent the United States before the Court of Federal Claims, the</w:t>
      </w:r>
      <w:r w:rsidRPr="00E01E0A">
        <w:rPr>
          <w:color w:val="1F497D"/>
        </w:rPr>
        <w:t xml:space="preserve"> </w:t>
      </w:r>
      <w:r w:rsidRPr="00BE3321">
        <w:rPr>
          <w:rFonts w:ascii="Calibri" w:hAnsi="Calibri"/>
        </w:rPr>
        <w:t xml:space="preserve">Court of International Trade, </w:t>
      </w:r>
      <w:r>
        <w:rPr>
          <w:rFonts w:ascii="Calibri" w:hAnsi="Calibri"/>
        </w:rPr>
        <w:t xml:space="preserve">and </w:t>
      </w:r>
      <w:r w:rsidRPr="00BE3321">
        <w:rPr>
          <w:rFonts w:ascii="Calibri" w:hAnsi="Calibri"/>
        </w:rPr>
        <w:t xml:space="preserve">the Court of Appeals for the Federal Circuit.  This litigation involves a wide and varied range of substantive law, including Government procurement and contract disputes, Fifth Amendment takings, military and civilian pay claims, international </w:t>
      </w:r>
      <w:r w:rsidRPr="00BE3321">
        <w:rPr>
          <w:rFonts w:ascii="Calibri" w:hAnsi="Calibri"/>
        </w:rPr>
        <w:lastRenderedPageBreak/>
        <w:t>trade, and claims brought by vetera</w:t>
      </w:r>
      <w:r w:rsidR="004F26B2">
        <w:rPr>
          <w:rFonts w:ascii="Calibri" w:hAnsi="Calibri"/>
        </w:rPr>
        <w:t xml:space="preserve">ns and Federal employees. </w:t>
      </w:r>
      <w:r w:rsidR="009B0EC2">
        <w:rPr>
          <w:rFonts w:ascii="Calibri" w:hAnsi="Calibri"/>
        </w:rPr>
        <w:t xml:space="preserve"> </w:t>
      </w:r>
      <w:r>
        <w:rPr>
          <w:rFonts w:ascii="Calibri" w:hAnsi="Calibri"/>
        </w:rPr>
        <w:t>The S</w:t>
      </w:r>
      <w:r w:rsidRPr="00BE3321">
        <w:rPr>
          <w:rFonts w:ascii="Calibri" w:hAnsi="Calibri"/>
        </w:rPr>
        <w:t>ection routinely manages complex cases concerning significant legal issues and billions of taxpayer dollars.</w:t>
      </w:r>
    </w:p>
    <w:p w:rsidR="00520137" w:rsidRPr="008502AD" w:rsidRDefault="00520137" w:rsidP="00520137">
      <w:pPr>
        <w:jc w:val="both"/>
        <w:rPr>
          <w:rFonts w:ascii="Calibri" w:hAnsi="Calibri"/>
          <w:sz w:val="20"/>
          <w:szCs w:val="20"/>
        </w:rPr>
      </w:pPr>
    </w:p>
    <w:p w:rsidR="00520137" w:rsidRPr="00AA582F" w:rsidRDefault="00E161C3" w:rsidP="00520137">
      <w:pPr>
        <w:jc w:val="both"/>
        <w:rPr>
          <w:rFonts w:ascii="Calibri" w:hAnsi="Calibri"/>
        </w:rPr>
      </w:pPr>
      <w:r>
        <w:rPr>
          <w:rFonts w:ascii="Calibri" w:hAnsi="Calibri"/>
          <w:noProof/>
        </w:rPr>
        <w:drawing>
          <wp:anchor distT="0" distB="0" distL="114300" distR="114300" simplePos="0" relativeHeight="251683840" behindDoc="1" locked="0" layoutInCell="1" allowOverlap="1">
            <wp:simplePos x="0" y="0"/>
            <wp:positionH relativeFrom="column">
              <wp:posOffset>9525</wp:posOffset>
            </wp:positionH>
            <wp:positionV relativeFrom="paragraph">
              <wp:posOffset>21590</wp:posOffset>
            </wp:positionV>
            <wp:extent cx="1047750" cy="1038225"/>
            <wp:effectExtent l="19050" t="0" r="0" b="0"/>
            <wp:wrapTight wrapText="bothSides">
              <wp:wrapPolygon edited="0">
                <wp:start x="-393" y="0"/>
                <wp:lineTo x="-393" y="21402"/>
                <wp:lineTo x="21600" y="21402"/>
                <wp:lineTo x="21600" y="0"/>
                <wp:lineTo x="-393" y="0"/>
              </wp:wrapPolygon>
            </wp:wrapTight>
            <wp:docPr id="4" name="Picture 1" descr="This is an image of the U.S. Court of Federal Claims log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1047750" cy="1038225"/>
                    </a:xfrm>
                    <a:prstGeom prst="rect">
                      <a:avLst/>
                    </a:prstGeom>
                    <a:noFill/>
                    <a:ln w="9525">
                      <a:noFill/>
                      <a:miter lim="800000"/>
                      <a:headEnd/>
                      <a:tailEnd/>
                    </a:ln>
                  </pic:spPr>
                </pic:pic>
              </a:graphicData>
            </a:graphic>
          </wp:anchor>
        </w:drawing>
      </w:r>
      <w:r w:rsidR="00520137" w:rsidRPr="00BE3321">
        <w:rPr>
          <w:rFonts w:ascii="Calibri" w:hAnsi="Calibri"/>
        </w:rPr>
        <w:t>The most complex litigation currently managed by National Courts stems from the Government’s commitment to accept and store spent nuclear fuel as required by the Nu</w:t>
      </w:r>
      <w:r w:rsidR="004F26B2">
        <w:rPr>
          <w:rFonts w:ascii="Calibri" w:hAnsi="Calibri"/>
        </w:rPr>
        <w:t>clear Waste Policy Act of 1982.</w:t>
      </w:r>
      <w:r w:rsidR="00520137" w:rsidRPr="00BE3321">
        <w:rPr>
          <w:rFonts w:ascii="Calibri" w:hAnsi="Calibri"/>
        </w:rPr>
        <w:t xml:space="preserve"> </w:t>
      </w:r>
      <w:r w:rsidR="009B0EC2">
        <w:rPr>
          <w:rFonts w:ascii="Calibri" w:hAnsi="Calibri"/>
        </w:rPr>
        <w:t xml:space="preserve"> </w:t>
      </w:r>
      <w:r w:rsidR="00520137" w:rsidRPr="00BE3321">
        <w:rPr>
          <w:rFonts w:ascii="Calibri" w:hAnsi="Calibri"/>
        </w:rPr>
        <w:t>To date, utilities have filed 72 cases in the Court of Federal Claims seeking damages that they estimate ex</w:t>
      </w:r>
      <w:r w:rsidR="00520137">
        <w:rPr>
          <w:rFonts w:ascii="Calibri" w:hAnsi="Calibri"/>
        </w:rPr>
        <w:t>ceed $5</w:t>
      </w:r>
      <w:r w:rsidR="004F26B2">
        <w:rPr>
          <w:rFonts w:ascii="Calibri" w:hAnsi="Calibri"/>
        </w:rPr>
        <w:t xml:space="preserve">0 billion. </w:t>
      </w:r>
      <w:r w:rsidR="006040B5">
        <w:rPr>
          <w:rFonts w:ascii="Calibri" w:hAnsi="Calibri"/>
        </w:rPr>
        <w:t>Several</w:t>
      </w:r>
      <w:r w:rsidR="00520137" w:rsidRPr="00BE3321">
        <w:rPr>
          <w:rFonts w:ascii="Calibri" w:hAnsi="Calibri"/>
        </w:rPr>
        <w:t xml:space="preserve"> trials</w:t>
      </w:r>
      <w:r w:rsidR="004F26B2">
        <w:rPr>
          <w:rFonts w:ascii="Calibri" w:hAnsi="Calibri"/>
        </w:rPr>
        <w:t xml:space="preserve"> are expected in FY 2012 alone.</w:t>
      </w:r>
      <w:r w:rsidR="00520137" w:rsidRPr="00BE3321">
        <w:rPr>
          <w:rFonts w:ascii="Calibri" w:hAnsi="Calibri"/>
        </w:rPr>
        <w:t xml:space="preserve"> Litigation support services, which include collecting, organizing, and reviewing a substantial number of documents, continue to be critical to the Government’s defense.</w:t>
      </w:r>
      <w:r w:rsidR="004F26B2">
        <w:rPr>
          <w:rFonts w:ascii="Calibri" w:hAnsi="Calibri"/>
        </w:rPr>
        <w:t xml:space="preserve"> </w:t>
      </w:r>
      <w:r w:rsidR="009B0EC2">
        <w:rPr>
          <w:rFonts w:ascii="Calibri" w:hAnsi="Calibri"/>
        </w:rPr>
        <w:t xml:space="preserve"> </w:t>
      </w:r>
      <w:r w:rsidR="00520137">
        <w:rPr>
          <w:rFonts w:ascii="Calibri" w:hAnsi="Calibri"/>
        </w:rPr>
        <w:t xml:space="preserve">Attorneys held a settlement conference on May 11, 2010 with representatives of the plaintiff utilities to discuss the parameters of a potential settlement agreement. </w:t>
      </w:r>
    </w:p>
    <w:p w:rsidR="00520137" w:rsidRPr="00AA582F" w:rsidRDefault="00520137" w:rsidP="00520137">
      <w:pPr>
        <w:jc w:val="both"/>
        <w:rPr>
          <w:rFonts w:ascii="Calibri" w:hAnsi="Calibri"/>
          <w:sz w:val="20"/>
          <w:szCs w:val="20"/>
        </w:rPr>
      </w:pPr>
    </w:p>
    <w:p w:rsidR="00520137" w:rsidRPr="005933AD" w:rsidRDefault="00520137" w:rsidP="00520137">
      <w:pPr>
        <w:jc w:val="both"/>
        <w:rPr>
          <w:rFonts w:ascii="Calibri" w:hAnsi="Calibri"/>
        </w:rPr>
      </w:pPr>
      <w:r w:rsidRPr="00BE3321">
        <w:rPr>
          <w:rFonts w:ascii="Calibri" w:hAnsi="Calibri"/>
        </w:rPr>
        <w:t>National Courts is also handling a variety of litigation arising from the economic crisis, including matters related to the American Recov</w:t>
      </w:r>
      <w:r w:rsidR="004F26B2">
        <w:rPr>
          <w:rFonts w:ascii="Calibri" w:hAnsi="Calibri"/>
        </w:rPr>
        <w:t>ery and Reinvestment Act.</w:t>
      </w:r>
      <w:r>
        <w:rPr>
          <w:rFonts w:ascii="Calibri" w:hAnsi="Calibri"/>
        </w:rPr>
        <w:t xml:space="preserve"> </w:t>
      </w:r>
      <w:r w:rsidR="0025598A">
        <w:rPr>
          <w:rFonts w:ascii="Calibri" w:hAnsi="Calibri"/>
        </w:rPr>
        <w:t xml:space="preserve"> </w:t>
      </w:r>
      <w:r>
        <w:rPr>
          <w:rFonts w:ascii="Calibri" w:hAnsi="Calibri"/>
        </w:rPr>
        <w:t>The S</w:t>
      </w:r>
      <w:r w:rsidRPr="00BE3321">
        <w:rPr>
          <w:rFonts w:ascii="Calibri" w:hAnsi="Calibri"/>
        </w:rPr>
        <w:t>ection gained extensive experience and institutional knowledge concerning financial matters as a result of the savings and loan crisis</w:t>
      </w:r>
      <w:r>
        <w:rPr>
          <w:rFonts w:ascii="Calibri" w:hAnsi="Calibri"/>
        </w:rPr>
        <w:t xml:space="preserve"> of the 1980s, which produced an influx of </w:t>
      </w:r>
      <w:r w:rsidRPr="00BE3321">
        <w:rPr>
          <w:rFonts w:ascii="Calibri" w:hAnsi="Calibri"/>
        </w:rPr>
        <w:t>litigation by financi</w:t>
      </w:r>
      <w:r w:rsidR="004F26B2">
        <w:rPr>
          <w:rFonts w:ascii="Calibri" w:hAnsi="Calibri"/>
        </w:rPr>
        <w:t xml:space="preserve">al institutions and investors. </w:t>
      </w:r>
      <w:r w:rsidR="0025598A">
        <w:rPr>
          <w:rFonts w:ascii="Calibri" w:hAnsi="Calibri"/>
        </w:rPr>
        <w:t xml:space="preserve"> </w:t>
      </w:r>
      <w:r w:rsidRPr="00BE3321">
        <w:rPr>
          <w:rFonts w:ascii="Calibri" w:hAnsi="Calibri"/>
        </w:rPr>
        <w:t>National Courts attorneys have put that knowledge to use by consulting with various Federal</w:t>
      </w:r>
      <w:r w:rsidR="0025598A">
        <w:rPr>
          <w:rFonts w:ascii="Calibri" w:hAnsi="Calibri"/>
        </w:rPr>
        <w:t xml:space="preserve"> agencies and their components </w:t>
      </w:r>
      <w:r w:rsidRPr="00BE3321">
        <w:rPr>
          <w:rFonts w:ascii="Calibri" w:hAnsi="Calibri"/>
        </w:rPr>
        <w:t xml:space="preserve">concerning the </w:t>
      </w:r>
      <w:r>
        <w:rPr>
          <w:rFonts w:ascii="Calibri" w:hAnsi="Calibri"/>
        </w:rPr>
        <w:t>G</w:t>
      </w:r>
      <w:r w:rsidRPr="00BE3321">
        <w:rPr>
          <w:rFonts w:ascii="Calibri" w:hAnsi="Calibri"/>
        </w:rPr>
        <w:t>overnment’s response to the economic crisis.</w:t>
      </w:r>
    </w:p>
    <w:p w:rsidR="00F15675" w:rsidRPr="00F15675" w:rsidRDefault="00F15675" w:rsidP="004F26B2">
      <w:pPr>
        <w:jc w:val="both"/>
        <w:rPr>
          <w:rFonts w:ascii="Calibri" w:hAnsi="Calibri"/>
          <w:b/>
          <w:color w:val="632423"/>
          <w:sz w:val="20"/>
          <w:szCs w:val="20"/>
        </w:rPr>
      </w:pPr>
    </w:p>
    <w:p w:rsidR="004F26B2" w:rsidRPr="00947833" w:rsidRDefault="004F26B2" w:rsidP="004F26B2">
      <w:pPr>
        <w:jc w:val="both"/>
        <w:rPr>
          <w:rFonts w:ascii="Calibri" w:hAnsi="Calibri"/>
          <w:b/>
          <w:color w:val="632423"/>
          <w:sz w:val="28"/>
          <w:szCs w:val="28"/>
        </w:rPr>
      </w:pPr>
      <w:r w:rsidRPr="00947833">
        <w:rPr>
          <w:rFonts w:ascii="Calibri" w:hAnsi="Calibri"/>
          <w:b/>
          <w:color w:val="632423"/>
          <w:sz w:val="28"/>
          <w:szCs w:val="28"/>
        </w:rPr>
        <w:t>Corporate/Financial</w:t>
      </w:r>
    </w:p>
    <w:p w:rsidR="004F26B2" w:rsidRPr="008502AD" w:rsidRDefault="004F26B2" w:rsidP="004F26B2">
      <w:pPr>
        <w:jc w:val="both"/>
        <w:rPr>
          <w:rFonts w:ascii="Calibri" w:hAnsi="Calibri"/>
          <w:b/>
          <w:color w:val="006666"/>
          <w:sz w:val="20"/>
          <w:szCs w:val="20"/>
        </w:rPr>
      </w:pPr>
    </w:p>
    <w:p w:rsidR="00251F4A" w:rsidRDefault="00A974BD" w:rsidP="00520137">
      <w:pPr>
        <w:jc w:val="both"/>
        <w:rPr>
          <w:rFonts w:ascii="Calibri" w:hAnsi="Calibri"/>
          <w:b/>
          <w:color w:val="632423"/>
          <w:sz w:val="20"/>
          <w:szCs w:val="20"/>
        </w:rPr>
      </w:pPr>
      <w:r>
        <w:rPr>
          <w:rFonts w:ascii="Calibri" w:hAnsi="Calibri"/>
          <w:noProof/>
        </w:rPr>
        <w:pict>
          <v:shape id="_x0000_s1042" type="#_x0000_t202" style="position:absolute;left:0;text-align:left;margin-left:203.25pt;margin-top:259.6pt;width:253.5pt;height:27.75pt;z-index:-251626496;mso-position-horizontal-relative:text;mso-position-vertical-relative:text" wrapcoords="-67 0 -67 20736 21600 20736 21600 0 -67 0" stroked="f">
            <v:textbox style="mso-next-textbox:#_x0000_s1042">
              <w:txbxContent>
                <w:p w:rsidR="009B0EC2" w:rsidRPr="00AC32F4" w:rsidRDefault="009B0EC2" w:rsidP="00520137">
                  <w:pPr>
                    <w:jc w:val="center"/>
                    <w:rPr>
                      <w:rFonts w:asciiTheme="minorHAnsi" w:hAnsiTheme="minorHAnsi"/>
                      <w:sz w:val="16"/>
                      <w:szCs w:val="16"/>
                    </w:rPr>
                  </w:pPr>
                  <w:r w:rsidRPr="00AC32F4">
                    <w:rPr>
                      <w:rFonts w:asciiTheme="minorHAnsi" w:hAnsiTheme="minorHAnsi"/>
                      <w:sz w:val="16"/>
                      <w:szCs w:val="16"/>
                    </w:rPr>
                    <w:t>http://www.whitehouse.gov/blog/2010/12/08/president-obama-signs-claims-resolution-act-2010</w:t>
                  </w:r>
                </w:p>
              </w:txbxContent>
            </v:textbox>
            <w10:wrap type="tight"/>
          </v:shape>
        </w:pict>
      </w:r>
      <w:r>
        <w:rPr>
          <w:rFonts w:ascii="Calibri" w:hAnsi="Calibri"/>
          <w:noProof/>
        </w:rPr>
        <w:pict>
          <v:shape id="_x0000_s1041" type="#_x0000_t202" style="position:absolute;left:0;text-align:left;margin-left:203.25pt;margin-top:187.95pt;width:257.25pt;height:60.75pt;z-index:-251627520;mso-position-horizontal-relative:text;mso-position-vertical-relative:text" wrapcoords="-254 -1005 -254 22353 21854 22353 21854 -1005 -254 -1005" fillcolor="#d8d8d8 [2732]" strokecolor="#622423" strokeweight="6pt">
            <v:stroke linestyle="thickThin"/>
            <v:textbox style="mso-next-textbox:#_x0000_s1041">
              <w:txbxContent>
                <w:p w:rsidR="009B0EC2" w:rsidRPr="00D8700A" w:rsidRDefault="009B0EC2" w:rsidP="00520137">
                  <w:pPr>
                    <w:jc w:val="both"/>
                    <w:rPr>
                      <w:rFonts w:asciiTheme="minorHAnsi" w:hAnsiTheme="minorHAnsi"/>
                      <w:b/>
                      <w:sz w:val="20"/>
                      <w:szCs w:val="20"/>
                    </w:rPr>
                  </w:pPr>
                  <w:r>
                    <w:rPr>
                      <w:rFonts w:asciiTheme="minorHAnsi" w:hAnsiTheme="minorHAnsi"/>
                      <w:b/>
                      <w:sz w:val="20"/>
                      <w:szCs w:val="20"/>
                    </w:rPr>
                    <w:t>On December 8,</w:t>
                  </w:r>
                  <w:r w:rsidRPr="00D8700A">
                    <w:rPr>
                      <w:rFonts w:asciiTheme="minorHAnsi" w:hAnsiTheme="minorHAnsi"/>
                      <w:b/>
                      <w:sz w:val="20"/>
                      <w:szCs w:val="20"/>
                    </w:rPr>
                    <w:t xml:space="preserve"> 2010, the </w:t>
                  </w:r>
                  <w:r>
                    <w:rPr>
                      <w:rFonts w:asciiTheme="minorHAnsi" w:hAnsiTheme="minorHAnsi"/>
                      <w:b/>
                      <w:sz w:val="20"/>
                      <w:szCs w:val="20"/>
                    </w:rPr>
                    <w:t xml:space="preserve">President signed the “Claims Resolution Act of 2010” which provides funding for the settlement agreements reached in the </w:t>
                  </w:r>
                  <w:r w:rsidRPr="00FB1952">
                    <w:rPr>
                      <w:rFonts w:asciiTheme="minorHAnsi" w:hAnsiTheme="minorHAnsi"/>
                      <w:b/>
                      <w:i/>
                      <w:sz w:val="20"/>
                      <w:szCs w:val="20"/>
                    </w:rPr>
                    <w:t xml:space="preserve">Cobell </w:t>
                  </w:r>
                  <w:r>
                    <w:rPr>
                      <w:rFonts w:asciiTheme="minorHAnsi" w:hAnsiTheme="minorHAnsi"/>
                      <w:b/>
                      <w:sz w:val="20"/>
                      <w:szCs w:val="20"/>
                    </w:rPr>
                    <w:t xml:space="preserve">and </w:t>
                  </w:r>
                  <w:r w:rsidRPr="00FB1952">
                    <w:rPr>
                      <w:rFonts w:asciiTheme="minorHAnsi" w:hAnsiTheme="minorHAnsi"/>
                      <w:b/>
                      <w:i/>
                      <w:sz w:val="20"/>
                      <w:szCs w:val="20"/>
                    </w:rPr>
                    <w:t>Pigford II</w:t>
                  </w:r>
                  <w:r>
                    <w:rPr>
                      <w:rFonts w:asciiTheme="minorHAnsi" w:hAnsiTheme="minorHAnsi"/>
                      <w:b/>
                      <w:sz w:val="20"/>
                      <w:szCs w:val="20"/>
                    </w:rPr>
                    <w:t xml:space="preserve"> lawsuits.</w:t>
                  </w:r>
                </w:p>
                <w:p w:rsidR="009B0EC2" w:rsidRPr="00D8700A" w:rsidRDefault="009B0EC2" w:rsidP="00520137">
                  <w:pPr>
                    <w:jc w:val="both"/>
                    <w:rPr>
                      <w:rFonts w:asciiTheme="minorHAnsi" w:hAnsiTheme="minorHAnsi"/>
                      <w:b/>
                      <w:bCs/>
                      <w:sz w:val="20"/>
                      <w:szCs w:val="20"/>
                    </w:rPr>
                  </w:pPr>
                </w:p>
              </w:txbxContent>
            </v:textbox>
            <w10:wrap type="tight"/>
          </v:shape>
        </w:pict>
      </w:r>
      <w:r w:rsidR="008D2AAB">
        <w:rPr>
          <w:rFonts w:ascii="Calibri" w:hAnsi="Calibri"/>
          <w:noProof/>
        </w:rPr>
        <w:drawing>
          <wp:anchor distT="0" distB="0" distL="114300" distR="114300" simplePos="0" relativeHeight="251687936" behindDoc="1" locked="0" layoutInCell="1" allowOverlap="1">
            <wp:simplePos x="0" y="0"/>
            <wp:positionH relativeFrom="column">
              <wp:posOffset>2562225</wp:posOffset>
            </wp:positionH>
            <wp:positionV relativeFrom="paragraph">
              <wp:posOffset>53340</wp:posOffset>
            </wp:positionV>
            <wp:extent cx="3327400" cy="2209800"/>
            <wp:effectExtent l="19050" t="0" r="6350" b="0"/>
            <wp:wrapTight wrapText="bothSides">
              <wp:wrapPolygon edited="0">
                <wp:start x="-124" y="0"/>
                <wp:lineTo x="-124" y="21414"/>
                <wp:lineTo x="21641" y="21414"/>
                <wp:lineTo x="21641" y="0"/>
                <wp:lineTo x="-124" y="0"/>
              </wp:wrapPolygon>
            </wp:wrapTight>
            <wp:docPr id="19" name="Picture 18" descr="Obama is signing the Cobell Pigford settlements at a press c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ama Signing Cobell Pigford Settlements.jpg"/>
                    <pic:cNvPicPr/>
                  </pic:nvPicPr>
                  <pic:blipFill>
                    <a:blip r:embed="rId23" cstate="print"/>
                    <a:stretch>
                      <a:fillRect/>
                    </a:stretch>
                  </pic:blipFill>
                  <pic:spPr>
                    <a:xfrm>
                      <a:off x="0" y="0"/>
                      <a:ext cx="3327400" cy="2209800"/>
                    </a:xfrm>
                    <a:prstGeom prst="rect">
                      <a:avLst/>
                    </a:prstGeom>
                  </pic:spPr>
                </pic:pic>
              </a:graphicData>
            </a:graphic>
          </wp:anchor>
        </w:drawing>
      </w:r>
      <w:r w:rsidR="004F26B2" w:rsidRPr="00BE3321">
        <w:rPr>
          <w:rFonts w:ascii="Calibri" w:hAnsi="Calibri"/>
        </w:rPr>
        <w:t xml:space="preserve">The Corporate/Financial Section handles a wide variety of lawsuits involving </w:t>
      </w:r>
      <w:r w:rsidR="004F26B2">
        <w:rPr>
          <w:rFonts w:ascii="Calibri" w:hAnsi="Calibri"/>
        </w:rPr>
        <w:t xml:space="preserve">claims for money and property. </w:t>
      </w:r>
      <w:r w:rsidR="004F26B2" w:rsidRPr="00BE3321">
        <w:rPr>
          <w:rFonts w:ascii="Calibri" w:hAnsi="Calibri"/>
        </w:rPr>
        <w:t>A significant portion of the Section’s resources are devoted to representing the Government’s financial, contractual, and regulatory interests in large and complex Chapter 11 bankruptcies, including those involving defense contractors, commercial airlines, health care providers, an</w:t>
      </w:r>
      <w:r w:rsidR="004F26B2">
        <w:rPr>
          <w:rFonts w:ascii="Calibri" w:hAnsi="Calibri"/>
        </w:rPr>
        <w:t>d other major corporations.  The</w:t>
      </w:r>
      <w:r w:rsidR="004F26B2" w:rsidRPr="00BE3321">
        <w:rPr>
          <w:rFonts w:ascii="Calibri" w:hAnsi="Calibri"/>
        </w:rPr>
        <w:t xml:space="preserve"> past year included work with the U</w:t>
      </w:r>
      <w:r w:rsidR="004F26B2">
        <w:rPr>
          <w:rFonts w:ascii="Calibri" w:hAnsi="Calibri"/>
        </w:rPr>
        <w:t>.</w:t>
      </w:r>
      <w:r w:rsidR="004F26B2" w:rsidRPr="00BE3321">
        <w:rPr>
          <w:rFonts w:ascii="Calibri" w:hAnsi="Calibri"/>
        </w:rPr>
        <w:t>S</w:t>
      </w:r>
      <w:r w:rsidR="004F26B2">
        <w:rPr>
          <w:rFonts w:ascii="Calibri" w:hAnsi="Calibri"/>
        </w:rPr>
        <w:t>. Attorney’s O</w:t>
      </w:r>
      <w:r w:rsidR="004F26B2" w:rsidRPr="00BE3321">
        <w:rPr>
          <w:rFonts w:ascii="Calibri" w:hAnsi="Calibri"/>
        </w:rPr>
        <w:t>ffice in New York on the successful Chrysler and General Motors reorganizations.</w:t>
      </w:r>
      <w:r w:rsidR="004F26B2">
        <w:rPr>
          <w:rFonts w:ascii="Calibri" w:hAnsi="Calibri"/>
        </w:rPr>
        <w:t xml:space="preserve">  </w:t>
      </w:r>
      <w:r w:rsidR="004F26B2" w:rsidRPr="00BE3321">
        <w:rPr>
          <w:rFonts w:ascii="Calibri" w:hAnsi="Calibri"/>
        </w:rPr>
        <w:t xml:space="preserve">The Section is also handling </w:t>
      </w:r>
      <w:r w:rsidR="004F26B2">
        <w:rPr>
          <w:rFonts w:ascii="Calibri" w:hAnsi="Calibri"/>
        </w:rPr>
        <w:t xml:space="preserve">implementation of the settlement in </w:t>
      </w:r>
      <w:r w:rsidR="004F26B2" w:rsidRPr="00BE3321">
        <w:rPr>
          <w:rFonts w:ascii="Calibri" w:hAnsi="Calibri"/>
        </w:rPr>
        <w:t xml:space="preserve">one of the largest cases ever filed against the Government: </w:t>
      </w:r>
      <w:r w:rsidR="004F26B2" w:rsidRPr="00BE3321">
        <w:rPr>
          <w:rFonts w:ascii="Calibri" w:hAnsi="Calibri"/>
          <w:i/>
        </w:rPr>
        <w:t>Cobell v. Salazar</w:t>
      </w:r>
      <w:r w:rsidR="004F26B2">
        <w:rPr>
          <w:rFonts w:ascii="Calibri" w:hAnsi="Calibri"/>
        </w:rPr>
        <w:t xml:space="preserve">. </w:t>
      </w:r>
    </w:p>
    <w:p w:rsidR="00F15675" w:rsidRPr="00F15675" w:rsidRDefault="00F15675" w:rsidP="00520137">
      <w:pPr>
        <w:jc w:val="both"/>
        <w:rPr>
          <w:rFonts w:ascii="Calibri" w:hAnsi="Calibri"/>
          <w:b/>
          <w:color w:val="632423"/>
          <w:sz w:val="20"/>
          <w:szCs w:val="20"/>
        </w:rPr>
      </w:pPr>
    </w:p>
    <w:p w:rsidR="00520137" w:rsidRPr="00947833" w:rsidRDefault="00520137" w:rsidP="00520137">
      <w:pPr>
        <w:jc w:val="both"/>
        <w:rPr>
          <w:rFonts w:ascii="Calibri" w:hAnsi="Calibri"/>
          <w:b/>
          <w:color w:val="632423"/>
          <w:sz w:val="28"/>
          <w:szCs w:val="28"/>
        </w:rPr>
      </w:pPr>
      <w:r w:rsidRPr="00947833">
        <w:rPr>
          <w:rFonts w:ascii="Calibri" w:hAnsi="Calibri"/>
          <w:b/>
          <w:color w:val="632423"/>
          <w:sz w:val="28"/>
          <w:szCs w:val="28"/>
        </w:rPr>
        <w:lastRenderedPageBreak/>
        <w:t>Fraud</w:t>
      </w:r>
    </w:p>
    <w:p w:rsidR="004F26B2" w:rsidRPr="004F26B2" w:rsidRDefault="004F26B2" w:rsidP="00520137">
      <w:pPr>
        <w:pStyle w:val="NormalWeb"/>
        <w:spacing w:before="0" w:beforeAutospacing="0" w:after="0" w:afterAutospacing="0"/>
        <w:jc w:val="both"/>
        <w:rPr>
          <w:rFonts w:ascii="Calibri" w:hAnsi="Calibri"/>
          <w:sz w:val="20"/>
          <w:szCs w:val="20"/>
        </w:rPr>
      </w:pPr>
    </w:p>
    <w:p w:rsidR="004F26B2" w:rsidRPr="008D2AAB" w:rsidRDefault="004F26B2" w:rsidP="008D2AAB">
      <w:pPr>
        <w:pStyle w:val="NormalWeb"/>
        <w:tabs>
          <w:tab w:val="left" w:pos="4140"/>
        </w:tabs>
        <w:spacing w:before="0" w:beforeAutospacing="0" w:after="0" w:afterAutospacing="0"/>
        <w:jc w:val="both"/>
        <w:rPr>
          <w:rFonts w:ascii="Calibri" w:hAnsi="Calibri"/>
        </w:rPr>
      </w:pPr>
      <w:r>
        <w:rPr>
          <w:rFonts w:ascii="Calibri" w:hAnsi="Calibri"/>
          <w:lang w:val="en-CA"/>
        </w:rPr>
        <w:t>T</w:t>
      </w:r>
      <w:r w:rsidRPr="00BE3321">
        <w:rPr>
          <w:rFonts w:ascii="Calibri" w:hAnsi="Calibri"/>
          <w:lang w:val="en-CA"/>
        </w:rPr>
        <w:t xml:space="preserve">he Fraud Section pursues fraud committed against the Government and its programs.  Attorneys are increasing enforcement of cases involving pharmaceutical and medical device fraud and are </w:t>
      </w:r>
      <w:r>
        <w:rPr>
          <w:rFonts w:ascii="Calibri" w:hAnsi="Calibri"/>
          <w:lang w:val="en-CA"/>
        </w:rPr>
        <w:t>coordinating</w:t>
      </w:r>
      <w:r w:rsidRPr="00BE3321">
        <w:rPr>
          <w:rFonts w:ascii="Calibri" w:hAnsi="Calibri"/>
          <w:lang w:val="en-CA"/>
        </w:rPr>
        <w:t xml:space="preserve"> with the Centers for Medicare and Medicaid Services </w:t>
      </w:r>
      <w:r>
        <w:rPr>
          <w:rFonts w:ascii="Calibri" w:hAnsi="Calibri"/>
          <w:lang w:val="en-CA"/>
        </w:rPr>
        <w:t>on the</w:t>
      </w:r>
      <w:r w:rsidRPr="00BE3321">
        <w:rPr>
          <w:rFonts w:ascii="Calibri" w:hAnsi="Calibri"/>
          <w:lang w:val="en-CA"/>
        </w:rPr>
        <w:t xml:space="preserve"> develop</w:t>
      </w:r>
      <w:r>
        <w:rPr>
          <w:rFonts w:ascii="Calibri" w:hAnsi="Calibri"/>
          <w:lang w:val="en-CA"/>
        </w:rPr>
        <w:t>ment of</w:t>
      </w:r>
      <w:r w:rsidRPr="00BE3321">
        <w:rPr>
          <w:rFonts w:ascii="Calibri" w:hAnsi="Calibri"/>
          <w:lang w:val="en-CA"/>
        </w:rPr>
        <w:t xml:space="preserve"> investiga</w:t>
      </w:r>
      <w:r>
        <w:rPr>
          <w:rFonts w:ascii="Calibri" w:hAnsi="Calibri"/>
          <w:lang w:val="en-CA"/>
        </w:rPr>
        <w:t xml:space="preserve">tive leads and damages models. </w:t>
      </w:r>
      <w:r w:rsidRPr="00BE3321">
        <w:rPr>
          <w:rFonts w:ascii="Calibri" w:hAnsi="Calibri"/>
          <w:lang w:val="en-CA"/>
        </w:rPr>
        <w:t xml:space="preserve">The Division </w:t>
      </w:r>
      <w:r>
        <w:rPr>
          <w:rFonts w:ascii="Calibri" w:hAnsi="Calibri"/>
          <w:lang w:val="en-CA"/>
        </w:rPr>
        <w:t xml:space="preserve">engages in active data-mining efforts, </w:t>
      </w:r>
      <w:r w:rsidRPr="00BE3321">
        <w:rPr>
          <w:rFonts w:ascii="Calibri" w:hAnsi="Calibri"/>
        </w:rPr>
        <w:t>proactively identif</w:t>
      </w:r>
      <w:r>
        <w:rPr>
          <w:rFonts w:ascii="Calibri" w:hAnsi="Calibri"/>
        </w:rPr>
        <w:t>ying and investigating</w:t>
      </w:r>
      <w:r w:rsidRPr="00BE3321">
        <w:rPr>
          <w:rFonts w:ascii="Calibri" w:hAnsi="Calibri"/>
        </w:rPr>
        <w:t xml:space="preserve"> potential health c</w:t>
      </w:r>
      <w:r>
        <w:rPr>
          <w:rFonts w:ascii="Calibri" w:hAnsi="Calibri"/>
        </w:rPr>
        <w:t>are fraud trends as they arise.</w:t>
      </w:r>
      <w:r w:rsidRPr="00BE3321">
        <w:rPr>
          <w:rFonts w:ascii="Calibri" w:hAnsi="Calibri"/>
        </w:rPr>
        <w:t xml:space="preserve"> </w:t>
      </w:r>
      <w:r w:rsidR="009B0EC2">
        <w:rPr>
          <w:rFonts w:ascii="Calibri" w:hAnsi="Calibri"/>
        </w:rPr>
        <w:t xml:space="preserve"> </w:t>
      </w:r>
      <w:r w:rsidRPr="00BE3321">
        <w:rPr>
          <w:rFonts w:ascii="Calibri" w:hAnsi="Calibri"/>
        </w:rPr>
        <w:t xml:space="preserve">In addition, attorneys continue to investigate and intervene where appropriate in cases filed initially by private citizens under the </w:t>
      </w:r>
      <w:r w:rsidRPr="00BE3321">
        <w:rPr>
          <w:rFonts w:ascii="Calibri" w:hAnsi="Calibri"/>
          <w:i/>
        </w:rPr>
        <w:t>qui tam</w:t>
      </w:r>
      <w:r w:rsidRPr="00BE3321">
        <w:rPr>
          <w:rFonts w:ascii="Calibri" w:hAnsi="Calibri"/>
        </w:rPr>
        <w:t xml:space="preserve"> provisions of the False Claims Act.  </w:t>
      </w:r>
    </w:p>
    <w:p w:rsidR="008D2AAB" w:rsidRPr="008D2AAB" w:rsidRDefault="008D2AAB" w:rsidP="00520137">
      <w:pPr>
        <w:pStyle w:val="NormalWeb"/>
        <w:spacing w:before="0" w:beforeAutospacing="0" w:after="0" w:afterAutospacing="0"/>
        <w:jc w:val="both"/>
        <w:rPr>
          <w:rFonts w:ascii="Calibri" w:hAnsi="Calibri"/>
          <w:sz w:val="20"/>
          <w:szCs w:val="20"/>
        </w:rPr>
      </w:pPr>
    </w:p>
    <w:p w:rsidR="004F26B2" w:rsidRDefault="004F26B2" w:rsidP="00520137">
      <w:pPr>
        <w:pStyle w:val="NormalWeb"/>
        <w:spacing w:before="0" w:beforeAutospacing="0" w:after="0" w:afterAutospacing="0"/>
        <w:jc w:val="both"/>
        <w:rPr>
          <w:rFonts w:ascii="Calibri" w:hAnsi="Calibri"/>
        </w:rPr>
      </w:pPr>
      <w:r w:rsidRPr="00BE3321">
        <w:rPr>
          <w:rFonts w:ascii="Calibri" w:hAnsi="Calibri"/>
        </w:rPr>
        <w:t>The Fraud Section also handles procurement fraud</w:t>
      </w:r>
      <w:r>
        <w:rPr>
          <w:rFonts w:ascii="Calibri" w:hAnsi="Calibri"/>
        </w:rPr>
        <w:t>, Iraq and Afghanistan War fraud,</w:t>
      </w:r>
      <w:r w:rsidRPr="00BE3321">
        <w:rPr>
          <w:rFonts w:ascii="Calibri" w:hAnsi="Calibri"/>
        </w:rPr>
        <w:t xml:space="preserve"> mortgage fraud</w:t>
      </w:r>
      <w:r>
        <w:rPr>
          <w:rFonts w:ascii="Calibri" w:hAnsi="Calibri"/>
        </w:rPr>
        <w:t>, and any potential fraud matters in connection with the Deepwater Horizon incident</w:t>
      </w:r>
      <w:r w:rsidRPr="00BE3321">
        <w:rPr>
          <w:rFonts w:ascii="Calibri" w:hAnsi="Calibri"/>
        </w:rPr>
        <w:t xml:space="preserve">.  </w:t>
      </w:r>
      <w:r w:rsidR="00B408CF" w:rsidRPr="00BE3321">
        <w:rPr>
          <w:rFonts w:ascii="Calibri" w:hAnsi="Calibri"/>
          <w:lang w:val="en-CA"/>
        </w:rPr>
        <w:fldChar w:fldCharType="begin"/>
      </w:r>
      <w:r w:rsidRPr="00BE3321">
        <w:rPr>
          <w:rFonts w:ascii="Calibri" w:hAnsi="Calibri"/>
          <w:lang w:val="en-CA"/>
        </w:rPr>
        <w:instrText xml:space="preserve"> SEQ CHAPTER \h \r 1</w:instrText>
      </w:r>
      <w:r w:rsidR="00B408CF" w:rsidRPr="00BE3321">
        <w:rPr>
          <w:rFonts w:ascii="Calibri" w:hAnsi="Calibri"/>
          <w:lang w:val="en-CA"/>
        </w:rPr>
        <w:fldChar w:fldCharType="end"/>
      </w:r>
      <w:r w:rsidRPr="00BE3321">
        <w:rPr>
          <w:rFonts w:ascii="Calibri" w:hAnsi="Calibri"/>
        </w:rPr>
        <w:t xml:space="preserve">These efforts provide significant deterrence to those contemplating defrauding Federal programs. </w:t>
      </w:r>
    </w:p>
    <w:p w:rsidR="00520137" w:rsidRPr="008502AD" w:rsidRDefault="00520137" w:rsidP="00520137">
      <w:pPr>
        <w:pStyle w:val="NormalWeb"/>
        <w:spacing w:before="0" w:beforeAutospacing="0" w:after="0" w:afterAutospacing="0"/>
        <w:jc w:val="both"/>
        <w:rPr>
          <w:rFonts w:ascii="Calibri" w:hAnsi="Calibri"/>
          <w:sz w:val="20"/>
          <w:szCs w:val="20"/>
        </w:rPr>
      </w:pPr>
    </w:p>
    <w:p w:rsidR="00520137" w:rsidRPr="00947833" w:rsidRDefault="00520137" w:rsidP="00520137">
      <w:pPr>
        <w:jc w:val="both"/>
        <w:rPr>
          <w:rFonts w:ascii="Calibri" w:hAnsi="Calibri"/>
          <w:b/>
          <w:bCs/>
          <w:color w:val="632423"/>
          <w:sz w:val="28"/>
          <w:szCs w:val="28"/>
        </w:rPr>
      </w:pPr>
      <w:r w:rsidRPr="00947833">
        <w:rPr>
          <w:rFonts w:ascii="Calibri" w:hAnsi="Calibri"/>
          <w:b/>
          <w:bCs/>
          <w:color w:val="632423"/>
          <w:sz w:val="28"/>
          <w:szCs w:val="28"/>
        </w:rPr>
        <w:t>Foreign Litigation</w:t>
      </w:r>
    </w:p>
    <w:p w:rsidR="00520137" w:rsidRPr="008502AD" w:rsidRDefault="00520137" w:rsidP="00520137">
      <w:pPr>
        <w:jc w:val="both"/>
        <w:rPr>
          <w:rFonts w:ascii="Calibri" w:hAnsi="Calibri"/>
          <w:b/>
          <w:bCs/>
          <w:color w:val="006666"/>
          <w:sz w:val="20"/>
          <w:szCs w:val="20"/>
        </w:rPr>
      </w:pPr>
    </w:p>
    <w:p w:rsidR="00520137" w:rsidRPr="00BE3321" w:rsidRDefault="00520137" w:rsidP="00520137">
      <w:pPr>
        <w:jc w:val="both"/>
        <w:rPr>
          <w:rFonts w:ascii="Calibri" w:hAnsi="Calibri"/>
        </w:rPr>
      </w:pPr>
      <w:r w:rsidRPr="00BE3321">
        <w:rPr>
          <w:rFonts w:ascii="Calibri" w:hAnsi="Calibri"/>
        </w:rPr>
        <w:t xml:space="preserve">The Office of Foreign Litigation attorneys retain and directly instruct foreign counsel to represent the United States in cases filed in foreign courts.  Most of these cases are defensive and arise out of the wide range of international activities in which the United States is involved.  The Office’s defensive litigation includes commercial transactions, tort damages, and labor disputes arising from the many U.S. Government offices and facilities located abroad, as well as the extensive overseas U.S. military bases and deployments. </w:t>
      </w:r>
      <w:r w:rsidR="009B0EC2">
        <w:rPr>
          <w:rFonts w:ascii="Calibri" w:hAnsi="Calibri"/>
        </w:rPr>
        <w:t xml:space="preserve"> </w:t>
      </w:r>
      <w:r w:rsidRPr="00BE3321">
        <w:rPr>
          <w:rFonts w:ascii="Calibri" w:hAnsi="Calibri"/>
        </w:rPr>
        <w:t xml:space="preserve">The Office conducts affirmative litigation including cases aimed at fighting cross-border fraud that targets American citizens through telemarketing or </w:t>
      </w:r>
      <w:r>
        <w:rPr>
          <w:rFonts w:ascii="Calibri" w:hAnsi="Calibri"/>
        </w:rPr>
        <w:t>the internet</w:t>
      </w:r>
      <w:r w:rsidR="009B0EC2">
        <w:rPr>
          <w:rFonts w:ascii="Calibri" w:hAnsi="Calibri"/>
        </w:rPr>
        <w:t>.  It</w:t>
      </w:r>
      <w:r w:rsidRPr="00BE3321">
        <w:rPr>
          <w:rFonts w:ascii="Calibri" w:hAnsi="Calibri"/>
        </w:rPr>
        <w:t xml:space="preserve"> also represents the interests of the United States in foreign litigation arising out of terrorism or other criminal activities directed against the United States, its officers, and its employees. </w:t>
      </w:r>
      <w:bookmarkStart w:id="1" w:name="OLE_LINK1"/>
      <w:bookmarkStart w:id="2" w:name="OLE_LINK4"/>
      <w:bookmarkEnd w:id="1"/>
      <w:bookmarkEnd w:id="2"/>
    </w:p>
    <w:p w:rsidR="00520137" w:rsidRPr="00E5237E" w:rsidRDefault="00520137" w:rsidP="00520137">
      <w:pPr>
        <w:jc w:val="both"/>
        <w:rPr>
          <w:rFonts w:ascii="Calibri" w:hAnsi="Calibri"/>
          <w:b/>
          <w:color w:val="632423"/>
          <w:sz w:val="20"/>
          <w:szCs w:val="20"/>
        </w:rPr>
      </w:pPr>
    </w:p>
    <w:p w:rsidR="00520137" w:rsidRPr="00947833" w:rsidRDefault="00520137" w:rsidP="00520137">
      <w:pPr>
        <w:jc w:val="both"/>
        <w:rPr>
          <w:rFonts w:ascii="Calibri" w:hAnsi="Calibri"/>
          <w:b/>
          <w:color w:val="632423"/>
          <w:sz w:val="28"/>
          <w:szCs w:val="28"/>
        </w:rPr>
      </w:pPr>
      <w:r w:rsidRPr="00947833">
        <w:rPr>
          <w:rFonts w:ascii="Calibri" w:hAnsi="Calibri"/>
          <w:b/>
          <w:color w:val="632423"/>
          <w:sz w:val="28"/>
          <w:szCs w:val="28"/>
        </w:rPr>
        <w:t>Intellectual Property</w:t>
      </w:r>
    </w:p>
    <w:p w:rsidR="00520137" w:rsidRPr="00BE3321" w:rsidRDefault="00520137" w:rsidP="00520137">
      <w:pPr>
        <w:jc w:val="both"/>
        <w:rPr>
          <w:rFonts w:ascii="Calibri" w:hAnsi="Calibri"/>
          <w:b/>
          <w:color w:val="006666"/>
          <w:sz w:val="20"/>
          <w:szCs w:val="20"/>
        </w:rPr>
      </w:pPr>
    </w:p>
    <w:p w:rsidR="00520137" w:rsidRDefault="00520137" w:rsidP="00520137">
      <w:pPr>
        <w:jc w:val="both"/>
        <w:rPr>
          <w:rFonts w:ascii="Calibri" w:hAnsi="Calibri"/>
        </w:rPr>
      </w:pPr>
      <w:r>
        <w:rPr>
          <w:rFonts w:ascii="Calibri" w:hAnsi="Calibri"/>
        </w:rPr>
        <w:t>Intellectual</w:t>
      </w:r>
      <w:r w:rsidRPr="00BE3321">
        <w:rPr>
          <w:rFonts w:ascii="Calibri" w:hAnsi="Calibri"/>
        </w:rPr>
        <w:t xml:space="preserve"> Property handles a wide variety of litigation involving patents, trademarks, copyrights, trade secrets, and other related matters.  The most significant defensive suits are brought by major corporations seeking substantial recoveries for the Government’s use of patented inventions, such as night vision compatible displays used in military aircraft in </w:t>
      </w:r>
      <w:r w:rsidRPr="00BE3321">
        <w:rPr>
          <w:rFonts w:ascii="Calibri" w:hAnsi="Calibri"/>
          <w:i/>
        </w:rPr>
        <w:t>Honeywell International v. United States</w:t>
      </w:r>
      <w:r w:rsidRPr="00BE3321">
        <w:rPr>
          <w:rFonts w:ascii="Calibri" w:hAnsi="Calibri"/>
        </w:rPr>
        <w:t>.  Affirmative litigation enforces Government-owned patents, trademarks, copyrights, and patent indemnity agreements.</w:t>
      </w:r>
    </w:p>
    <w:p w:rsidR="00520137" w:rsidRPr="003755CC" w:rsidRDefault="00520137" w:rsidP="00520137">
      <w:pPr>
        <w:jc w:val="both"/>
        <w:rPr>
          <w:rFonts w:ascii="Calibri" w:hAnsi="Calibri"/>
          <w:b/>
          <w:color w:val="632423"/>
          <w:sz w:val="20"/>
          <w:szCs w:val="20"/>
          <w:lang w:val="en-CA"/>
        </w:rPr>
      </w:pPr>
    </w:p>
    <w:p w:rsidR="00520137" w:rsidRPr="00EA7D5E" w:rsidRDefault="00520137" w:rsidP="00520137">
      <w:pPr>
        <w:jc w:val="both"/>
        <w:rPr>
          <w:rFonts w:ascii="Calibri" w:hAnsi="Calibri"/>
          <w:b/>
          <w:color w:val="632423"/>
          <w:sz w:val="36"/>
          <w:szCs w:val="36"/>
          <w:lang w:val="en-CA"/>
        </w:rPr>
      </w:pPr>
      <w:r>
        <w:rPr>
          <w:rFonts w:ascii="Calibri" w:hAnsi="Calibri"/>
          <w:b/>
          <w:color w:val="632423"/>
          <w:sz w:val="36"/>
          <w:szCs w:val="36"/>
          <w:lang w:val="en-CA"/>
        </w:rPr>
        <w:t xml:space="preserve">OFFICE OF </w:t>
      </w:r>
      <w:r w:rsidRPr="00EA7D5E">
        <w:rPr>
          <w:rFonts w:ascii="Calibri" w:hAnsi="Calibri"/>
          <w:b/>
          <w:color w:val="632423"/>
          <w:sz w:val="36"/>
          <w:szCs w:val="36"/>
          <w:lang w:val="en-CA"/>
        </w:rPr>
        <w:t>CONSUMER</w:t>
      </w:r>
      <w:r>
        <w:rPr>
          <w:rFonts w:ascii="Calibri" w:hAnsi="Calibri"/>
          <w:b/>
          <w:color w:val="632423"/>
          <w:sz w:val="36"/>
          <w:szCs w:val="36"/>
          <w:lang w:val="en-CA"/>
        </w:rPr>
        <w:t xml:space="preserve"> PROTECTION</w:t>
      </w:r>
      <w:r w:rsidRPr="00EA7D5E">
        <w:rPr>
          <w:rFonts w:ascii="Calibri" w:hAnsi="Calibri"/>
          <w:b/>
          <w:color w:val="632423"/>
          <w:sz w:val="36"/>
          <w:szCs w:val="36"/>
          <w:lang w:val="en-CA"/>
        </w:rPr>
        <w:t xml:space="preserve"> LITIGATION</w:t>
      </w:r>
    </w:p>
    <w:p w:rsidR="00520137" w:rsidRPr="00BE3321" w:rsidRDefault="00A974BD" w:rsidP="00520137">
      <w:pPr>
        <w:jc w:val="both"/>
        <w:rPr>
          <w:rFonts w:ascii="Calibri" w:hAnsi="Calibri"/>
        </w:rPr>
      </w:pPr>
      <w:r>
        <w:rPr>
          <w:rFonts w:ascii="Calibri" w:hAnsi="Calibri"/>
          <w:b/>
          <w:noProof/>
          <w:color w:val="632423"/>
          <w:sz w:val="32"/>
          <w:szCs w:val="32"/>
        </w:rPr>
        <w:pict>
          <v:shape id="Straight Arrow Connector 1" o:spid="_x0000_s1043" type="#_x0000_t32" style="position:absolute;left:0;text-align:left;margin-left:1.5pt;margin-top:.15pt;width:464.8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" strokecolor="#622423" strokeweight="3pt"/>
        </w:pict>
      </w:r>
    </w:p>
    <w:p w:rsidR="00520137" w:rsidRPr="00103E8A" w:rsidRDefault="00E161C3" w:rsidP="00520137">
      <w:pPr>
        <w:jc w:val="both"/>
        <w:rPr>
          <w:rFonts w:ascii="Calibri" w:hAnsi="Calibri"/>
        </w:rPr>
      </w:pPr>
      <w:r>
        <w:rPr>
          <w:rFonts w:ascii="Calibri" w:hAnsi="Calibri"/>
          <w:noProof/>
        </w:rPr>
        <w:drawing>
          <wp:anchor distT="0" distB="0" distL="114300" distR="114300" simplePos="0" relativeHeight="251698176" behindDoc="1" locked="0" layoutInCell="1" allowOverlap="1">
            <wp:simplePos x="0" y="0"/>
            <wp:positionH relativeFrom="column">
              <wp:posOffset>28575</wp:posOffset>
            </wp:positionH>
            <wp:positionV relativeFrom="paragraph">
              <wp:posOffset>10795</wp:posOffset>
            </wp:positionV>
            <wp:extent cx="2181225" cy="1123950"/>
            <wp:effectExtent l="19050" t="0" r="9525" b="0"/>
            <wp:wrapTight wrapText="bothSides">
              <wp:wrapPolygon edited="0">
                <wp:start x="-189" y="0"/>
                <wp:lineTo x="-189" y="21234"/>
                <wp:lineTo x="21694" y="21234"/>
                <wp:lineTo x="21694" y="0"/>
                <wp:lineTo x="-189" y="0"/>
              </wp:wrapPolygon>
            </wp:wrapTight>
            <wp:docPr id="12" name="Picture 11" descr="This is an image of a DOJ Press Release: Health Care Fraud Prevention and Enforcement Efforts Recover Record $4 B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J Press Release.jpg"/>
                    <pic:cNvPicPr/>
                  </pic:nvPicPr>
                  <pic:blipFill>
                    <a:blip r:embed="rId24" cstate="print"/>
                    <a:stretch>
                      <a:fillRect/>
                    </a:stretch>
                  </pic:blipFill>
                  <pic:spPr>
                    <a:xfrm>
                      <a:off x="0" y="0"/>
                      <a:ext cx="2181225" cy="1123950"/>
                    </a:xfrm>
                    <a:prstGeom prst="rect">
                      <a:avLst/>
                    </a:prstGeom>
                  </pic:spPr>
                </pic:pic>
              </a:graphicData>
            </a:graphic>
          </wp:anchor>
        </w:drawing>
      </w:r>
      <w:r w:rsidR="00520137" w:rsidRPr="00BE3321">
        <w:rPr>
          <w:rFonts w:ascii="Calibri" w:hAnsi="Calibri"/>
        </w:rPr>
        <w:t xml:space="preserve">The Office of Consumer </w:t>
      </w:r>
      <w:r w:rsidR="00520137">
        <w:rPr>
          <w:rFonts w:ascii="Calibri" w:hAnsi="Calibri"/>
        </w:rPr>
        <w:t xml:space="preserve">Protection </w:t>
      </w:r>
      <w:r w:rsidR="00520137" w:rsidRPr="00BE3321">
        <w:rPr>
          <w:rFonts w:ascii="Calibri" w:hAnsi="Calibri"/>
        </w:rPr>
        <w:t>Litigation (OC</w:t>
      </w:r>
      <w:r w:rsidR="00520137">
        <w:rPr>
          <w:rFonts w:ascii="Calibri" w:hAnsi="Calibri"/>
        </w:rPr>
        <w:t>P</w:t>
      </w:r>
      <w:r w:rsidR="00520137" w:rsidRPr="00BE3321">
        <w:rPr>
          <w:rFonts w:ascii="Calibri" w:hAnsi="Calibri"/>
        </w:rPr>
        <w:t xml:space="preserve">L) </w:t>
      </w:r>
      <w:r w:rsidR="00520137">
        <w:rPr>
          <w:rFonts w:ascii="Calibri" w:hAnsi="Calibri"/>
        </w:rPr>
        <w:t xml:space="preserve">was recently reorganized and renamed to reflect its larger and revitalized role in protecting consumers. It </w:t>
      </w:r>
      <w:r w:rsidR="00520137" w:rsidRPr="00BE3321">
        <w:rPr>
          <w:rFonts w:ascii="Calibri" w:hAnsi="Calibri"/>
        </w:rPr>
        <w:t xml:space="preserve">is </w:t>
      </w:r>
      <w:r w:rsidR="00B408CF" w:rsidRPr="00BE3321">
        <w:rPr>
          <w:rFonts w:ascii="Calibri" w:hAnsi="Calibri"/>
          <w:lang w:val="en-CA"/>
        </w:rPr>
        <w:fldChar w:fldCharType="begin"/>
      </w:r>
      <w:r w:rsidR="00520137" w:rsidRPr="00BE3321">
        <w:rPr>
          <w:rFonts w:ascii="Calibri" w:hAnsi="Calibri"/>
          <w:lang w:val="en-CA"/>
        </w:rPr>
        <w:instrText xml:space="preserve"> SEQ CHAPTER \h \r 1</w:instrText>
      </w:r>
      <w:r w:rsidR="00B408CF" w:rsidRPr="00BE3321">
        <w:rPr>
          <w:rFonts w:ascii="Calibri" w:hAnsi="Calibri"/>
          <w:lang w:val="en-CA"/>
        </w:rPr>
        <w:fldChar w:fldCharType="end"/>
      </w:r>
      <w:r w:rsidR="00520137" w:rsidRPr="00BE3321">
        <w:rPr>
          <w:rFonts w:ascii="Calibri" w:hAnsi="Calibri"/>
          <w:lang w:val="en-CA"/>
        </w:rPr>
        <w:t>at</w:t>
      </w:r>
      <w:r w:rsidR="00520137" w:rsidRPr="00BE3321">
        <w:rPr>
          <w:rFonts w:ascii="Calibri" w:hAnsi="Calibri"/>
        </w:rPr>
        <w:t xml:space="preserve"> the forefront of the efforts of both the Civil Division and the Department to protect consumers through vigorous civil and criminal enforcement of Fed</w:t>
      </w:r>
      <w:r w:rsidR="00520137">
        <w:rPr>
          <w:rFonts w:ascii="Calibri" w:hAnsi="Calibri"/>
        </w:rPr>
        <w:t xml:space="preserve">eral consumer protection </w:t>
      </w:r>
      <w:r w:rsidR="00520137">
        <w:rPr>
          <w:rFonts w:ascii="Calibri" w:hAnsi="Calibri"/>
        </w:rPr>
        <w:lastRenderedPageBreak/>
        <w:t xml:space="preserve">laws. </w:t>
      </w:r>
      <w:r w:rsidR="00520137" w:rsidRPr="00BE3321">
        <w:rPr>
          <w:rFonts w:ascii="Calibri" w:hAnsi="Calibri"/>
        </w:rPr>
        <w:t>Its enforcement includes fraud perpetrated by manufacturers and distributors of misbranded, adulterated, or defective consumer goods.  OC</w:t>
      </w:r>
      <w:r w:rsidR="00520137">
        <w:rPr>
          <w:rFonts w:ascii="Calibri" w:hAnsi="Calibri"/>
        </w:rPr>
        <w:t>P</w:t>
      </w:r>
      <w:r w:rsidR="00520137" w:rsidRPr="00BE3321">
        <w:rPr>
          <w:rFonts w:ascii="Calibri" w:hAnsi="Calibri"/>
        </w:rPr>
        <w:t>L safeguards consumers through the pursuit of cases regarding deceptive advertisements and sales through unfair practices that extract billi</w:t>
      </w:r>
      <w:r w:rsidR="00520137">
        <w:rPr>
          <w:rFonts w:ascii="Calibri" w:hAnsi="Calibri"/>
        </w:rPr>
        <w:t xml:space="preserve">ons of dollars from consumers. </w:t>
      </w:r>
      <w:r w:rsidR="009B0EC2">
        <w:rPr>
          <w:rFonts w:ascii="Calibri" w:hAnsi="Calibri"/>
        </w:rPr>
        <w:t xml:space="preserve"> </w:t>
      </w:r>
      <w:r w:rsidR="00520137" w:rsidRPr="00BE3321">
        <w:rPr>
          <w:rFonts w:ascii="Calibri" w:hAnsi="Calibri"/>
        </w:rPr>
        <w:t>OC</w:t>
      </w:r>
      <w:r w:rsidR="00520137">
        <w:rPr>
          <w:rFonts w:ascii="Calibri" w:hAnsi="Calibri"/>
        </w:rPr>
        <w:t>P</w:t>
      </w:r>
      <w:r w:rsidR="00520137" w:rsidRPr="00BE3321">
        <w:rPr>
          <w:rFonts w:ascii="Calibri" w:hAnsi="Calibri"/>
        </w:rPr>
        <w:t xml:space="preserve">L also defends legal and constitutional attacks on consumer protection laws and statutes.  </w:t>
      </w:r>
    </w:p>
    <w:p w:rsidR="008D2AAB" w:rsidRPr="008D2AAB" w:rsidRDefault="008D2AAB" w:rsidP="00520137">
      <w:pPr>
        <w:jc w:val="both"/>
        <w:rPr>
          <w:rFonts w:ascii="Calibri" w:hAnsi="Calibri"/>
          <w:sz w:val="20"/>
          <w:szCs w:val="20"/>
        </w:rPr>
      </w:pPr>
    </w:p>
    <w:p w:rsidR="009665FE" w:rsidRDefault="00520137" w:rsidP="00520137">
      <w:pPr>
        <w:jc w:val="both"/>
        <w:rPr>
          <w:rFonts w:ascii="Calibri" w:hAnsi="Calibri"/>
        </w:rPr>
      </w:pPr>
      <w:r w:rsidRPr="00BE3321">
        <w:rPr>
          <w:rFonts w:ascii="Calibri" w:hAnsi="Calibri"/>
        </w:rPr>
        <w:t>OC</w:t>
      </w:r>
      <w:r>
        <w:rPr>
          <w:rFonts w:ascii="Calibri" w:hAnsi="Calibri"/>
        </w:rPr>
        <w:t>P</w:t>
      </w:r>
      <w:r w:rsidRPr="00BE3321">
        <w:rPr>
          <w:rFonts w:ascii="Calibri" w:hAnsi="Calibri"/>
        </w:rPr>
        <w:t xml:space="preserve">L </w:t>
      </w:r>
      <w:r>
        <w:rPr>
          <w:rFonts w:ascii="Calibri" w:hAnsi="Calibri"/>
        </w:rPr>
        <w:t>attorneys investigate and litigate a growing number o</w:t>
      </w:r>
      <w:r w:rsidRPr="00BE3321">
        <w:rPr>
          <w:rFonts w:ascii="Calibri" w:hAnsi="Calibri"/>
        </w:rPr>
        <w:t xml:space="preserve">f health care fraud-related cases, the </w:t>
      </w:r>
      <w:r>
        <w:rPr>
          <w:rFonts w:ascii="Calibri" w:hAnsi="Calibri"/>
        </w:rPr>
        <w:t xml:space="preserve">majority of which are criminal. </w:t>
      </w:r>
      <w:r w:rsidRPr="00BE3321">
        <w:rPr>
          <w:rFonts w:ascii="Calibri" w:hAnsi="Calibri"/>
        </w:rPr>
        <w:t>OC</w:t>
      </w:r>
      <w:r>
        <w:rPr>
          <w:rFonts w:ascii="Calibri" w:hAnsi="Calibri"/>
        </w:rPr>
        <w:t>P</w:t>
      </w:r>
      <w:r w:rsidRPr="00BE3321">
        <w:rPr>
          <w:rFonts w:ascii="Calibri" w:hAnsi="Calibri"/>
        </w:rPr>
        <w:t xml:space="preserve">L is </w:t>
      </w:r>
      <w:r>
        <w:rPr>
          <w:rFonts w:ascii="Calibri" w:hAnsi="Calibri"/>
        </w:rPr>
        <w:t xml:space="preserve">also </w:t>
      </w:r>
      <w:r w:rsidRPr="00BE3321">
        <w:rPr>
          <w:rFonts w:ascii="Calibri" w:hAnsi="Calibri"/>
        </w:rPr>
        <w:t>actively involved in investigating and prosecuting major prescription drug and device manufacturers believed to be illegally promoting misbranded and adulterated drugs or devices and distributing thei</w:t>
      </w:r>
      <w:r>
        <w:rPr>
          <w:rFonts w:ascii="Calibri" w:hAnsi="Calibri"/>
        </w:rPr>
        <w:t>r products for unapproved uses.</w:t>
      </w:r>
      <w:r w:rsidRPr="00BE3321">
        <w:rPr>
          <w:rFonts w:ascii="Calibri" w:hAnsi="Calibri"/>
        </w:rPr>
        <w:t xml:space="preserve"> </w:t>
      </w:r>
      <w:r w:rsidR="009B0EC2">
        <w:rPr>
          <w:rFonts w:ascii="Calibri" w:hAnsi="Calibri"/>
        </w:rPr>
        <w:t xml:space="preserve"> </w:t>
      </w:r>
      <w:r w:rsidRPr="00BE3321">
        <w:rPr>
          <w:rFonts w:ascii="Calibri" w:hAnsi="Calibri"/>
        </w:rPr>
        <w:t xml:space="preserve">The majority of these criminal investigations emerge from lawsuits filed by whistleblowers alleging fraudulent activity. </w:t>
      </w:r>
    </w:p>
    <w:p w:rsidR="005A3C10" w:rsidRPr="005A3C10" w:rsidRDefault="005A3C10" w:rsidP="00520137">
      <w:pPr>
        <w:jc w:val="both"/>
        <w:rPr>
          <w:rFonts w:ascii="Calibri" w:hAnsi="Calibri"/>
          <w:sz w:val="20"/>
          <w:szCs w:val="20"/>
        </w:rPr>
      </w:pPr>
    </w:p>
    <w:p w:rsidR="00520137" w:rsidRPr="00EA7D5E" w:rsidRDefault="00520137" w:rsidP="00520137">
      <w:pPr>
        <w:jc w:val="both"/>
        <w:rPr>
          <w:rFonts w:ascii="Calibri" w:hAnsi="Calibri"/>
          <w:b/>
          <w:color w:val="632423"/>
          <w:sz w:val="36"/>
          <w:szCs w:val="36"/>
          <w:lang w:val="en-CA"/>
        </w:rPr>
      </w:pPr>
      <w:r w:rsidRPr="00EA7D5E">
        <w:rPr>
          <w:rFonts w:ascii="Calibri" w:hAnsi="Calibri"/>
          <w:b/>
          <w:color w:val="632423"/>
          <w:sz w:val="36"/>
          <w:szCs w:val="36"/>
          <w:lang w:val="en-CA"/>
        </w:rPr>
        <w:t>OFFICE OF IMMIGRATION LITIGATION</w:t>
      </w:r>
    </w:p>
    <w:p w:rsidR="00520137" w:rsidRPr="00BE3321" w:rsidRDefault="00A974BD" w:rsidP="00520137">
      <w:pPr>
        <w:widowControl w:val="0"/>
        <w:jc w:val="both"/>
        <w:rPr>
          <w:rStyle w:val="Strong"/>
          <w:rFonts w:ascii="Calibri" w:hAnsi="Calibri"/>
          <w:b w:val="0"/>
          <w:bCs w:val="0"/>
          <w:sz w:val="22"/>
          <w:szCs w:val="22"/>
        </w:rPr>
      </w:pPr>
      <w:r>
        <w:rPr>
          <w:rFonts w:ascii="Calibri" w:hAnsi="Calibri"/>
          <w:noProof/>
        </w:rPr>
        <w:pict>
          <v:shape id="_x0000_s1031" type="#_x0000_t32" style="position:absolute;left:0;text-align:left;margin-left:.75pt;margin-top:1.1pt;width:465.6pt;height:0;z-index:251667456" o:connectortype="straight" strokecolor="#622423" strokeweight="3pt"/>
        </w:pict>
      </w:r>
    </w:p>
    <w:p w:rsidR="00907F31" w:rsidRDefault="00A974BD" w:rsidP="00520137">
      <w:pPr>
        <w:jc w:val="both"/>
        <w:rPr>
          <w:rStyle w:val="Strong"/>
          <w:rFonts w:ascii="Calibri" w:hAnsi="Calibri"/>
          <w:b w:val="0"/>
          <w:color w:val="000000"/>
        </w:rPr>
      </w:pPr>
      <w:r>
        <w:rPr>
          <w:rStyle w:val="Strong"/>
          <w:b w:val="0"/>
          <w:szCs w:val="27"/>
          <w:lang w:eastAsia="zh-TW"/>
        </w:rPr>
        <w:pict>
          <v:shape id="_x0000_s1036" type="#_x0000_t202" style="position:absolute;left:0;text-align:left;margin-left:196.5pt;margin-top:236.25pt;width:254.1pt;height:57pt;z-index:-251641856;mso-position-horizontal-relative:text;mso-position-vertical-relative:text;mso-width-relative:margin;mso-height-relative:margin" wrapcoords="-52 0 -52 21046 21600 21046 21600 0 -52 0" stroked="f">
            <v:textbox style="mso-next-textbox:#_x0000_s1036">
              <w:txbxContent>
                <w:p w:rsidR="009B0EC2" w:rsidRPr="00103E8A" w:rsidRDefault="009B0EC2" w:rsidP="00520137">
                  <w:pPr>
                    <w:jc w:val="center"/>
                    <w:rPr>
                      <w:rFonts w:asciiTheme="minorHAnsi" w:hAnsiTheme="minorHAnsi"/>
                      <w:b/>
                      <w:sz w:val="20"/>
                      <w:szCs w:val="20"/>
                    </w:rPr>
                  </w:pPr>
                  <w:r w:rsidRPr="00103E8A">
                    <w:rPr>
                      <w:rFonts w:asciiTheme="minorHAnsi" w:hAnsiTheme="minorHAnsi"/>
                      <w:b/>
                      <w:sz w:val="20"/>
                      <w:szCs w:val="20"/>
                    </w:rPr>
                    <w:t>The U.S. – Mexico Border</w:t>
                  </w:r>
                </w:p>
                <w:p w:rsidR="009B0EC2" w:rsidRPr="00103E8A" w:rsidRDefault="009B0EC2" w:rsidP="00F770DE">
                  <w:pPr>
                    <w:jc w:val="center"/>
                    <w:rPr>
                      <w:rFonts w:asciiTheme="minorHAnsi" w:hAnsiTheme="minorHAnsi"/>
                      <w:sz w:val="16"/>
                      <w:szCs w:val="16"/>
                    </w:rPr>
                  </w:pPr>
                  <w:r w:rsidRPr="00103E8A">
                    <w:rPr>
                      <w:rFonts w:asciiTheme="minorHAnsi" w:hAnsiTheme="minorHAnsi"/>
                      <w:sz w:val="16"/>
                      <w:szCs w:val="16"/>
                    </w:rPr>
                    <w:fldChar w:fldCharType="begin"/>
                  </w:r>
                  <w:r w:rsidRPr="00103E8A">
                    <w:rPr>
                      <w:rFonts w:asciiTheme="minorHAnsi" w:hAnsiTheme="minorHAnsi"/>
                      <w:sz w:val="16"/>
                      <w:szCs w:val="16"/>
                    </w:rPr>
                    <w:instrText xml:space="preserve"> HYPERLINK "http://www.cbp.gov/xp/cgov/newsroom/multimedia/</w:instrText>
                  </w:r>
                </w:p>
                <w:p w:rsidR="009B0EC2" w:rsidRPr="00103E8A" w:rsidRDefault="009B0EC2" w:rsidP="00F770DE">
                  <w:pPr>
                    <w:jc w:val="center"/>
                    <w:rPr>
                      <w:rStyle w:val="Hyperlink"/>
                      <w:rFonts w:asciiTheme="minorHAnsi" w:hAnsiTheme="minorHAnsi"/>
                      <w:color w:val="auto"/>
                      <w:sz w:val="16"/>
                      <w:szCs w:val="16"/>
                    </w:rPr>
                  </w:pPr>
                  <w:r w:rsidRPr="00103E8A">
                    <w:rPr>
                      <w:rFonts w:asciiTheme="minorHAnsi" w:hAnsiTheme="minorHAnsi"/>
                      <w:sz w:val="16"/>
                      <w:szCs w:val="16"/>
                    </w:rPr>
                    <w:instrText xml:space="preserve">photo_gallery/afc/bp/07.xml" </w:instrText>
                  </w:r>
                  <w:r w:rsidRPr="00103E8A">
                    <w:rPr>
                      <w:rFonts w:asciiTheme="minorHAnsi" w:hAnsiTheme="minorHAnsi"/>
                      <w:sz w:val="16"/>
                      <w:szCs w:val="16"/>
                    </w:rPr>
                    <w:fldChar w:fldCharType="separate"/>
                  </w:r>
                  <w:r w:rsidRPr="00103E8A">
                    <w:rPr>
                      <w:rStyle w:val="Hyperlink"/>
                      <w:rFonts w:asciiTheme="minorHAnsi" w:hAnsiTheme="minorHAnsi"/>
                      <w:color w:val="auto"/>
                      <w:sz w:val="16"/>
                      <w:szCs w:val="16"/>
                    </w:rPr>
                    <w:t>http://www.cbp.gov/xp/cgov/newsroom/multimedia/</w:t>
                  </w:r>
                </w:p>
                <w:p w:rsidR="009B0EC2" w:rsidRPr="00103E8A" w:rsidRDefault="009B0EC2" w:rsidP="00F770DE">
                  <w:pPr>
                    <w:jc w:val="center"/>
                    <w:rPr>
                      <w:rFonts w:asciiTheme="minorHAnsi" w:hAnsiTheme="minorHAnsi"/>
                      <w:sz w:val="16"/>
                      <w:szCs w:val="16"/>
                      <w:u w:val="single"/>
                    </w:rPr>
                  </w:pPr>
                  <w:r w:rsidRPr="00103E8A">
                    <w:rPr>
                      <w:rStyle w:val="Hyperlink"/>
                      <w:rFonts w:asciiTheme="minorHAnsi" w:hAnsiTheme="minorHAnsi"/>
                      <w:color w:val="auto"/>
                      <w:sz w:val="16"/>
                      <w:szCs w:val="16"/>
                    </w:rPr>
                    <w:t>photo_gallery/afc/bp/07.xml</w:t>
                  </w:r>
                  <w:r w:rsidRPr="00103E8A">
                    <w:rPr>
                      <w:rFonts w:asciiTheme="minorHAnsi" w:hAnsiTheme="minorHAnsi"/>
                      <w:sz w:val="16"/>
                      <w:szCs w:val="16"/>
                    </w:rPr>
                    <w:fldChar w:fldCharType="end"/>
                  </w:r>
                </w:p>
                <w:p w:rsidR="009B0EC2" w:rsidRPr="00103E8A" w:rsidRDefault="009B0EC2" w:rsidP="00520137">
                  <w:pPr>
                    <w:rPr>
                      <w:rFonts w:asciiTheme="minorHAnsi" w:hAnsiTheme="minorHAnsi"/>
                      <w:sz w:val="19"/>
                      <w:szCs w:val="19"/>
                    </w:rPr>
                  </w:pPr>
                </w:p>
              </w:txbxContent>
            </v:textbox>
            <w10:wrap type="tight"/>
          </v:shape>
        </w:pict>
      </w:r>
      <w:r w:rsidR="009B0EC2">
        <w:rPr>
          <w:bCs/>
          <w:noProof/>
          <w:szCs w:val="27"/>
        </w:rPr>
        <w:drawing>
          <wp:anchor distT="0" distB="0" distL="114300" distR="114300" simplePos="0" relativeHeight="251673600" behindDoc="1" locked="0" layoutInCell="1" allowOverlap="1">
            <wp:simplePos x="0" y="0"/>
            <wp:positionH relativeFrom="column">
              <wp:posOffset>2524125</wp:posOffset>
            </wp:positionH>
            <wp:positionV relativeFrom="paragraph">
              <wp:posOffset>47625</wp:posOffset>
            </wp:positionV>
            <wp:extent cx="3340735" cy="2771775"/>
            <wp:effectExtent l="19050" t="0" r="0" b="0"/>
            <wp:wrapTight wrapText="bothSides">
              <wp:wrapPolygon edited="0">
                <wp:start x="-123" y="0"/>
                <wp:lineTo x="-123" y="21526"/>
                <wp:lineTo x="21555" y="21526"/>
                <wp:lineTo x="21555" y="0"/>
                <wp:lineTo x="-123" y="0"/>
              </wp:wrapPolygon>
            </wp:wrapTight>
            <wp:docPr id="6" name="Picture 4" descr="This is a photograph of the U.S. Mexican border; the U.S. is on the left side of the photo, Mexico is on the right side of the photo. ">
              <a:hlinkClick xmlns:a="http://schemas.openxmlformats.org/drawingml/2006/main" r:id="rId25"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U.S. Mexican border, U.S. is on the left side of the photo.   ">
                      <a:hlinkClick r:id="rId25" tgtFrame="_new"/>
                    </pic:cNvPr>
                    <pic:cNvPicPr>
                      <a:picLocks noChangeAspect="1" noChangeArrowheads="1"/>
                    </pic:cNvPicPr>
                  </pic:nvPicPr>
                  <pic:blipFill>
                    <a:blip r:embed="rId26" cstate="print"/>
                    <a:srcRect/>
                    <a:stretch>
                      <a:fillRect/>
                    </a:stretch>
                  </pic:blipFill>
                  <pic:spPr bwMode="auto">
                    <a:xfrm>
                      <a:off x="0" y="0"/>
                      <a:ext cx="3340735" cy="2771775"/>
                    </a:xfrm>
                    <a:prstGeom prst="rect">
                      <a:avLst/>
                    </a:prstGeom>
                    <a:noFill/>
                    <a:ln w="9525">
                      <a:noFill/>
                      <a:miter lim="800000"/>
                      <a:headEnd/>
                      <a:tailEnd/>
                    </a:ln>
                  </pic:spPr>
                </pic:pic>
              </a:graphicData>
            </a:graphic>
          </wp:anchor>
        </w:drawing>
      </w:r>
      <w:r w:rsidR="00520137" w:rsidRPr="00BE3321">
        <w:rPr>
          <w:rStyle w:val="Strong"/>
          <w:rFonts w:ascii="Calibri" w:hAnsi="Calibri"/>
          <w:b w:val="0"/>
          <w:szCs w:val="27"/>
        </w:rPr>
        <w:t xml:space="preserve">Established in 1983 to achieve </w:t>
      </w:r>
      <w:bookmarkStart w:id="3" w:name="skip"/>
      <w:bookmarkEnd w:id="3"/>
      <w:r w:rsidR="00520137" w:rsidRPr="00BE3321">
        <w:rPr>
          <w:rStyle w:val="Strong"/>
          <w:rFonts w:ascii="Calibri" w:hAnsi="Calibri"/>
          <w:b w:val="0"/>
          <w:szCs w:val="27"/>
        </w:rPr>
        <w:t>central control over immigration litigation, the Office of Immigration Litigation (OIL) defends Government agencies in immigration</w:t>
      </w:r>
      <w:r w:rsidR="00520137">
        <w:rPr>
          <w:rStyle w:val="Strong"/>
          <w:rFonts w:ascii="Calibri" w:hAnsi="Calibri"/>
          <w:b w:val="0"/>
          <w:szCs w:val="27"/>
        </w:rPr>
        <w:t>-related litigation</w:t>
      </w:r>
      <w:r w:rsidR="00520137" w:rsidRPr="00BE3321">
        <w:rPr>
          <w:rStyle w:val="Strong"/>
          <w:rFonts w:ascii="Calibri" w:hAnsi="Calibri"/>
          <w:b w:val="0"/>
          <w:szCs w:val="27"/>
        </w:rPr>
        <w:t xml:space="preserve"> and decisions of DOJ’s Executive Office for Immigration Review (EOIR) when aliens file petitions for review in the circuit courts of appeals.  With its unique expertise in immigration law, OIL provides the Government with the best possible defense in district court cases and challenges to removal orders filed in circuit courts by illegal alie</w:t>
      </w:r>
      <w:r w:rsidR="005933AD">
        <w:rPr>
          <w:rStyle w:val="Strong"/>
          <w:rFonts w:ascii="Calibri" w:hAnsi="Calibri"/>
          <w:b w:val="0"/>
          <w:szCs w:val="27"/>
        </w:rPr>
        <w:t>ns, many of whom are criminals.</w:t>
      </w:r>
      <w:r w:rsidR="00251F4A">
        <w:rPr>
          <w:rStyle w:val="Strong"/>
          <w:rFonts w:ascii="Calibri" w:hAnsi="Calibri"/>
          <w:b w:val="0"/>
          <w:szCs w:val="27"/>
        </w:rPr>
        <w:t xml:space="preserve">  </w:t>
      </w:r>
      <w:r w:rsidR="00520137" w:rsidRPr="00BE3321">
        <w:rPr>
          <w:rStyle w:val="Strong"/>
          <w:rFonts w:ascii="Calibri" w:hAnsi="Calibri"/>
          <w:b w:val="0"/>
          <w:szCs w:val="27"/>
        </w:rPr>
        <w:t xml:space="preserve"> </w:t>
      </w:r>
      <w:r w:rsidR="00520137" w:rsidRPr="00BE3321">
        <w:rPr>
          <w:rStyle w:val="Strong"/>
          <w:rFonts w:ascii="Calibri" w:hAnsi="Calibri"/>
          <w:b w:val="0"/>
          <w:color w:val="000000"/>
        </w:rPr>
        <w:t xml:space="preserve">OIL is divided into two sections: the Appellate Section, which handles petitions for review filed in circuit courts, and the District Court Section, which handles all other litigation in both the trial and appellate stages. </w:t>
      </w:r>
      <w:r w:rsidR="00907F31">
        <w:rPr>
          <w:rStyle w:val="Strong"/>
          <w:rFonts w:ascii="Calibri" w:hAnsi="Calibri"/>
          <w:b w:val="0"/>
          <w:color w:val="000000"/>
        </w:rPr>
        <w:t xml:space="preserve"> </w:t>
      </w:r>
    </w:p>
    <w:p w:rsidR="00907F31" w:rsidRPr="00907F31" w:rsidRDefault="00907F31" w:rsidP="00520137">
      <w:pPr>
        <w:jc w:val="both"/>
        <w:rPr>
          <w:rFonts w:ascii="Calibri" w:hAnsi="Calibri"/>
          <w:sz w:val="20"/>
          <w:szCs w:val="20"/>
          <w:lang w:val="en-CA"/>
        </w:rPr>
      </w:pPr>
    </w:p>
    <w:p w:rsidR="00011139" w:rsidRDefault="00520137" w:rsidP="00520137">
      <w:pPr>
        <w:jc w:val="both"/>
        <w:rPr>
          <w:rFonts w:ascii="Calibri" w:hAnsi="Calibri"/>
          <w:color w:val="000000"/>
        </w:rPr>
      </w:pPr>
      <w:r w:rsidRPr="00BE3321">
        <w:rPr>
          <w:rFonts w:ascii="Calibri" w:hAnsi="Calibri"/>
          <w:lang w:val="en-CA"/>
        </w:rPr>
        <w:t xml:space="preserve">The Appellate Section’s caseload is directly tied to </w:t>
      </w:r>
      <w:r>
        <w:rPr>
          <w:rFonts w:ascii="Calibri" w:hAnsi="Calibri"/>
          <w:lang w:val="en-CA"/>
        </w:rPr>
        <w:t xml:space="preserve">the </w:t>
      </w:r>
      <w:r w:rsidRPr="00BE3321">
        <w:rPr>
          <w:rFonts w:ascii="Calibri" w:hAnsi="Calibri"/>
          <w:lang w:val="en-CA"/>
        </w:rPr>
        <w:t>D</w:t>
      </w:r>
      <w:r>
        <w:rPr>
          <w:rFonts w:ascii="Calibri" w:hAnsi="Calibri"/>
          <w:lang w:val="en-CA"/>
        </w:rPr>
        <w:t xml:space="preserve">epartment of </w:t>
      </w:r>
      <w:r w:rsidRPr="00BE3321">
        <w:rPr>
          <w:rFonts w:ascii="Calibri" w:hAnsi="Calibri"/>
          <w:lang w:val="en-CA"/>
        </w:rPr>
        <w:t>H</w:t>
      </w:r>
      <w:r>
        <w:rPr>
          <w:rFonts w:ascii="Calibri" w:hAnsi="Calibri"/>
          <w:lang w:val="en-CA"/>
        </w:rPr>
        <w:t xml:space="preserve">omeland </w:t>
      </w:r>
      <w:r w:rsidRPr="00BE3321">
        <w:rPr>
          <w:rFonts w:ascii="Calibri" w:hAnsi="Calibri"/>
          <w:lang w:val="en-CA"/>
        </w:rPr>
        <w:t>S</w:t>
      </w:r>
      <w:r>
        <w:rPr>
          <w:rFonts w:ascii="Calibri" w:hAnsi="Calibri"/>
          <w:lang w:val="en-CA"/>
        </w:rPr>
        <w:t>ecurity</w:t>
      </w:r>
      <w:r w:rsidRPr="00BE3321">
        <w:rPr>
          <w:rFonts w:ascii="Calibri" w:hAnsi="Calibri"/>
          <w:lang w:val="en-CA"/>
        </w:rPr>
        <w:t>’s</w:t>
      </w:r>
      <w:r>
        <w:rPr>
          <w:rFonts w:ascii="Calibri" w:hAnsi="Calibri"/>
          <w:lang w:val="en-CA"/>
        </w:rPr>
        <w:t xml:space="preserve"> (DHS)</w:t>
      </w:r>
      <w:r w:rsidRPr="00BE3321">
        <w:rPr>
          <w:rFonts w:ascii="Calibri" w:hAnsi="Calibri"/>
          <w:lang w:val="en-CA"/>
        </w:rPr>
        <w:t xml:space="preserve"> immigration efforts and to the immigration adjudication rates of the Board </w:t>
      </w:r>
      <w:r w:rsidR="005933AD">
        <w:rPr>
          <w:rFonts w:ascii="Calibri" w:hAnsi="Calibri"/>
          <w:lang w:val="en-CA"/>
        </w:rPr>
        <w:t>of Immigration Appeals in EOIR.</w:t>
      </w:r>
      <w:r w:rsidRPr="00BE3321">
        <w:rPr>
          <w:rFonts w:ascii="Calibri" w:hAnsi="Calibri"/>
          <w:lang w:val="en-CA"/>
        </w:rPr>
        <w:t xml:space="preserve"> </w:t>
      </w:r>
      <w:r w:rsidR="00251F4A">
        <w:rPr>
          <w:rFonts w:ascii="Calibri" w:hAnsi="Calibri"/>
          <w:lang w:val="en-CA"/>
        </w:rPr>
        <w:t xml:space="preserve"> </w:t>
      </w:r>
      <w:r w:rsidRPr="00BE3321">
        <w:rPr>
          <w:rFonts w:ascii="Calibri" w:hAnsi="Calibri"/>
          <w:lang w:val="en-CA"/>
        </w:rPr>
        <w:t xml:space="preserve">As DHS’s enforcement activities become more aggressive, OIL receives a corresponding increase in petitions for review to defend </w:t>
      </w:r>
      <w:r w:rsidR="005933AD">
        <w:rPr>
          <w:rFonts w:ascii="Calibri" w:hAnsi="Calibri"/>
          <w:lang w:val="en-CA"/>
        </w:rPr>
        <w:t>in the circuit courts.</w:t>
      </w:r>
      <w:r w:rsidR="005933AD">
        <w:rPr>
          <w:rFonts w:ascii="Calibri" w:hAnsi="Calibri"/>
          <w:color w:val="000000"/>
        </w:rPr>
        <w:t> </w:t>
      </w:r>
      <w:r w:rsidR="00251F4A">
        <w:rPr>
          <w:rFonts w:ascii="Calibri" w:hAnsi="Calibri"/>
          <w:color w:val="000000"/>
        </w:rPr>
        <w:t xml:space="preserve"> </w:t>
      </w:r>
      <w:r w:rsidRPr="00BE3321">
        <w:rPr>
          <w:rStyle w:val="Strong"/>
          <w:rFonts w:ascii="Calibri" w:hAnsi="Calibri"/>
          <w:b w:val="0"/>
          <w:color w:val="000000"/>
        </w:rPr>
        <w:t xml:space="preserve">The District Court Section represents the United States in immigration cases which originate in Federal district courts nationwide.  Most of </w:t>
      </w:r>
      <w:r>
        <w:rPr>
          <w:rStyle w:val="Strong"/>
          <w:rFonts w:ascii="Calibri" w:hAnsi="Calibri"/>
          <w:b w:val="0"/>
          <w:color w:val="000000"/>
        </w:rPr>
        <w:t>its</w:t>
      </w:r>
      <w:r w:rsidRPr="00BE3321">
        <w:rPr>
          <w:rStyle w:val="Strong"/>
          <w:rFonts w:ascii="Calibri" w:hAnsi="Calibri"/>
          <w:b w:val="0"/>
          <w:color w:val="000000"/>
        </w:rPr>
        <w:t xml:space="preserve"> litigation responsib</w:t>
      </w:r>
      <w:r>
        <w:rPr>
          <w:rStyle w:val="Strong"/>
          <w:rFonts w:ascii="Calibri" w:hAnsi="Calibri"/>
          <w:b w:val="0"/>
          <w:color w:val="000000"/>
        </w:rPr>
        <w:t xml:space="preserve">ilities are defensive in nature, consisting </w:t>
      </w:r>
      <w:r w:rsidRPr="00BE3321">
        <w:rPr>
          <w:rStyle w:val="Strong"/>
          <w:rFonts w:ascii="Calibri" w:hAnsi="Calibri"/>
          <w:b w:val="0"/>
          <w:color w:val="000000"/>
        </w:rPr>
        <w:t>of a wide range of individual and class action cases</w:t>
      </w:r>
      <w:r w:rsidR="009B4492">
        <w:rPr>
          <w:rStyle w:val="Strong"/>
          <w:rFonts w:ascii="Calibri" w:hAnsi="Calibri"/>
          <w:b w:val="0"/>
          <w:color w:val="000000"/>
        </w:rPr>
        <w:t xml:space="preserve">, such as petitions for writs of </w:t>
      </w:r>
      <w:r w:rsidR="009B4492" w:rsidRPr="009B0EC2">
        <w:rPr>
          <w:rStyle w:val="Strong"/>
          <w:rFonts w:ascii="Calibri" w:hAnsi="Calibri"/>
          <w:b w:val="0"/>
          <w:i/>
          <w:color w:val="000000"/>
        </w:rPr>
        <w:lastRenderedPageBreak/>
        <w:t>habeas corpus</w:t>
      </w:r>
      <w:r w:rsidR="009B4492">
        <w:rPr>
          <w:rStyle w:val="Strong"/>
          <w:rFonts w:ascii="Calibri" w:hAnsi="Calibri"/>
          <w:b w:val="0"/>
          <w:color w:val="000000"/>
        </w:rPr>
        <w:t xml:space="preserve"> and constitutional challenges to immigration policies</w:t>
      </w:r>
      <w:r w:rsidRPr="00BE3321">
        <w:rPr>
          <w:rStyle w:val="Strong"/>
          <w:rFonts w:ascii="Calibri" w:hAnsi="Calibri"/>
          <w:b w:val="0"/>
          <w:color w:val="000000"/>
        </w:rPr>
        <w:t xml:space="preserve">. </w:t>
      </w:r>
      <w:r w:rsidR="006040B5">
        <w:rPr>
          <w:rStyle w:val="Strong"/>
          <w:rFonts w:ascii="Calibri" w:hAnsi="Calibri"/>
          <w:b w:val="0"/>
          <w:color w:val="000000"/>
        </w:rPr>
        <w:t xml:space="preserve"> </w:t>
      </w:r>
      <w:r w:rsidR="006040B5" w:rsidRPr="00BE3321">
        <w:rPr>
          <w:rFonts w:ascii="Calibri" w:hAnsi="Calibri"/>
          <w:color w:val="000000"/>
        </w:rPr>
        <w:t>Changes to immigration policy</w:t>
      </w:r>
      <w:r w:rsidR="006040B5">
        <w:rPr>
          <w:rFonts w:ascii="Calibri" w:hAnsi="Calibri"/>
          <w:color w:val="000000"/>
        </w:rPr>
        <w:t xml:space="preserve"> have</w:t>
      </w:r>
      <w:r w:rsidR="006040B5" w:rsidRPr="00BE3321">
        <w:rPr>
          <w:rFonts w:ascii="Calibri" w:hAnsi="Calibri"/>
          <w:color w:val="000000"/>
        </w:rPr>
        <w:t xml:space="preserve"> historically </w:t>
      </w:r>
      <w:r w:rsidR="006040B5">
        <w:rPr>
          <w:rFonts w:ascii="Calibri" w:hAnsi="Calibri"/>
          <w:color w:val="000000"/>
        </w:rPr>
        <w:t>led to significant increases in OIL’s caseload</w:t>
      </w:r>
      <w:r w:rsidR="006040B5" w:rsidRPr="00BE3321">
        <w:rPr>
          <w:rFonts w:ascii="Calibri" w:hAnsi="Calibri"/>
          <w:color w:val="000000"/>
        </w:rPr>
        <w:t xml:space="preserve">.  </w:t>
      </w:r>
    </w:p>
    <w:p w:rsidR="009B0EC2" w:rsidRPr="00011139" w:rsidRDefault="009B0EC2" w:rsidP="00520137">
      <w:pPr>
        <w:jc w:val="both"/>
        <w:rPr>
          <w:rFonts w:ascii="Calibri" w:hAnsi="Calibri"/>
          <w:b/>
          <w:color w:val="632423"/>
          <w:sz w:val="20"/>
          <w:szCs w:val="20"/>
          <w:lang w:val="en-CA"/>
        </w:rPr>
      </w:pPr>
    </w:p>
    <w:p w:rsidR="00520137" w:rsidRPr="00EA7D5E" w:rsidRDefault="00982754" w:rsidP="00520137">
      <w:pPr>
        <w:jc w:val="both"/>
        <w:rPr>
          <w:rFonts w:ascii="Calibri" w:hAnsi="Calibri"/>
          <w:b/>
          <w:color w:val="632423"/>
          <w:sz w:val="36"/>
          <w:szCs w:val="36"/>
          <w:lang w:val="en-CA"/>
        </w:rPr>
      </w:pPr>
      <w:r>
        <w:rPr>
          <w:rFonts w:ascii="Calibri" w:hAnsi="Calibri"/>
          <w:b/>
          <w:color w:val="632423"/>
          <w:sz w:val="36"/>
          <w:szCs w:val="36"/>
          <w:lang w:val="en-CA"/>
        </w:rPr>
        <w:t xml:space="preserve">COMPENSATION </w:t>
      </w:r>
      <w:r w:rsidR="00520137" w:rsidRPr="00EA7D5E">
        <w:rPr>
          <w:rFonts w:ascii="Calibri" w:hAnsi="Calibri"/>
          <w:b/>
          <w:color w:val="632423"/>
          <w:sz w:val="36"/>
          <w:szCs w:val="36"/>
          <w:lang w:val="en-CA"/>
        </w:rPr>
        <w:t>PROGRAMS</w:t>
      </w:r>
    </w:p>
    <w:p w:rsidR="00520137" w:rsidRPr="00BE3321" w:rsidRDefault="00A974BD" w:rsidP="00520137">
      <w:pPr>
        <w:jc w:val="both"/>
        <w:rPr>
          <w:rStyle w:val="Strong"/>
          <w:rFonts w:ascii="Calibri" w:hAnsi="Calibri"/>
          <w:b w:val="0"/>
          <w:color w:val="000000"/>
        </w:rPr>
      </w:pPr>
      <w:r>
        <w:rPr>
          <w:rFonts w:ascii="Calibri" w:hAnsi="Calibri"/>
          <w:b/>
          <w:noProof/>
          <w:color w:val="632423"/>
        </w:rPr>
        <w:pict>
          <v:shape id="_x0000_s1034" type="#_x0000_t32" style="position:absolute;left:0;text-align:left;margin-left:1.5pt;margin-top:-.25pt;width:464.25pt;height:0;z-index:251670528" o:connectortype="straight" strokecolor="#622423" strokeweight="3pt"/>
        </w:pict>
      </w:r>
    </w:p>
    <w:p w:rsidR="00520137" w:rsidRPr="00947833" w:rsidRDefault="00B408CF" w:rsidP="00520137">
      <w:pPr>
        <w:jc w:val="both"/>
        <w:rPr>
          <w:rFonts w:ascii="Calibri" w:hAnsi="Calibri"/>
          <w:b/>
          <w:bCs/>
          <w:color w:val="632423"/>
          <w:sz w:val="28"/>
          <w:szCs w:val="28"/>
        </w:rPr>
      </w:pPr>
      <w:r w:rsidRPr="00947833">
        <w:rPr>
          <w:rFonts w:ascii="Calibri" w:hAnsi="Calibri"/>
          <w:b/>
          <w:color w:val="632423"/>
          <w:sz w:val="28"/>
          <w:szCs w:val="28"/>
          <w:lang w:val="en-CA"/>
        </w:rPr>
        <w:fldChar w:fldCharType="begin"/>
      </w:r>
      <w:r w:rsidR="00520137" w:rsidRPr="00947833">
        <w:rPr>
          <w:rFonts w:ascii="Calibri" w:hAnsi="Calibri"/>
          <w:b/>
          <w:color w:val="632423"/>
          <w:sz w:val="28"/>
          <w:szCs w:val="28"/>
          <w:lang w:val="en-CA"/>
        </w:rPr>
        <w:instrText xml:space="preserve"> SEQ CHAPTER \h \r 1</w:instrText>
      </w:r>
      <w:r w:rsidRPr="00947833">
        <w:rPr>
          <w:rFonts w:ascii="Calibri" w:hAnsi="Calibri"/>
          <w:b/>
          <w:color w:val="632423"/>
          <w:sz w:val="28"/>
          <w:szCs w:val="28"/>
          <w:lang w:val="en-CA"/>
        </w:rPr>
        <w:fldChar w:fldCharType="end"/>
      </w:r>
      <w:r w:rsidR="00520137" w:rsidRPr="00947833">
        <w:rPr>
          <w:rFonts w:ascii="Calibri" w:hAnsi="Calibri"/>
          <w:b/>
          <w:color w:val="632423"/>
          <w:sz w:val="28"/>
          <w:szCs w:val="28"/>
          <w:lang w:val="en-CA"/>
        </w:rPr>
        <w:t>Vaccine</w:t>
      </w:r>
      <w:r w:rsidR="00520137" w:rsidRPr="00947833">
        <w:rPr>
          <w:rFonts w:ascii="Calibri" w:hAnsi="Calibri"/>
          <w:b/>
          <w:bCs/>
          <w:color w:val="632423"/>
          <w:sz w:val="28"/>
          <w:szCs w:val="28"/>
        </w:rPr>
        <w:t xml:space="preserve"> Injury Compensation Program  </w:t>
      </w:r>
    </w:p>
    <w:p w:rsidR="00520137" w:rsidRPr="00A56E5E" w:rsidRDefault="00520137" w:rsidP="00520137">
      <w:pPr>
        <w:jc w:val="both"/>
        <w:rPr>
          <w:rFonts w:ascii="Calibri" w:hAnsi="Calibri"/>
          <w:b/>
          <w:bCs/>
          <w:color w:val="006666"/>
          <w:sz w:val="20"/>
          <w:szCs w:val="20"/>
        </w:rPr>
      </w:pPr>
    </w:p>
    <w:p w:rsidR="00FD50B4" w:rsidRPr="00FD50B4" w:rsidRDefault="00A974BD" w:rsidP="00FD50B4">
      <w:pPr>
        <w:jc w:val="both"/>
        <w:rPr>
          <w:rFonts w:ascii="Calibri" w:hAnsi="Calibri"/>
          <w:b/>
          <w:bCs/>
          <w:color w:val="632423"/>
          <w:sz w:val="28"/>
          <w:szCs w:val="28"/>
        </w:rPr>
      </w:pPr>
      <w:r>
        <w:rPr>
          <w:rFonts w:asciiTheme="minorHAnsi" w:hAnsiTheme="minorHAnsi"/>
          <w:noProof/>
          <w:lang w:eastAsia="zh-TW"/>
        </w:rPr>
        <w:pict>
          <v:shape id="_x0000_s1035" type="#_x0000_t202" style="position:absolute;left:0;text-align:left;margin-left:1.5pt;margin-top:191.05pt;width:143.25pt;height:26.35pt;z-index:-251643904;mso-position-horizontal-relative:text;mso-position-vertical-relative:text;mso-width-relative:margin;mso-height-relative:margin" wrapcoords="-114 0 -114 21130 21600 21130 21600 0 -114 0" stroked="f">
            <v:textbox style="mso-next-textbox:#_x0000_s1035">
              <w:txbxContent>
                <w:p w:rsidR="009B0EC2" w:rsidRPr="005933AD" w:rsidRDefault="00A974BD" w:rsidP="00520137">
                  <w:pPr>
                    <w:jc w:val="center"/>
                    <w:rPr>
                      <w:rFonts w:asciiTheme="minorHAnsi" w:hAnsiTheme="minorHAnsi"/>
                      <w:sz w:val="16"/>
                      <w:szCs w:val="16"/>
                    </w:rPr>
                  </w:pPr>
                  <w:hyperlink r:id="rId27" w:history="1">
                    <w:r w:rsidR="009B0EC2" w:rsidRPr="005933AD">
                      <w:rPr>
                        <w:rStyle w:val="Hyperlink"/>
                        <w:rFonts w:asciiTheme="minorHAnsi" w:hAnsiTheme="minorHAnsi"/>
                        <w:color w:val="auto"/>
                        <w:sz w:val="16"/>
                        <w:szCs w:val="16"/>
                      </w:rPr>
                      <w:t>http://www.cdc.gov/vaccines/vpd-vac/mumps/default.htm</w:t>
                    </w:r>
                  </w:hyperlink>
                </w:p>
                <w:p w:rsidR="009B0EC2" w:rsidRPr="005933AD" w:rsidRDefault="009B0EC2" w:rsidP="00520137">
                  <w:pPr>
                    <w:jc w:val="center"/>
                    <w:rPr>
                      <w:rFonts w:asciiTheme="minorHAnsi" w:hAnsiTheme="minorHAnsi"/>
                      <w:sz w:val="16"/>
                      <w:szCs w:val="16"/>
                    </w:rPr>
                  </w:pPr>
                </w:p>
              </w:txbxContent>
            </v:textbox>
            <w10:wrap type="tight"/>
          </v:shape>
        </w:pict>
      </w:r>
      <w:r w:rsidR="0095548D">
        <w:rPr>
          <w:rFonts w:asciiTheme="minorHAnsi" w:hAnsiTheme="minorHAnsi"/>
          <w:noProof/>
        </w:rPr>
        <w:drawing>
          <wp:anchor distT="0" distB="0" distL="114300" distR="114300" simplePos="0" relativeHeight="251671552" behindDoc="1" locked="0" layoutInCell="1" allowOverlap="1">
            <wp:simplePos x="0" y="0"/>
            <wp:positionH relativeFrom="column">
              <wp:posOffset>-9525</wp:posOffset>
            </wp:positionH>
            <wp:positionV relativeFrom="paragraph">
              <wp:posOffset>64135</wp:posOffset>
            </wp:positionV>
            <wp:extent cx="1838325" cy="2324100"/>
            <wp:effectExtent l="19050" t="0" r="9525" b="0"/>
            <wp:wrapTight wrapText="bothSides">
              <wp:wrapPolygon edited="0">
                <wp:start x="-224" y="0"/>
                <wp:lineTo x="-224" y="21423"/>
                <wp:lineTo x="21712" y="21423"/>
                <wp:lineTo x="21712" y="0"/>
                <wp:lineTo x="-224" y="0"/>
              </wp:wrapPolygon>
            </wp:wrapTight>
            <wp:docPr id="2" name="Picture 2" descr="This is a photograph of a child receiving a mumps vacc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mps vaccination"/>
                    <pic:cNvPicPr>
                      <a:picLocks noChangeAspect="1" noChangeArrowheads="1"/>
                    </pic:cNvPicPr>
                  </pic:nvPicPr>
                  <pic:blipFill>
                    <a:blip r:embed="rId28" r:link="rId29" cstate="print"/>
                    <a:srcRect/>
                    <a:stretch>
                      <a:fillRect/>
                    </a:stretch>
                  </pic:blipFill>
                  <pic:spPr bwMode="auto">
                    <a:xfrm>
                      <a:off x="0" y="0"/>
                      <a:ext cx="1838325" cy="2324100"/>
                    </a:xfrm>
                    <a:prstGeom prst="rect">
                      <a:avLst/>
                    </a:prstGeom>
                    <a:noFill/>
                    <a:ln w="9525">
                      <a:noFill/>
                      <a:miter lim="800000"/>
                      <a:headEnd/>
                      <a:tailEnd/>
                    </a:ln>
                  </pic:spPr>
                </pic:pic>
              </a:graphicData>
            </a:graphic>
          </wp:anchor>
        </w:drawing>
      </w:r>
      <w:r w:rsidR="00FD50B4">
        <w:rPr>
          <w:rFonts w:ascii="Calibri" w:hAnsi="Calibri"/>
        </w:rPr>
        <w:t xml:space="preserve">Congress enacted the National Childhood Vaccine Injury Act of 1986 (the Act) to avert a crisis affecting the vaccination of children against infectious childhood diseases.  The Act established the Vaccine Injury Compensation Program (VICP or the Program), a no-fault compensation system for persons suffering injury or death allegedly attributable to certain vaccines.  The Program is intended to provide a more expeditious, less costly way for resolving claims.  The Act established a Trust Fund, funded by an excise tax imposed on each purchased dose of a covered vaccine, to pay compensation awards, claimants’ attorneys’ fees, and all administrative governmental costs. Since the inception of the Program, over $2.1 billion in compensation has been awarded to over 2,500 claimants.  </w:t>
      </w:r>
    </w:p>
    <w:p w:rsidR="00FD50B4" w:rsidRDefault="00FD50B4" w:rsidP="00FD50B4">
      <w:pPr>
        <w:jc w:val="both"/>
        <w:rPr>
          <w:rFonts w:ascii="Calibri" w:hAnsi="Calibri"/>
          <w:sz w:val="20"/>
          <w:szCs w:val="20"/>
        </w:rPr>
      </w:pPr>
    </w:p>
    <w:p w:rsidR="0095548D" w:rsidRPr="0095548D" w:rsidRDefault="0095548D" w:rsidP="0034335E">
      <w:pPr>
        <w:jc w:val="both"/>
        <w:rPr>
          <w:rFonts w:ascii="Calibri" w:hAnsi="Calibri"/>
          <w:sz w:val="20"/>
          <w:szCs w:val="20"/>
        </w:rPr>
      </w:pPr>
    </w:p>
    <w:p w:rsidR="00566C3D" w:rsidRPr="00C83F43" w:rsidRDefault="00FD50B4" w:rsidP="0034335E">
      <w:pPr>
        <w:jc w:val="both"/>
        <w:rPr>
          <w:rFonts w:ascii="Calibri" w:hAnsi="Calibri"/>
        </w:rPr>
      </w:pPr>
      <w:r>
        <w:rPr>
          <w:rFonts w:ascii="Calibri" w:hAnsi="Calibri"/>
        </w:rPr>
        <w:t xml:space="preserve">Since FY 2001, the Program has experienced a staggering increase in new claims.  This increase can be partly attributed to the addition of new vaccines covered by the Program.  However, the most significant reason is the approximately 5,000 claims asserting that certain vaccines, or a vaccine preservative, thimerosal, can cause autism.  These cases comprise the Omnibus Autism Proceeding and account for approximately 85 percent of the Program’s caseload. </w:t>
      </w:r>
      <w:r w:rsidR="008B2403">
        <w:rPr>
          <w:rFonts w:ascii="Calibri" w:hAnsi="Calibri"/>
        </w:rPr>
        <w:t xml:space="preserve"> </w:t>
      </w:r>
      <w:r>
        <w:rPr>
          <w:rFonts w:ascii="Calibri" w:hAnsi="Calibri"/>
        </w:rPr>
        <w:t xml:space="preserve">The Special Master has ruled in the Government’s favor on a number of the test cases.  However, the pending cases are not bound </w:t>
      </w:r>
      <w:r w:rsidR="008B2403">
        <w:rPr>
          <w:rFonts w:ascii="Calibri" w:hAnsi="Calibri"/>
        </w:rPr>
        <w:t>by these rulings</w:t>
      </w:r>
      <w:r>
        <w:rPr>
          <w:rFonts w:ascii="Calibri" w:hAnsi="Calibri"/>
        </w:rPr>
        <w:t>.  Additionally, attorneys’ fees and costs will be available in a l</w:t>
      </w:r>
      <w:r w:rsidR="008B2403">
        <w:rPr>
          <w:rFonts w:ascii="Calibri" w:hAnsi="Calibri"/>
        </w:rPr>
        <w:t>arge percentage of the</w:t>
      </w:r>
      <w:r w:rsidR="007E5606">
        <w:rPr>
          <w:rFonts w:ascii="Calibri" w:hAnsi="Calibri"/>
        </w:rPr>
        <w:t xml:space="preserve"> cases </w:t>
      </w:r>
      <w:r>
        <w:rPr>
          <w:rFonts w:ascii="Calibri" w:hAnsi="Calibri"/>
        </w:rPr>
        <w:t xml:space="preserve">and will need to be determined in each case.  </w:t>
      </w:r>
    </w:p>
    <w:p w:rsidR="007E5606" w:rsidRPr="007E5606" w:rsidRDefault="007E5606" w:rsidP="0034335E">
      <w:pPr>
        <w:jc w:val="both"/>
        <w:rPr>
          <w:rFonts w:ascii="Calibri" w:hAnsi="Calibri"/>
          <w:b/>
          <w:bCs/>
          <w:color w:val="632423"/>
          <w:sz w:val="20"/>
          <w:szCs w:val="20"/>
        </w:rPr>
      </w:pPr>
    </w:p>
    <w:p w:rsidR="0034335E" w:rsidRDefault="0034335E" w:rsidP="0034335E">
      <w:pPr>
        <w:jc w:val="both"/>
        <w:rPr>
          <w:rFonts w:ascii="Calibri" w:hAnsi="Calibri"/>
          <w:b/>
          <w:bCs/>
          <w:color w:val="632423"/>
          <w:sz w:val="28"/>
          <w:szCs w:val="28"/>
        </w:rPr>
      </w:pPr>
      <w:r>
        <w:rPr>
          <w:rFonts w:ascii="Calibri" w:hAnsi="Calibri"/>
          <w:b/>
          <w:bCs/>
          <w:color w:val="632423"/>
          <w:sz w:val="28"/>
          <w:szCs w:val="28"/>
        </w:rPr>
        <w:t>Radiation Exposure Compensation Act</w:t>
      </w:r>
    </w:p>
    <w:p w:rsidR="0034335E" w:rsidRDefault="0034335E" w:rsidP="0034335E">
      <w:pPr>
        <w:jc w:val="both"/>
        <w:rPr>
          <w:rFonts w:ascii="Calibri" w:hAnsi="Calibri"/>
          <w:color w:val="006666"/>
          <w:sz w:val="20"/>
          <w:szCs w:val="20"/>
        </w:rPr>
      </w:pPr>
    </w:p>
    <w:p w:rsidR="0034335E" w:rsidRDefault="0034335E" w:rsidP="0034335E">
      <w:pPr>
        <w:jc w:val="both"/>
        <w:rPr>
          <w:rFonts w:ascii="Calibri" w:hAnsi="Calibri"/>
        </w:rPr>
      </w:pPr>
      <w:r>
        <w:rPr>
          <w:rFonts w:ascii="Calibri" w:hAnsi="Calibri"/>
        </w:rPr>
        <w:t>In passing the Radiation Exposure Compensation Act (RECA or the Act) in 1990, Congress offered an apology and monetary compensation to individuals who suffered disease or death as a result of exposure to radiation released during atmospheric nuclear weapons testing in the 1950s and 1960s, and underground uranium mining operation</w:t>
      </w:r>
      <w:r w:rsidR="005933AD">
        <w:rPr>
          <w:rFonts w:ascii="Calibri" w:hAnsi="Calibri"/>
        </w:rPr>
        <w:t>s from the 1940s to the 1970s.</w:t>
      </w:r>
      <w:r w:rsidR="008B2403">
        <w:rPr>
          <w:rFonts w:ascii="Calibri" w:hAnsi="Calibri"/>
        </w:rPr>
        <w:t xml:space="preserve">  </w:t>
      </w:r>
      <w:r>
        <w:rPr>
          <w:rFonts w:ascii="Calibri" w:hAnsi="Calibri"/>
        </w:rPr>
        <w:t>The RECA Program was designed as an alternative to litigation in that the statutory criteria do not require claima</w:t>
      </w:r>
      <w:r w:rsidR="005933AD">
        <w:rPr>
          <w:rFonts w:ascii="Calibri" w:hAnsi="Calibri"/>
        </w:rPr>
        <w:t>nts to establish causation.</w:t>
      </w:r>
      <w:r>
        <w:rPr>
          <w:rFonts w:ascii="Calibri" w:hAnsi="Calibri"/>
        </w:rPr>
        <w:t xml:space="preserve"> </w:t>
      </w:r>
      <w:r w:rsidR="008B2403">
        <w:rPr>
          <w:rFonts w:ascii="Calibri" w:hAnsi="Calibri"/>
        </w:rPr>
        <w:t xml:space="preserve"> </w:t>
      </w:r>
      <w:r>
        <w:rPr>
          <w:rFonts w:ascii="Calibri" w:hAnsi="Calibri"/>
        </w:rPr>
        <w:t>If claimants meet the criteria specified in the Act, compensation is awarded.  RECA provides fixed payments in the following amounts:  $50,000 for individuals who lived “downwind” of the Nevada test site; $75,000 for individuals present at test site locations; and $100,000 for uranium miners, mill workers, and ore transporters.</w:t>
      </w:r>
    </w:p>
    <w:p w:rsidR="00A37135" w:rsidRPr="00A37135" w:rsidRDefault="00A37135" w:rsidP="0034335E">
      <w:pPr>
        <w:jc w:val="both"/>
        <w:rPr>
          <w:rFonts w:ascii="Calibri" w:hAnsi="Calibri"/>
          <w:sz w:val="20"/>
          <w:szCs w:val="20"/>
        </w:rPr>
      </w:pPr>
    </w:p>
    <w:p w:rsidR="0034335E" w:rsidRPr="005A3C10" w:rsidRDefault="008B2403" w:rsidP="0034335E">
      <w:pPr>
        <w:jc w:val="both"/>
        <w:rPr>
          <w:rFonts w:ascii="Calibri" w:hAnsi="Calibri"/>
          <w:sz w:val="20"/>
          <w:szCs w:val="20"/>
        </w:rPr>
      </w:pPr>
      <w:r>
        <w:rPr>
          <w:noProof/>
        </w:rPr>
        <w:lastRenderedPageBreak/>
        <w:drawing>
          <wp:anchor distT="0" distB="0" distL="114300" distR="114300" simplePos="0" relativeHeight="251684864" behindDoc="1" locked="0" layoutInCell="1" allowOverlap="1">
            <wp:simplePos x="0" y="0"/>
            <wp:positionH relativeFrom="column">
              <wp:posOffset>2752725</wp:posOffset>
            </wp:positionH>
            <wp:positionV relativeFrom="paragraph">
              <wp:posOffset>-3810</wp:posOffset>
            </wp:positionV>
            <wp:extent cx="3114675" cy="2019300"/>
            <wp:effectExtent l="19050" t="0" r="9525" b="0"/>
            <wp:wrapTight wrapText="bothSides">
              <wp:wrapPolygon edited="0">
                <wp:start x="-132" y="0"/>
                <wp:lineTo x="-132" y="21396"/>
                <wp:lineTo x="21666" y="21396"/>
                <wp:lineTo x="21666" y="0"/>
                <wp:lineTo x="-132" y="0"/>
              </wp:wrapPolygon>
            </wp:wrapTight>
            <wp:docPr id="14" name="Picture 8" descr="This is a group photo of the RECA Outreach Program in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lum/>
                    </a:blip>
                    <a:srcRect/>
                    <a:stretch>
                      <a:fillRect/>
                    </a:stretch>
                  </pic:blipFill>
                  <pic:spPr bwMode="auto">
                    <a:xfrm>
                      <a:off x="0" y="0"/>
                      <a:ext cx="3114675" cy="2019300"/>
                    </a:xfrm>
                    <a:prstGeom prst="rect">
                      <a:avLst/>
                    </a:prstGeom>
                    <a:noFill/>
                    <a:ln w="9525">
                      <a:noFill/>
                      <a:miter lim="800000"/>
                      <a:headEnd/>
                      <a:tailEnd/>
                    </a:ln>
                  </pic:spPr>
                </pic:pic>
              </a:graphicData>
            </a:graphic>
          </wp:anchor>
        </w:drawing>
      </w:r>
      <w:r w:rsidR="00A974BD">
        <w:pict>
          <v:shape id="_x0000_s1039" type="#_x0000_t202" style="position:absolute;left:0;text-align:left;margin-left:217.5pt;margin-top:164.7pt;width:241.5pt;height:57.75pt;z-index:-251636736;mso-position-horizontal-relative:text;mso-position-vertical-relative:text" wrapcoords="-254 -1005 -254 22353 21854 22353 21854 -1005 -254 -1005" fillcolor="#d8d8d8 [2732]" strokecolor="#622423" strokeweight="6pt">
            <v:stroke linestyle="thickThin"/>
            <v:textbox style="mso-next-textbox:#_x0000_s1039">
              <w:txbxContent>
                <w:p w:rsidR="009B0EC2" w:rsidRPr="00A37135" w:rsidRDefault="009B0EC2" w:rsidP="00520137">
                  <w:pPr>
                    <w:jc w:val="both"/>
                    <w:rPr>
                      <w:rFonts w:asciiTheme="minorHAnsi" w:hAnsiTheme="minorHAnsi"/>
                      <w:b/>
                      <w:sz w:val="18"/>
                      <w:szCs w:val="18"/>
                    </w:rPr>
                  </w:pPr>
                  <w:r w:rsidRPr="00A37135">
                    <w:rPr>
                      <w:rFonts w:asciiTheme="minorHAnsi" w:hAnsiTheme="minorHAnsi"/>
                      <w:b/>
                      <w:sz w:val="18"/>
                      <w:szCs w:val="18"/>
                    </w:rPr>
                    <w:t xml:space="preserve">In the summer of 2010, the RECA Program instituted an outreach program to train college and graduate students from the Four Corners region.  Students are now providing on-site claims assistance to potential filers.  </w:t>
                  </w:r>
                </w:p>
                <w:p w:rsidR="009B0EC2" w:rsidRPr="00A37135" w:rsidRDefault="009B0EC2" w:rsidP="00520137">
                  <w:pPr>
                    <w:jc w:val="both"/>
                    <w:rPr>
                      <w:rFonts w:asciiTheme="minorHAnsi" w:hAnsiTheme="minorHAnsi"/>
                      <w:b/>
                      <w:bCs/>
                      <w:sz w:val="18"/>
                      <w:szCs w:val="18"/>
                    </w:rPr>
                  </w:pPr>
                </w:p>
              </w:txbxContent>
            </v:textbox>
            <w10:wrap type="tight"/>
          </v:shape>
        </w:pict>
      </w:r>
      <w:r w:rsidR="0034335E">
        <w:rPr>
          <w:rFonts w:ascii="Calibri" w:hAnsi="Calibri"/>
        </w:rPr>
        <w:t>Since the Program began receiving claims in 1992, 33,107 claims have been filed and over $1.5 billion has been awarded to 23,408 claimants (as of Janua</w:t>
      </w:r>
      <w:r w:rsidR="005933AD">
        <w:rPr>
          <w:rFonts w:ascii="Calibri" w:hAnsi="Calibri"/>
        </w:rPr>
        <w:t>ry 1, 2011). </w:t>
      </w:r>
      <w:r>
        <w:rPr>
          <w:rFonts w:ascii="Calibri" w:hAnsi="Calibri"/>
        </w:rPr>
        <w:t xml:space="preserve"> </w:t>
      </w:r>
      <w:r w:rsidR="0034335E">
        <w:rPr>
          <w:rFonts w:ascii="Calibri" w:hAnsi="Calibri"/>
        </w:rPr>
        <w:t>The vast majority of claims are filed by people who live in the Four Corners region – Utah, Colo</w:t>
      </w:r>
      <w:r w:rsidR="005933AD">
        <w:rPr>
          <w:rFonts w:ascii="Calibri" w:hAnsi="Calibri"/>
        </w:rPr>
        <w:t>rado, New Mexico, and Arizona.</w:t>
      </w:r>
      <w:r>
        <w:rPr>
          <w:rFonts w:ascii="Calibri" w:hAnsi="Calibri"/>
        </w:rPr>
        <w:t xml:space="preserve"> </w:t>
      </w:r>
      <w:r w:rsidR="005933AD">
        <w:rPr>
          <w:rFonts w:ascii="Calibri" w:hAnsi="Calibri"/>
        </w:rPr>
        <w:t> </w:t>
      </w:r>
      <w:r w:rsidR="0034335E">
        <w:rPr>
          <w:rFonts w:ascii="Calibri" w:hAnsi="Calibri"/>
        </w:rPr>
        <w:t>This area had the greatest concentration of uranium ore, and both the mining and production industries were center</w:t>
      </w:r>
      <w:r w:rsidR="005933AD">
        <w:rPr>
          <w:rFonts w:ascii="Calibri" w:hAnsi="Calibri"/>
        </w:rPr>
        <w:t>ed there. </w:t>
      </w:r>
      <w:r w:rsidR="0034335E">
        <w:rPr>
          <w:rFonts w:ascii="Calibri" w:hAnsi="Calibri"/>
        </w:rPr>
        <w:t xml:space="preserve">The “downwind” regions, counties in Nevada, Utah, and Arizona, account for thousands of claims in connection with the fallout from above-ground nuclear weapons testing.  </w:t>
      </w:r>
    </w:p>
    <w:p w:rsidR="0034335E" w:rsidRDefault="0034335E" w:rsidP="0034335E">
      <w:pPr>
        <w:jc w:val="both"/>
        <w:rPr>
          <w:rFonts w:ascii="Calibri" w:hAnsi="Calibri"/>
          <w:sz w:val="20"/>
          <w:szCs w:val="20"/>
        </w:rPr>
      </w:pPr>
    </w:p>
    <w:p w:rsidR="00FD50B4" w:rsidRDefault="0034335E" w:rsidP="00520137">
      <w:pPr>
        <w:jc w:val="both"/>
        <w:rPr>
          <w:rFonts w:ascii="Calibri" w:hAnsi="Calibri"/>
        </w:rPr>
      </w:pPr>
      <w:r>
        <w:rPr>
          <w:rFonts w:ascii="Calibri" w:hAnsi="Calibri"/>
        </w:rPr>
        <w:t>In July 2000, RECA Amendments extended compensation to new categories of beneficiaries, added compensable diseases, expanded both the years and geographic areas covered, and lowered the exposure level that miners must demons</w:t>
      </w:r>
      <w:r w:rsidR="005933AD">
        <w:rPr>
          <w:rFonts w:ascii="Calibri" w:hAnsi="Calibri"/>
        </w:rPr>
        <w:t>trate to receive compensation. </w:t>
      </w:r>
      <w:r w:rsidR="008B2403">
        <w:rPr>
          <w:rFonts w:ascii="Calibri" w:hAnsi="Calibri"/>
        </w:rPr>
        <w:t xml:space="preserve"> </w:t>
      </w:r>
      <w:r>
        <w:rPr>
          <w:rFonts w:ascii="Calibri" w:hAnsi="Calibri"/>
        </w:rPr>
        <w:t>These statutory changes caused an influx of new claim filings and a subst</w:t>
      </w:r>
      <w:r w:rsidR="005933AD">
        <w:rPr>
          <w:rFonts w:ascii="Calibri" w:hAnsi="Calibri"/>
        </w:rPr>
        <w:t>antial increase in awards. </w:t>
      </w:r>
      <w:r w:rsidR="008B2403">
        <w:rPr>
          <w:rFonts w:ascii="Calibri" w:hAnsi="Calibri"/>
        </w:rPr>
        <w:t xml:space="preserve"> </w:t>
      </w:r>
      <w:r>
        <w:rPr>
          <w:rFonts w:ascii="Calibri" w:hAnsi="Calibri"/>
        </w:rPr>
        <w:t>Over the past decade, receipts have decreased and are now averaging approximately 2,000 claims a year.</w:t>
      </w:r>
    </w:p>
    <w:p w:rsidR="00B85BB1" w:rsidRPr="0095548D" w:rsidRDefault="00B85BB1" w:rsidP="00520137">
      <w:pPr>
        <w:jc w:val="both"/>
        <w:rPr>
          <w:rFonts w:ascii="Calibri" w:hAnsi="Calibri"/>
          <w:b/>
          <w:color w:val="632423"/>
          <w:sz w:val="20"/>
          <w:szCs w:val="20"/>
          <w:lang w:val="en-CA"/>
        </w:rPr>
      </w:pPr>
    </w:p>
    <w:p w:rsidR="00520137" w:rsidRPr="00EA7D5E" w:rsidRDefault="00520137" w:rsidP="00520137">
      <w:pPr>
        <w:jc w:val="both"/>
        <w:rPr>
          <w:rFonts w:ascii="Calibri" w:hAnsi="Calibri"/>
          <w:b/>
          <w:color w:val="632423"/>
          <w:sz w:val="36"/>
          <w:szCs w:val="36"/>
          <w:lang w:val="en-CA"/>
        </w:rPr>
      </w:pPr>
      <w:r w:rsidRPr="00EA7D5E">
        <w:rPr>
          <w:rFonts w:ascii="Calibri" w:hAnsi="Calibri"/>
          <w:b/>
          <w:color w:val="632423"/>
          <w:sz w:val="36"/>
          <w:szCs w:val="36"/>
          <w:lang w:val="en-CA"/>
        </w:rPr>
        <w:t>OFFICE OF MANAGEMENT PROGRAMS</w:t>
      </w:r>
    </w:p>
    <w:p w:rsidR="00520137" w:rsidRPr="007214FD" w:rsidRDefault="00A974BD" w:rsidP="00520137">
      <w:pPr>
        <w:jc w:val="both"/>
        <w:rPr>
          <w:rFonts w:ascii="Calibri" w:hAnsi="Calibri"/>
        </w:rPr>
      </w:pPr>
      <w:r>
        <w:rPr>
          <w:rFonts w:ascii="Calibri" w:hAnsi="Calibri"/>
          <w:noProof/>
        </w:rPr>
        <w:pict>
          <v:shape id="_x0000_s1032" type="#_x0000_t32" style="position:absolute;left:0;text-align:left;margin-left:1.5pt;margin-top:.15pt;width:464.25pt;height:0;z-index:251668480" o:connectortype="straight" strokecolor="#622423" strokeweight="3pt"/>
        </w:pict>
      </w:r>
    </w:p>
    <w:p w:rsidR="00520137" w:rsidRPr="007214FD" w:rsidRDefault="00520137" w:rsidP="00520137">
      <w:pPr>
        <w:jc w:val="both"/>
        <w:rPr>
          <w:rFonts w:ascii="Calibri" w:hAnsi="Calibri"/>
        </w:rPr>
      </w:pPr>
      <w:r w:rsidRPr="007214FD">
        <w:rPr>
          <w:rFonts w:ascii="Calibri" w:hAnsi="Calibri"/>
        </w:rPr>
        <w:t>The workload of the Civil Division is as broad and diverse as the activities of the 200-plus F</w:t>
      </w:r>
      <w:r w:rsidR="005933AD">
        <w:rPr>
          <w:rFonts w:ascii="Calibri" w:hAnsi="Calibri"/>
        </w:rPr>
        <w:t>ederal agencies i</w:t>
      </w:r>
      <w:r w:rsidR="00FF36E0">
        <w:rPr>
          <w:rFonts w:ascii="Calibri" w:hAnsi="Calibri"/>
        </w:rPr>
        <w:t xml:space="preserve">t represents.  </w:t>
      </w:r>
      <w:r w:rsidRPr="007214FD">
        <w:rPr>
          <w:rFonts w:ascii="Calibri" w:hAnsi="Calibri"/>
        </w:rPr>
        <w:t>In addition to its role in defending and enforcing the laws, policies, and programs of the United States, the Divi</w:t>
      </w:r>
      <w:r w:rsidR="005933AD">
        <w:rPr>
          <w:rFonts w:ascii="Calibri" w:hAnsi="Calibri"/>
        </w:rPr>
        <w:t xml:space="preserve">sion protects the public fisc. </w:t>
      </w:r>
      <w:r w:rsidR="00FF36E0">
        <w:rPr>
          <w:rFonts w:ascii="Calibri" w:hAnsi="Calibri"/>
        </w:rPr>
        <w:t xml:space="preserve"> </w:t>
      </w:r>
      <w:r w:rsidRPr="007214FD">
        <w:rPr>
          <w:rFonts w:ascii="Calibri" w:hAnsi="Calibri"/>
        </w:rPr>
        <w:t>Key to ensuring the Division’s continued success in these matters is responsive management capable of providing executive leadership and promoting performa</w:t>
      </w:r>
      <w:r w:rsidR="005933AD">
        <w:rPr>
          <w:rFonts w:ascii="Calibri" w:hAnsi="Calibri"/>
        </w:rPr>
        <w:t xml:space="preserve">nce and fiscal responsibility. </w:t>
      </w:r>
      <w:r w:rsidR="00FF36E0">
        <w:rPr>
          <w:rFonts w:ascii="Calibri" w:hAnsi="Calibri"/>
        </w:rPr>
        <w:t xml:space="preserve"> </w:t>
      </w:r>
      <w:r w:rsidRPr="007214FD">
        <w:rPr>
          <w:rFonts w:ascii="Calibri" w:hAnsi="Calibri"/>
        </w:rPr>
        <w:t>The Office of Management Progr</w:t>
      </w:r>
      <w:r w:rsidR="005933AD">
        <w:rPr>
          <w:rFonts w:ascii="Calibri" w:hAnsi="Calibri"/>
        </w:rPr>
        <w:t xml:space="preserve">ams (OMP) serves this purpose. </w:t>
      </w:r>
      <w:r w:rsidR="00FF36E0">
        <w:rPr>
          <w:rFonts w:ascii="Calibri" w:hAnsi="Calibri"/>
        </w:rPr>
        <w:t xml:space="preserve"> </w:t>
      </w:r>
      <w:r w:rsidRPr="007214FD">
        <w:rPr>
          <w:rFonts w:ascii="Calibri" w:hAnsi="Calibri"/>
        </w:rPr>
        <w:t>OMP is comprised of five administrative offices: the Office of Planning, Budget, and Evaluation; the Office of Policy and Management Operations; the Office of Administration;</w:t>
      </w:r>
      <w:r>
        <w:rPr>
          <w:rFonts w:ascii="Calibri" w:hAnsi="Calibri"/>
        </w:rPr>
        <w:t xml:space="preserve"> </w:t>
      </w:r>
      <w:r w:rsidRPr="007214FD">
        <w:rPr>
          <w:rFonts w:ascii="Calibri" w:hAnsi="Calibri"/>
        </w:rPr>
        <w:t>the Office of Management Information</w:t>
      </w:r>
      <w:r>
        <w:rPr>
          <w:rFonts w:ascii="Calibri" w:hAnsi="Calibri"/>
        </w:rPr>
        <w:t>, and the Office of Litigation Support</w:t>
      </w:r>
      <w:r w:rsidRPr="007214FD">
        <w:rPr>
          <w:rFonts w:ascii="Calibri" w:hAnsi="Calibri"/>
        </w:rPr>
        <w:t>.</w:t>
      </w:r>
    </w:p>
    <w:p w:rsidR="00520137" w:rsidRPr="007214FD" w:rsidRDefault="00520137" w:rsidP="00520137">
      <w:pPr>
        <w:jc w:val="both"/>
        <w:rPr>
          <w:rFonts w:ascii="Calibri" w:hAnsi="Calibri"/>
        </w:rPr>
        <w:sectPr w:rsidR="00520137" w:rsidRPr="007214FD" w:rsidSect="00BB214A">
          <w:footerReference w:type="default" r:id="rId31"/>
          <w:pgSz w:w="12240" w:h="15840"/>
          <w:pgMar w:top="1296" w:right="1440" w:bottom="1296" w:left="1440" w:header="720" w:footer="720" w:gutter="0"/>
          <w:pgNumType w:start="1"/>
          <w:cols w:space="720"/>
          <w:docGrid w:linePitch="360"/>
        </w:sectPr>
      </w:pPr>
    </w:p>
    <w:tbl>
      <w:tblPr>
        <w:tblpPr w:leftFromText="180" w:rightFromText="180" w:vertAnchor="text" w:horzAnchor="margin" w:tblpXSpec="center" w:tblpY="-556"/>
        <w:tblW w:w="146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29"/>
        <w:gridCol w:w="159"/>
        <w:gridCol w:w="2753"/>
        <w:gridCol w:w="24"/>
        <w:gridCol w:w="672"/>
        <w:gridCol w:w="1200"/>
        <w:gridCol w:w="804"/>
        <w:gridCol w:w="1260"/>
        <w:gridCol w:w="766"/>
        <w:gridCol w:w="1214"/>
        <w:gridCol w:w="46"/>
        <w:gridCol w:w="648"/>
        <w:gridCol w:w="1437"/>
        <w:gridCol w:w="15"/>
        <w:gridCol w:w="778"/>
        <w:gridCol w:w="1883"/>
      </w:tblGrid>
      <w:tr w:rsidR="00520137" w:rsidRPr="007214FD" w:rsidTr="00BB214A">
        <w:trPr>
          <w:trHeight w:val="330"/>
        </w:trPr>
        <w:tc>
          <w:tcPr>
            <w:tcW w:w="14688" w:type="dxa"/>
            <w:gridSpan w:val="16"/>
            <w:tcBorders>
              <w:top w:val="double" w:sz="4" w:space="0" w:color="auto"/>
              <w:bottom w:val="single" w:sz="4" w:space="0" w:color="auto"/>
            </w:tcBorders>
            <w:shd w:val="clear" w:color="auto" w:fill="632423"/>
            <w:vAlign w:val="center"/>
          </w:tcPr>
          <w:p w:rsidR="00520137" w:rsidRPr="007214FD" w:rsidRDefault="00B408CF" w:rsidP="00BB214A">
            <w:pPr>
              <w:jc w:val="center"/>
              <w:rPr>
                <w:rFonts w:ascii="Calibri" w:hAnsi="Calibri"/>
                <w:b/>
                <w:color w:val="FFFFFF"/>
                <w:sz w:val="20"/>
                <w:szCs w:val="20"/>
              </w:rPr>
            </w:pPr>
            <w:r w:rsidRPr="007214FD">
              <w:rPr>
                <w:rFonts w:ascii="Calibri" w:hAnsi="Calibri"/>
                <w:b/>
                <w:color w:val="FFFFFF"/>
                <w:sz w:val="20"/>
                <w:szCs w:val="20"/>
                <w:lang w:val="en-CA"/>
              </w:rPr>
              <w:lastRenderedPageBreak/>
              <w:fldChar w:fldCharType="begin"/>
            </w:r>
            <w:r w:rsidR="00520137" w:rsidRPr="007214FD">
              <w:rPr>
                <w:rFonts w:ascii="Calibri" w:hAnsi="Calibri"/>
                <w:b/>
                <w:color w:val="FFFFFF"/>
                <w:sz w:val="20"/>
                <w:szCs w:val="20"/>
                <w:lang w:val="en-CA"/>
              </w:rPr>
              <w:instrText xml:space="preserve"> SEQ CHAPTER \h \r 1</w:instrText>
            </w:r>
            <w:r w:rsidRPr="007214FD">
              <w:rPr>
                <w:rFonts w:ascii="Calibri" w:hAnsi="Calibri"/>
                <w:b/>
                <w:color w:val="FFFFFF"/>
                <w:sz w:val="20"/>
                <w:szCs w:val="20"/>
                <w:lang w:val="en-CA"/>
              </w:rPr>
              <w:fldChar w:fldCharType="end"/>
            </w:r>
            <w:r w:rsidR="00520137" w:rsidRPr="007214FD">
              <w:rPr>
                <w:rFonts w:ascii="Calibri" w:hAnsi="Calibri"/>
                <w:b/>
                <w:color w:val="FFFFFF"/>
                <w:sz w:val="20"/>
                <w:szCs w:val="20"/>
                <w:lang w:val="en-CA"/>
              </w:rPr>
              <w:t>PE</w:t>
            </w:r>
            <w:r w:rsidR="00520137" w:rsidRPr="007214FD">
              <w:rPr>
                <w:rFonts w:ascii="Calibri" w:hAnsi="Calibri"/>
                <w:b/>
                <w:bCs/>
                <w:color w:val="FFFFFF"/>
                <w:sz w:val="20"/>
                <w:szCs w:val="20"/>
              </w:rPr>
              <w:t>RFORMANCE AND RESOURCES  TABLE</w:t>
            </w:r>
          </w:p>
        </w:tc>
      </w:tr>
      <w:tr w:rsidR="00520137" w:rsidRPr="007214FD" w:rsidTr="00BB214A">
        <w:trPr>
          <w:trHeight w:val="359"/>
        </w:trPr>
        <w:tc>
          <w:tcPr>
            <w:tcW w:w="14688" w:type="dxa"/>
            <w:gridSpan w:val="16"/>
            <w:tcBorders>
              <w:top w:val="single" w:sz="4" w:space="0" w:color="auto"/>
              <w:bottom w:val="single" w:sz="4" w:space="0" w:color="auto"/>
            </w:tcBorders>
            <w:shd w:val="clear" w:color="auto" w:fill="auto"/>
            <w:vAlign w:val="center"/>
          </w:tcPr>
          <w:p w:rsidR="00520137" w:rsidRPr="007214FD" w:rsidRDefault="00B408CF" w:rsidP="00BB214A">
            <w:pPr>
              <w:jc w:val="both"/>
              <w:rPr>
                <w:rFonts w:ascii="Calibri" w:hAnsi="Calibri"/>
                <w:b/>
                <w:sz w:val="18"/>
                <w:szCs w:val="18"/>
              </w:rPr>
            </w:pPr>
            <w:r w:rsidRPr="007214FD">
              <w:rPr>
                <w:rFonts w:ascii="Calibri" w:hAnsi="Calibri"/>
                <w:b/>
                <w:sz w:val="18"/>
                <w:szCs w:val="18"/>
                <w:lang w:val="en-CA"/>
              </w:rPr>
              <w:fldChar w:fldCharType="begin"/>
            </w:r>
            <w:r w:rsidR="00520137" w:rsidRPr="007214FD">
              <w:rPr>
                <w:rFonts w:ascii="Calibri" w:hAnsi="Calibri"/>
                <w:b/>
                <w:sz w:val="18"/>
                <w:szCs w:val="18"/>
                <w:lang w:val="en-CA"/>
              </w:rPr>
              <w:instrText xml:space="preserve"> SEQ CHAPTER \h \r 1</w:instrText>
            </w:r>
            <w:r w:rsidRPr="007214FD">
              <w:rPr>
                <w:rFonts w:ascii="Calibri" w:hAnsi="Calibri"/>
                <w:b/>
                <w:sz w:val="18"/>
                <w:szCs w:val="18"/>
                <w:lang w:val="en-CA"/>
              </w:rPr>
              <w:fldChar w:fldCharType="end"/>
            </w:r>
            <w:r w:rsidR="00520137" w:rsidRPr="007214FD">
              <w:rPr>
                <w:rFonts w:ascii="Calibri" w:hAnsi="Calibri"/>
                <w:b/>
                <w:sz w:val="18"/>
                <w:szCs w:val="18"/>
              </w:rPr>
              <w:t>Decision Unit:  Department of Justice – Civil Division – Legal Representation</w:t>
            </w:r>
            <w:r w:rsidRPr="007214FD">
              <w:rPr>
                <w:rFonts w:ascii="Calibri" w:hAnsi="Calibri"/>
                <w:b/>
                <w:sz w:val="18"/>
                <w:szCs w:val="18"/>
                <w:lang w:val="en-CA"/>
              </w:rPr>
              <w:fldChar w:fldCharType="begin"/>
            </w:r>
            <w:r w:rsidR="00520137" w:rsidRPr="007214FD">
              <w:rPr>
                <w:rFonts w:ascii="Calibri" w:hAnsi="Calibri"/>
                <w:b/>
                <w:sz w:val="18"/>
                <w:szCs w:val="18"/>
                <w:lang w:val="en-CA"/>
              </w:rPr>
              <w:instrText xml:space="preserve"> SEQ CHAPTER \h \r 1</w:instrText>
            </w:r>
            <w:r w:rsidRPr="007214FD">
              <w:rPr>
                <w:rFonts w:ascii="Calibri" w:hAnsi="Calibri"/>
                <w:b/>
                <w:sz w:val="18"/>
                <w:szCs w:val="18"/>
                <w:lang w:val="en-CA"/>
              </w:rPr>
              <w:fldChar w:fldCharType="end"/>
            </w:r>
            <w:r w:rsidRPr="007214FD">
              <w:rPr>
                <w:rFonts w:ascii="Calibri" w:hAnsi="Calibri"/>
                <w:b/>
                <w:sz w:val="18"/>
                <w:szCs w:val="18"/>
                <w:lang w:val="en-CA"/>
              </w:rPr>
              <w:fldChar w:fldCharType="begin"/>
            </w:r>
            <w:r w:rsidR="00520137" w:rsidRPr="007214FD">
              <w:rPr>
                <w:rFonts w:ascii="Calibri" w:hAnsi="Calibri"/>
                <w:b/>
                <w:sz w:val="18"/>
                <w:szCs w:val="18"/>
                <w:lang w:val="en-CA"/>
              </w:rPr>
              <w:instrText xml:space="preserve"> SEQ CHAPTER \h \r 1</w:instrText>
            </w:r>
            <w:r w:rsidRPr="007214FD">
              <w:rPr>
                <w:rFonts w:ascii="Calibri" w:hAnsi="Calibri"/>
                <w:b/>
                <w:sz w:val="18"/>
                <w:szCs w:val="18"/>
                <w:lang w:val="en-CA"/>
              </w:rPr>
              <w:fldChar w:fldCharType="end"/>
            </w:r>
          </w:p>
        </w:tc>
      </w:tr>
      <w:tr w:rsidR="00520137" w:rsidRPr="007214FD" w:rsidTr="00BB214A">
        <w:trPr>
          <w:trHeight w:val="512"/>
        </w:trPr>
        <w:tc>
          <w:tcPr>
            <w:tcW w:w="14688" w:type="dxa"/>
            <w:gridSpan w:val="16"/>
            <w:tcBorders>
              <w:top w:val="single" w:sz="4" w:space="0" w:color="auto"/>
              <w:bottom w:val="single" w:sz="4" w:space="0" w:color="auto"/>
            </w:tcBorders>
            <w:shd w:val="clear" w:color="auto" w:fill="auto"/>
            <w:vAlign w:val="center"/>
          </w:tcPr>
          <w:p w:rsidR="00520137" w:rsidRPr="00632D42" w:rsidRDefault="00520137" w:rsidP="00BB214A">
            <w:pPr>
              <w:jc w:val="both"/>
              <w:rPr>
                <w:rFonts w:ascii="Calibri" w:hAnsi="Calibri"/>
                <w:b/>
                <w:bCs/>
                <w:color w:val="632423"/>
                <w:sz w:val="18"/>
                <w:szCs w:val="18"/>
              </w:rPr>
            </w:pPr>
            <w:r w:rsidRPr="00632D42">
              <w:rPr>
                <w:rFonts w:ascii="Calibri" w:hAnsi="Calibri"/>
                <w:b/>
                <w:bCs/>
                <w:color w:val="632423"/>
                <w:sz w:val="18"/>
                <w:szCs w:val="18"/>
              </w:rPr>
              <w:t>DOJ Strategic Goal II:  Prevent Crime, Enforce Federal Laws, and Represent the Rights and Interests of the American People.</w:t>
            </w:r>
          </w:p>
          <w:p w:rsidR="00520137" w:rsidRPr="00632D42" w:rsidRDefault="00520137" w:rsidP="00BB214A">
            <w:pPr>
              <w:jc w:val="both"/>
              <w:rPr>
                <w:rFonts w:ascii="Calibri" w:hAnsi="Calibri"/>
                <w:b/>
                <w:bCs/>
                <w:color w:val="632423"/>
                <w:sz w:val="12"/>
                <w:szCs w:val="12"/>
              </w:rPr>
            </w:pPr>
          </w:p>
          <w:p w:rsidR="00520137" w:rsidRPr="007214FD" w:rsidRDefault="00B408CF" w:rsidP="00BB214A">
            <w:pPr>
              <w:jc w:val="both"/>
              <w:rPr>
                <w:rFonts w:ascii="Calibri" w:hAnsi="Calibri"/>
                <w:sz w:val="18"/>
                <w:szCs w:val="18"/>
              </w:rPr>
            </w:pPr>
            <w:r w:rsidRPr="00632D42">
              <w:rPr>
                <w:rFonts w:ascii="Calibri" w:hAnsi="Calibri"/>
                <w:color w:val="632423"/>
                <w:sz w:val="18"/>
                <w:szCs w:val="18"/>
                <w:lang w:val="en-CA"/>
              </w:rPr>
              <w:fldChar w:fldCharType="begin"/>
            </w:r>
            <w:r w:rsidR="00520137" w:rsidRPr="00632D42">
              <w:rPr>
                <w:rFonts w:ascii="Calibri" w:hAnsi="Calibri"/>
                <w:color w:val="632423"/>
                <w:sz w:val="18"/>
                <w:szCs w:val="18"/>
                <w:lang w:val="en-CA"/>
              </w:rPr>
              <w:instrText xml:space="preserve"> SEQ CHAPTER \h \r 1</w:instrText>
            </w:r>
            <w:r w:rsidRPr="00632D42">
              <w:rPr>
                <w:rFonts w:ascii="Calibri" w:hAnsi="Calibri"/>
                <w:color w:val="632423"/>
                <w:sz w:val="18"/>
                <w:szCs w:val="18"/>
                <w:lang w:val="en-CA"/>
              </w:rPr>
              <w:fldChar w:fldCharType="end"/>
            </w:r>
            <w:r w:rsidR="00520137" w:rsidRPr="00632D42">
              <w:rPr>
                <w:rFonts w:ascii="Calibri" w:hAnsi="Calibri"/>
                <w:b/>
                <w:bCs/>
                <w:color w:val="632423"/>
                <w:sz w:val="18"/>
                <w:szCs w:val="18"/>
              </w:rPr>
              <w:t>Objective 2.7:</w:t>
            </w:r>
            <w:r w:rsidR="00520137" w:rsidRPr="00632D42">
              <w:rPr>
                <w:rFonts w:ascii="Calibri" w:hAnsi="Calibri"/>
                <w:color w:val="632423"/>
                <w:sz w:val="18"/>
                <w:szCs w:val="18"/>
              </w:rPr>
              <w:t xml:space="preserve">  </w:t>
            </w:r>
            <w:r w:rsidR="00520137" w:rsidRPr="00632D42">
              <w:rPr>
                <w:rFonts w:ascii="Calibri" w:hAnsi="Calibri"/>
                <w:b/>
                <w:bCs/>
                <w:color w:val="632423"/>
                <w:sz w:val="18"/>
                <w:szCs w:val="18"/>
              </w:rPr>
              <w:t>Vigorously enforce and represent the interests of the United States in all matters over which the Department has jurisdiction.</w:t>
            </w:r>
          </w:p>
        </w:tc>
      </w:tr>
      <w:tr w:rsidR="00520137" w:rsidRPr="007214FD" w:rsidTr="00BB214A">
        <w:trPr>
          <w:trHeight w:val="348"/>
        </w:trPr>
        <w:tc>
          <w:tcPr>
            <w:tcW w:w="3941" w:type="dxa"/>
            <w:gridSpan w:val="3"/>
            <w:tcBorders>
              <w:top w:val="single" w:sz="4" w:space="0" w:color="auto"/>
              <w:bottom w:val="single" w:sz="4" w:space="0" w:color="auto"/>
            </w:tcBorders>
            <w:shd w:val="clear" w:color="auto" w:fill="auto"/>
            <w:vAlign w:val="center"/>
          </w:tcPr>
          <w:p w:rsidR="00520137" w:rsidRPr="007214FD" w:rsidRDefault="00B408CF" w:rsidP="00BB214A">
            <w:pPr>
              <w:jc w:val="both"/>
              <w:rPr>
                <w:rFonts w:ascii="Calibri" w:hAnsi="Calibri"/>
                <w:b/>
                <w:sz w:val="18"/>
                <w:szCs w:val="18"/>
              </w:rPr>
            </w:pPr>
            <w:r w:rsidRPr="007214FD">
              <w:rPr>
                <w:rFonts w:ascii="Calibri" w:hAnsi="Calibri"/>
                <w:b/>
                <w:sz w:val="18"/>
                <w:szCs w:val="18"/>
                <w:lang w:val="en-CA"/>
              </w:rPr>
              <w:fldChar w:fldCharType="begin"/>
            </w:r>
            <w:r w:rsidR="00520137" w:rsidRPr="007214FD">
              <w:rPr>
                <w:rFonts w:ascii="Calibri" w:hAnsi="Calibri"/>
                <w:b/>
                <w:sz w:val="18"/>
                <w:szCs w:val="18"/>
                <w:lang w:val="en-CA"/>
              </w:rPr>
              <w:instrText xml:space="preserve"> SEQ CHAPTER \h \r 1</w:instrText>
            </w:r>
            <w:r w:rsidRPr="007214FD">
              <w:rPr>
                <w:rFonts w:ascii="Calibri" w:hAnsi="Calibri"/>
                <w:b/>
                <w:sz w:val="18"/>
                <w:szCs w:val="18"/>
                <w:lang w:val="en-CA"/>
              </w:rPr>
              <w:fldChar w:fldCharType="end"/>
            </w:r>
            <w:r w:rsidR="00520137" w:rsidRPr="007214FD">
              <w:rPr>
                <w:rFonts w:ascii="Calibri" w:hAnsi="Calibri"/>
                <w:b/>
                <w:bCs/>
                <w:sz w:val="18"/>
                <w:szCs w:val="18"/>
              </w:rPr>
              <w:t>WORKLOAD/ RESOURCES</w:t>
            </w:r>
          </w:p>
        </w:tc>
        <w:tc>
          <w:tcPr>
            <w:tcW w:w="1896" w:type="dxa"/>
            <w:gridSpan w:val="3"/>
            <w:tcBorders>
              <w:top w:val="single" w:sz="4" w:space="0" w:color="auto"/>
              <w:bottom w:val="single" w:sz="4" w:space="0" w:color="auto"/>
            </w:tcBorders>
            <w:shd w:val="clear" w:color="auto" w:fill="auto"/>
            <w:vAlign w:val="center"/>
          </w:tcPr>
          <w:p w:rsidR="00520137" w:rsidRPr="007214FD" w:rsidRDefault="00520137" w:rsidP="00BB214A">
            <w:pPr>
              <w:jc w:val="center"/>
              <w:rPr>
                <w:rFonts w:ascii="Calibri" w:hAnsi="Calibri"/>
                <w:b/>
                <w:sz w:val="18"/>
                <w:szCs w:val="18"/>
              </w:rPr>
            </w:pPr>
            <w:r w:rsidRPr="007214FD">
              <w:rPr>
                <w:rFonts w:ascii="Calibri" w:hAnsi="Calibri"/>
                <w:b/>
                <w:sz w:val="18"/>
                <w:szCs w:val="18"/>
              </w:rPr>
              <w:t>Final Target</w:t>
            </w:r>
          </w:p>
        </w:tc>
        <w:tc>
          <w:tcPr>
            <w:tcW w:w="2064" w:type="dxa"/>
            <w:gridSpan w:val="2"/>
            <w:tcBorders>
              <w:top w:val="single" w:sz="4" w:space="0" w:color="auto"/>
              <w:bottom w:val="single" w:sz="4" w:space="0" w:color="auto"/>
            </w:tcBorders>
            <w:shd w:val="clear" w:color="auto" w:fill="auto"/>
            <w:vAlign w:val="center"/>
          </w:tcPr>
          <w:p w:rsidR="00520137" w:rsidRPr="007214FD" w:rsidRDefault="00520137" w:rsidP="00BB214A">
            <w:pPr>
              <w:jc w:val="center"/>
              <w:rPr>
                <w:rFonts w:ascii="Calibri" w:hAnsi="Calibri"/>
                <w:b/>
                <w:sz w:val="18"/>
                <w:szCs w:val="18"/>
              </w:rPr>
            </w:pPr>
            <w:r w:rsidRPr="007214FD">
              <w:rPr>
                <w:rFonts w:ascii="Calibri" w:hAnsi="Calibri"/>
                <w:b/>
                <w:sz w:val="18"/>
                <w:szCs w:val="18"/>
              </w:rPr>
              <w:t>Actual</w:t>
            </w:r>
          </w:p>
        </w:tc>
        <w:tc>
          <w:tcPr>
            <w:tcW w:w="2026" w:type="dxa"/>
            <w:gridSpan w:val="3"/>
            <w:tcBorders>
              <w:top w:val="single" w:sz="4" w:space="0" w:color="auto"/>
              <w:bottom w:val="single" w:sz="4" w:space="0" w:color="auto"/>
            </w:tcBorders>
            <w:shd w:val="clear" w:color="auto" w:fill="auto"/>
            <w:vAlign w:val="center"/>
          </w:tcPr>
          <w:p w:rsidR="00520137" w:rsidRPr="007214FD" w:rsidRDefault="00520137" w:rsidP="00BB214A">
            <w:pPr>
              <w:jc w:val="center"/>
              <w:rPr>
                <w:rFonts w:ascii="Calibri" w:hAnsi="Calibri"/>
                <w:b/>
                <w:sz w:val="18"/>
                <w:szCs w:val="18"/>
              </w:rPr>
            </w:pPr>
            <w:r w:rsidRPr="007214FD">
              <w:rPr>
                <w:rFonts w:ascii="Calibri" w:hAnsi="Calibri"/>
                <w:b/>
                <w:sz w:val="18"/>
                <w:szCs w:val="18"/>
              </w:rPr>
              <w:t>Projected</w:t>
            </w:r>
          </w:p>
        </w:tc>
        <w:tc>
          <w:tcPr>
            <w:tcW w:w="2085" w:type="dxa"/>
            <w:gridSpan w:val="2"/>
            <w:tcBorders>
              <w:top w:val="single" w:sz="4" w:space="0" w:color="auto"/>
              <w:bottom w:val="single" w:sz="4" w:space="0" w:color="auto"/>
            </w:tcBorders>
            <w:shd w:val="clear" w:color="auto" w:fill="auto"/>
            <w:vAlign w:val="center"/>
          </w:tcPr>
          <w:p w:rsidR="00520137" w:rsidRPr="007214FD" w:rsidRDefault="00520137" w:rsidP="00BB214A">
            <w:pPr>
              <w:jc w:val="center"/>
              <w:rPr>
                <w:rFonts w:ascii="Calibri" w:hAnsi="Calibri"/>
                <w:b/>
                <w:sz w:val="18"/>
                <w:szCs w:val="18"/>
              </w:rPr>
            </w:pPr>
            <w:r w:rsidRPr="007214FD">
              <w:rPr>
                <w:rFonts w:ascii="Calibri" w:hAnsi="Calibri"/>
                <w:b/>
                <w:sz w:val="18"/>
                <w:szCs w:val="18"/>
              </w:rPr>
              <w:t>Changes</w:t>
            </w:r>
          </w:p>
        </w:tc>
        <w:tc>
          <w:tcPr>
            <w:tcW w:w="2676" w:type="dxa"/>
            <w:gridSpan w:val="3"/>
            <w:tcBorders>
              <w:top w:val="single" w:sz="4" w:space="0" w:color="auto"/>
              <w:bottom w:val="single" w:sz="4" w:space="0" w:color="auto"/>
            </w:tcBorders>
            <w:shd w:val="clear" w:color="auto" w:fill="auto"/>
            <w:vAlign w:val="center"/>
          </w:tcPr>
          <w:p w:rsidR="00520137" w:rsidRPr="007214FD" w:rsidRDefault="00520137" w:rsidP="00BB214A">
            <w:pPr>
              <w:jc w:val="center"/>
              <w:rPr>
                <w:rFonts w:ascii="Calibri" w:hAnsi="Calibri"/>
                <w:b/>
                <w:sz w:val="18"/>
                <w:szCs w:val="18"/>
              </w:rPr>
            </w:pPr>
            <w:r w:rsidRPr="007214FD">
              <w:rPr>
                <w:rFonts w:ascii="Calibri" w:hAnsi="Calibri"/>
                <w:b/>
                <w:sz w:val="18"/>
                <w:szCs w:val="18"/>
              </w:rPr>
              <w:t>Requested (Total)</w:t>
            </w:r>
          </w:p>
        </w:tc>
      </w:tr>
      <w:tr w:rsidR="00520137" w:rsidRPr="007214FD" w:rsidTr="00BB214A">
        <w:trPr>
          <w:trHeight w:val="557"/>
        </w:trPr>
        <w:tc>
          <w:tcPr>
            <w:tcW w:w="3941" w:type="dxa"/>
            <w:gridSpan w:val="3"/>
            <w:tcBorders>
              <w:top w:val="single" w:sz="4" w:space="0" w:color="auto"/>
              <w:bottom w:val="single" w:sz="4" w:space="0" w:color="auto"/>
            </w:tcBorders>
            <w:shd w:val="clear" w:color="auto" w:fill="auto"/>
            <w:vAlign w:val="center"/>
          </w:tcPr>
          <w:p w:rsidR="00520137" w:rsidRPr="007214FD" w:rsidRDefault="00520137" w:rsidP="00BB214A">
            <w:pPr>
              <w:jc w:val="both"/>
              <w:rPr>
                <w:rFonts w:ascii="Calibri" w:hAnsi="Calibri"/>
                <w:b/>
                <w:sz w:val="18"/>
                <w:szCs w:val="18"/>
              </w:rPr>
            </w:pPr>
          </w:p>
        </w:tc>
        <w:tc>
          <w:tcPr>
            <w:tcW w:w="1896" w:type="dxa"/>
            <w:gridSpan w:val="3"/>
            <w:tcBorders>
              <w:top w:val="single" w:sz="4" w:space="0" w:color="auto"/>
              <w:bottom w:val="single" w:sz="4" w:space="0" w:color="auto"/>
            </w:tcBorders>
            <w:shd w:val="clear" w:color="auto" w:fill="auto"/>
            <w:vAlign w:val="center"/>
          </w:tcPr>
          <w:p w:rsidR="00520137" w:rsidRPr="007214FD" w:rsidRDefault="00520137" w:rsidP="00BB214A">
            <w:pPr>
              <w:jc w:val="center"/>
              <w:rPr>
                <w:rFonts w:ascii="Calibri" w:hAnsi="Calibri"/>
                <w:b/>
                <w:sz w:val="18"/>
                <w:szCs w:val="18"/>
              </w:rPr>
            </w:pPr>
            <w:r w:rsidRPr="007214FD">
              <w:rPr>
                <w:rFonts w:ascii="Calibri" w:hAnsi="Calibri"/>
                <w:b/>
                <w:sz w:val="18"/>
                <w:szCs w:val="18"/>
              </w:rPr>
              <w:t>FY 20</w:t>
            </w:r>
            <w:r>
              <w:rPr>
                <w:rFonts w:ascii="Calibri" w:hAnsi="Calibri"/>
                <w:b/>
                <w:sz w:val="18"/>
                <w:szCs w:val="18"/>
              </w:rPr>
              <w:t>10</w:t>
            </w:r>
          </w:p>
        </w:tc>
        <w:tc>
          <w:tcPr>
            <w:tcW w:w="2064" w:type="dxa"/>
            <w:gridSpan w:val="2"/>
            <w:tcBorders>
              <w:top w:val="single" w:sz="4" w:space="0" w:color="auto"/>
              <w:bottom w:val="single" w:sz="4" w:space="0" w:color="auto"/>
            </w:tcBorders>
            <w:shd w:val="clear" w:color="auto" w:fill="auto"/>
            <w:vAlign w:val="center"/>
          </w:tcPr>
          <w:p w:rsidR="00520137" w:rsidRPr="007214FD" w:rsidRDefault="00520137" w:rsidP="00BB214A">
            <w:pPr>
              <w:jc w:val="center"/>
              <w:rPr>
                <w:rFonts w:ascii="Calibri" w:hAnsi="Calibri"/>
                <w:b/>
                <w:sz w:val="18"/>
                <w:szCs w:val="18"/>
              </w:rPr>
            </w:pPr>
            <w:r>
              <w:rPr>
                <w:rFonts w:ascii="Calibri" w:hAnsi="Calibri"/>
                <w:b/>
                <w:sz w:val="18"/>
                <w:szCs w:val="18"/>
              </w:rPr>
              <w:t>FY 2010</w:t>
            </w:r>
          </w:p>
        </w:tc>
        <w:tc>
          <w:tcPr>
            <w:tcW w:w="2026" w:type="dxa"/>
            <w:gridSpan w:val="3"/>
            <w:tcBorders>
              <w:top w:val="single" w:sz="4" w:space="0" w:color="auto"/>
              <w:bottom w:val="single" w:sz="4" w:space="0" w:color="auto"/>
            </w:tcBorders>
            <w:shd w:val="clear" w:color="auto" w:fill="auto"/>
            <w:vAlign w:val="center"/>
          </w:tcPr>
          <w:p w:rsidR="00520137" w:rsidRPr="007214FD" w:rsidRDefault="00520137" w:rsidP="00BB214A">
            <w:pPr>
              <w:jc w:val="center"/>
              <w:rPr>
                <w:rFonts w:ascii="Calibri" w:hAnsi="Calibri"/>
                <w:b/>
                <w:sz w:val="18"/>
                <w:szCs w:val="18"/>
              </w:rPr>
            </w:pPr>
            <w:r w:rsidRPr="007214FD">
              <w:rPr>
                <w:rFonts w:ascii="Calibri" w:hAnsi="Calibri"/>
                <w:b/>
                <w:sz w:val="18"/>
                <w:szCs w:val="18"/>
              </w:rPr>
              <w:t>FY 201</w:t>
            </w:r>
            <w:r>
              <w:rPr>
                <w:rFonts w:ascii="Calibri" w:hAnsi="Calibri"/>
                <w:b/>
                <w:sz w:val="18"/>
                <w:szCs w:val="18"/>
              </w:rPr>
              <w:t>1</w:t>
            </w:r>
          </w:p>
          <w:p w:rsidR="00520137" w:rsidRPr="007214FD" w:rsidRDefault="00D23E1A" w:rsidP="00BB214A">
            <w:pPr>
              <w:jc w:val="center"/>
              <w:rPr>
                <w:rFonts w:ascii="Calibri" w:hAnsi="Calibri"/>
                <w:b/>
                <w:sz w:val="18"/>
                <w:szCs w:val="18"/>
              </w:rPr>
            </w:pPr>
            <w:r>
              <w:rPr>
                <w:rFonts w:ascii="Calibri" w:hAnsi="Calibri"/>
                <w:b/>
                <w:sz w:val="18"/>
                <w:szCs w:val="18"/>
              </w:rPr>
              <w:t>Continuing Resolution</w:t>
            </w:r>
          </w:p>
        </w:tc>
        <w:tc>
          <w:tcPr>
            <w:tcW w:w="2085" w:type="dxa"/>
            <w:gridSpan w:val="2"/>
            <w:tcBorders>
              <w:top w:val="single" w:sz="4" w:space="0" w:color="auto"/>
              <w:bottom w:val="single" w:sz="4" w:space="0" w:color="auto"/>
            </w:tcBorders>
            <w:shd w:val="clear" w:color="auto" w:fill="auto"/>
            <w:vAlign w:val="center"/>
          </w:tcPr>
          <w:p w:rsidR="00520137" w:rsidRPr="007214FD" w:rsidRDefault="00520137" w:rsidP="00BB214A">
            <w:pPr>
              <w:jc w:val="center"/>
              <w:rPr>
                <w:rFonts w:ascii="Calibri" w:hAnsi="Calibri"/>
                <w:b/>
                <w:sz w:val="18"/>
                <w:szCs w:val="18"/>
              </w:rPr>
            </w:pPr>
            <w:r w:rsidRPr="007214FD">
              <w:rPr>
                <w:rFonts w:ascii="Calibri" w:hAnsi="Calibri"/>
                <w:b/>
                <w:sz w:val="18"/>
                <w:szCs w:val="18"/>
              </w:rPr>
              <w:t>Current Services</w:t>
            </w:r>
          </w:p>
          <w:p w:rsidR="00520137" w:rsidRPr="007214FD" w:rsidRDefault="00520137" w:rsidP="00BB214A">
            <w:pPr>
              <w:jc w:val="center"/>
              <w:rPr>
                <w:rFonts w:ascii="Calibri" w:hAnsi="Calibri"/>
                <w:b/>
                <w:sz w:val="18"/>
                <w:szCs w:val="18"/>
              </w:rPr>
            </w:pPr>
            <w:r>
              <w:rPr>
                <w:rFonts w:ascii="Calibri" w:hAnsi="Calibri"/>
                <w:b/>
                <w:sz w:val="18"/>
                <w:szCs w:val="18"/>
              </w:rPr>
              <w:t>Adjustments and FY 2012</w:t>
            </w:r>
            <w:r w:rsidRPr="007214FD">
              <w:rPr>
                <w:rFonts w:ascii="Calibri" w:hAnsi="Calibri"/>
                <w:b/>
                <w:sz w:val="18"/>
                <w:szCs w:val="18"/>
              </w:rPr>
              <w:t xml:space="preserve"> Program Changes</w:t>
            </w:r>
          </w:p>
        </w:tc>
        <w:tc>
          <w:tcPr>
            <w:tcW w:w="2676" w:type="dxa"/>
            <w:gridSpan w:val="3"/>
            <w:tcBorders>
              <w:top w:val="single" w:sz="4" w:space="0" w:color="auto"/>
              <w:bottom w:val="single" w:sz="4" w:space="0" w:color="auto"/>
            </w:tcBorders>
            <w:shd w:val="clear" w:color="auto" w:fill="auto"/>
            <w:vAlign w:val="center"/>
          </w:tcPr>
          <w:p w:rsidR="00520137" w:rsidRPr="007214FD" w:rsidRDefault="00520137" w:rsidP="00BB214A">
            <w:pPr>
              <w:jc w:val="center"/>
              <w:rPr>
                <w:rFonts w:ascii="Calibri" w:hAnsi="Calibri"/>
                <w:b/>
                <w:sz w:val="18"/>
                <w:szCs w:val="18"/>
              </w:rPr>
            </w:pPr>
            <w:r>
              <w:rPr>
                <w:rFonts w:ascii="Calibri" w:hAnsi="Calibri"/>
                <w:b/>
                <w:sz w:val="18"/>
                <w:szCs w:val="18"/>
              </w:rPr>
              <w:t>FY 2012</w:t>
            </w:r>
            <w:r w:rsidRPr="007214FD">
              <w:rPr>
                <w:rFonts w:ascii="Calibri" w:hAnsi="Calibri"/>
                <w:b/>
                <w:sz w:val="18"/>
                <w:szCs w:val="18"/>
              </w:rPr>
              <w:t xml:space="preserve"> Request</w:t>
            </w:r>
          </w:p>
        </w:tc>
      </w:tr>
      <w:tr w:rsidR="00520137" w:rsidRPr="007214FD" w:rsidTr="00BB214A">
        <w:trPr>
          <w:trHeight w:hRule="exact" w:val="533"/>
        </w:trPr>
        <w:tc>
          <w:tcPr>
            <w:tcW w:w="1188" w:type="dxa"/>
            <w:gridSpan w:val="2"/>
            <w:vMerge w:val="restart"/>
            <w:tcBorders>
              <w:top w:val="single" w:sz="4" w:space="0" w:color="auto"/>
            </w:tcBorders>
            <w:shd w:val="clear" w:color="auto" w:fill="auto"/>
            <w:vAlign w:val="center"/>
          </w:tcPr>
          <w:p w:rsidR="00520137" w:rsidRPr="007214FD" w:rsidRDefault="00520137" w:rsidP="00BB214A">
            <w:pPr>
              <w:jc w:val="both"/>
              <w:rPr>
                <w:rFonts w:ascii="Calibri" w:hAnsi="Calibri"/>
                <w:b/>
                <w:sz w:val="18"/>
                <w:szCs w:val="18"/>
                <w:lang w:val="en-CA"/>
              </w:rPr>
            </w:pPr>
            <w:r w:rsidRPr="007214FD">
              <w:rPr>
                <w:rFonts w:ascii="Calibri" w:hAnsi="Calibri"/>
                <w:b/>
                <w:sz w:val="18"/>
                <w:szCs w:val="18"/>
                <w:lang w:val="en-CA"/>
              </w:rPr>
              <w:t>Workload</w:t>
            </w:r>
          </w:p>
        </w:tc>
        <w:tc>
          <w:tcPr>
            <w:tcW w:w="2753" w:type="dxa"/>
            <w:tcBorders>
              <w:top w:val="single" w:sz="4" w:space="0" w:color="auto"/>
              <w:bottom w:val="single" w:sz="4" w:space="0" w:color="auto"/>
            </w:tcBorders>
            <w:shd w:val="clear" w:color="auto" w:fill="auto"/>
            <w:vAlign w:val="center"/>
          </w:tcPr>
          <w:p w:rsidR="00520137" w:rsidRPr="007214FD" w:rsidRDefault="00520137" w:rsidP="00BB214A">
            <w:pPr>
              <w:rPr>
                <w:rFonts w:ascii="Calibri" w:hAnsi="Calibri"/>
                <w:sz w:val="18"/>
                <w:szCs w:val="18"/>
                <w:lang w:val="en-CA"/>
              </w:rPr>
            </w:pPr>
            <w:r w:rsidRPr="007214FD">
              <w:rPr>
                <w:rFonts w:ascii="Calibri" w:hAnsi="Calibri"/>
                <w:sz w:val="18"/>
                <w:szCs w:val="18"/>
                <w:lang w:val="en-CA"/>
              </w:rPr>
              <w:t xml:space="preserve">1.  Number of cases pending   </w:t>
            </w:r>
          </w:p>
          <w:p w:rsidR="00520137" w:rsidRPr="007214FD" w:rsidRDefault="00520137" w:rsidP="00BB214A">
            <w:pPr>
              <w:rPr>
                <w:rFonts w:ascii="Calibri" w:hAnsi="Calibri"/>
                <w:sz w:val="18"/>
                <w:szCs w:val="18"/>
                <w:lang w:val="en-CA"/>
              </w:rPr>
            </w:pPr>
            <w:r w:rsidRPr="007214FD">
              <w:rPr>
                <w:rFonts w:ascii="Calibri" w:hAnsi="Calibri"/>
                <w:sz w:val="18"/>
                <w:szCs w:val="18"/>
                <w:lang w:val="en-CA"/>
              </w:rPr>
              <w:t xml:space="preserve"> beginning of year</w:t>
            </w:r>
          </w:p>
        </w:tc>
        <w:tc>
          <w:tcPr>
            <w:tcW w:w="1896" w:type="dxa"/>
            <w:gridSpan w:val="3"/>
            <w:tcBorders>
              <w:top w:val="single" w:sz="4" w:space="0" w:color="auto"/>
            </w:tcBorders>
            <w:shd w:val="clear" w:color="auto" w:fill="auto"/>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3</w:t>
            </w:r>
            <w:r>
              <w:rPr>
                <w:rFonts w:ascii="Calibri" w:hAnsi="Calibri"/>
                <w:sz w:val="20"/>
                <w:szCs w:val="20"/>
              </w:rPr>
              <w:t>5</w:t>
            </w:r>
            <w:r w:rsidRPr="007214FD">
              <w:rPr>
                <w:rFonts w:ascii="Calibri" w:hAnsi="Calibri"/>
                <w:sz w:val="20"/>
                <w:szCs w:val="20"/>
              </w:rPr>
              <w:t>,</w:t>
            </w:r>
            <w:r>
              <w:rPr>
                <w:rFonts w:ascii="Calibri" w:hAnsi="Calibri"/>
                <w:sz w:val="20"/>
                <w:szCs w:val="20"/>
              </w:rPr>
              <w:t>147</w:t>
            </w:r>
          </w:p>
        </w:tc>
        <w:tc>
          <w:tcPr>
            <w:tcW w:w="2064" w:type="dxa"/>
            <w:gridSpan w:val="2"/>
            <w:tcBorders>
              <w:top w:val="single" w:sz="4" w:space="0" w:color="auto"/>
              <w:bottom w:val="single" w:sz="4" w:space="0" w:color="auto"/>
            </w:tcBorders>
            <w:shd w:val="clear" w:color="auto" w:fill="D9D9D9" w:themeFill="background1" w:themeFillShade="D9"/>
            <w:vAlign w:val="center"/>
          </w:tcPr>
          <w:p w:rsidR="00520137" w:rsidRPr="007214FD" w:rsidRDefault="00970D6D" w:rsidP="00BB214A">
            <w:pPr>
              <w:jc w:val="center"/>
              <w:rPr>
                <w:rFonts w:ascii="Calibri" w:hAnsi="Calibri"/>
                <w:sz w:val="20"/>
                <w:szCs w:val="20"/>
              </w:rPr>
            </w:pPr>
            <w:r>
              <w:rPr>
                <w:rFonts w:ascii="Calibri" w:hAnsi="Calibri"/>
                <w:sz w:val="20"/>
                <w:szCs w:val="20"/>
              </w:rPr>
              <w:t>34,757</w:t>
            </w:r>
          </w:p>
        </w:tc>
        <w:tc>
          <w:tcPr>
            <w:tcW w:w="2026" w:type="dxa"/>
            <w:gridSpan w:val="3"/>
            <w:tcBorders>
              <w:top w:val="single" w:sz="4" w:space="0" w:color="auto"/>
              <w:right w:val="single" w:sz="4" w:space="0" w:color="auto"/>
            </w:tcBorders>
            <w:shd w:val="clear" w:color="auto" w:fill="auto"/>
            <w:vAlign w:val="center"/>
          </w:tcPr>
          <w:p w:rsidR="00520137" w:rsidRPr="00970D6D" w:rsidRDefault="00970D6D" w:rsidP="00BB214A">
            <w:pPr>
              <w:jc w:val="center"/>
              <w:rPr>
                <w:rFonts w:ascii="Calibri" w:hAnsi="Calibri"/>
                <w:sz w:val="20"/>
                <w:szCs w:val="20"/>
              </w:rPr>
            </w:pPr>
            <w:r w:rsidRPr="00970D6D">
              <w:rPr>
                <w:rFonts w:ascii="Calibri" w:hAnsi="Calibri"/>
                <w:sz w:val="20"/>
                <w:szCs w:val="20"/>
              </w:rPr>
              <w:t>35,859</w:t>
            </w:r>
          </w:p>
        </w:tc>
        <w:tc>
          <w:tcPr>
            <w:tcW w:w="2085" w:type="dxa"/>
            <w:gridSpan w:val="2"/>
            <w:tcBorders>
              <w:top w:val="single" w:sz="4" w:space="0" w:color="auto"/>
              <w:right w:val="single" w:sz="4" w:space="0" w:color="auto"/>
            </w:tcBorders>
            <w:shd w:val="clear" w:color="auto" w:fill="auto"/>
            <w:vAlign w:val="center"/>
          </w:tcPr>
          <w:p w:rsidR="00520137" w:rsidRPr="00970D6D" w:rsidRDefault="00520137" w:rsidP="00BB214A">
            <w:pPr>
              <w:jc w:val="center"/>
              <w:rPr>
                <w:rFonts w:ascii="Calibri" w:hAnsi="Calibri"/>
                <w:sz w:val="20"/>
                <w:szCs w:val="20"/>
              </w:rPr>
            </w:pPr>
            <w:r w:rsidRPr="00970D6D">
              <w:rPr>
                <w:rFonts w:ascii="Calibri" w:hAnsi="Calibri"/>
                <w:sz w:val="20"/>
                <w:szCs w:val="20"/>
              </w:rPr>
              <w:t>N/A</w:t>
            </w:r>
          </w:p>
        </w:tc>
        <w:tc>
          <w:tcPr>
            <w:tcW w:w="2676" w:type="dxa"/>
            <w:gridSpan w:val="3"/>
            <w:tcBorders>
              <w:top w:val="single" w:sz="4" w:space="0" w:color="auto"/>
              <w:right w:val="double" w:sz="4" w:space="0" w:color="auto"/>
            </w:tcBorders>
            <w:shd w:val="clear" w:color="auto" w:fill="auto"/>
            <w:vAlign w:val="center"/>
          </w:tcPr>
          <w:p w:rsidR="00520137" w:rsidRPr="00970D6D" w:rsidRDefault="00970D6D" w:rsidP="00BB214A">
            <w:pPr>
              <w:jc w:val="center"/>
              <w:rPr>
                <w:rFonts w:ascii="Calibri" w:hAnsi="Calibri"/>
                <w:sz w:val="20"/>
                <w:szCs w:val="20"/>
              </w:rPr>
            </w:pPr>
            <w:r w:rsidRPr="00970D6D">
              <w:rPr>
                <w:rFonts w:ascii="Calibri" w:hAnsi="Calibri"/>
                <w:sz w:val="20"/>
                <w:szCs w:val="20"/>
              </w:rPr>
              <w:t>33,371</w:t>
            </w:r>
          </w:p>
        </w:tc>
      </w:tr>
      <w:tr w:rsidR="00520137" w:rsidRPr="007214FD" w:rsidTr="00BB214A">
        <w:trPr>
          <w:trHeight w:hRule="exact" w:val="533"/>
        </w:trPr>
        <w:tc>
          <w:tcPr>
            <w:tcW w:w="1188" w:type="dxa"/>
            <w:gridSpan w:val="2"/>
            <w:vMerge/>
            <w:tcBorders>
              <w:bottom w:val="single" w:sz="4" w:space="0" w:color="auto"/>
            </w:tcBorders>
            <w:shd w:val="clear" w:color="auto" w:fill="auto"/>
            <w:vAlign w:val="center"/>
          </w:tcPr>
          <w:p w:rsidR="00520137" w:rsidRPr="007214FD" w:rsidRDefault="00520137" w:rsidP="00BB214A">
            <w:pPr>
              <w:jc w:val="both"/>
              <w:rPr>
                <w:rFonts w:ascii="Calibri" w:hAnsi="Calibri"/>
                <w:b/>
                <w:sz w:val="18"/>
                <w:szCs w:val="18"/>
                <w:lang w:val="en-CA"/>
              </w:rPr>
            </w:pPr>
          </w:p>
        </w:tc>
        <w:tc>
          <w:tcPr>
            <w:tcW w:w="2753" w:type="dxa"/>
            <w:tcBorders>
              <w:top w:val="single" w:sz="4" w:space="0" w:color="auto"/>
              <w:bottom w:val="single" w:sz="4" w:space="0" w:color="auto"/>
            </w:tcBorders>
            <w:shd w:val="clear" w:color="auto" w:fill="auto"/>
            <w:vAlign w:val="center"/>
          </w:tcPr>
          <w:p w:rsidR="00520137" w:rsidRPr="007214FD" w:rsidRDefault="00520137" w:rsidP="00BB214A">
            <w:pPr>
              <w:rPr>
                <w:rFonts w:ascii="Calibri" w:hAnsi="Calibri"/>
                <w:sz w:val="18"/>
                <w:szCs w:val="18"/>
                <w:lang w:val="en-CA"/>
              </w:rPr>
            </w:pPr>
            <w:r w:rsidRPr="007214FD">
              <w:rPr>
                <w:rFonts w:ascii="Calibri" w:hAnsi="Calibri"/>
                <w:sz w:val="18"/>
                <w:szCs w:val="18"/>
                <w:lang w:val="en-CA"/>
              </w:rPr>
              <w:t xml:space="preserve">2.  Number of cases received </w:t>
            </w:r>
            <w:r>
              <w:rPr>
                <w:rFonts w:ascii="Calibri" w:hAnsi="Calibri"/>
                <w:sz w:val="18"/>
                <w:szCs w:val="18"/>
                <w:lang w:val="en-CA"/>
              </w:rPr>
              <w:t>d</w:t>
            </w:r>
            <w:r w:rsidRPr="007214FD">
              <w:rPr>
                <w:rFonts w:ascii="Calibri" w:hAnsi="Calibri"/>
                <w:sz w:val="18"/>
                <w:szCs w:val="18"/>
                <w:lang w:val="en-CA"/>
              </w:rPr>
              <w:t>uring the year</w:t>
            </w:r>
          </w:p>
        </w:tc>
        <w:tc>
          <w:tcPr>
            <w:tcW w:w="1896" w:type="dxa"/>
            <w:gridSpan w:val="3"/>
            <w:tcBorders>
              <w:bottom w:val="single" w:sz="4" w:space="0" w:color="auto"/>
            </w:tcBorders>
            <w:shd w:val="clear" w:color="auto" w:fill="auto"/>
            <w:vAlign w:val="center"/>
          </w:tcPr>
          <w:p w:rsidR="00520137" w:rsidRPr="007214FD" w:rsidRDefault="00520137" w:rsidP="00BB214A">
            <w:pPr>
              <w:jc w:val="center"/>
              <w:rPr>
                <w:rFonts w:ascii="Calibri" w:hAnsi="Calibri"/>
                <w:sz w:val="20"/>
                <w:szCs w:val="20"/>
              </w:rPr>
            </w:pPr>
            <w:r>
              <w:rPr>
                <w:rFonts w:ascii="Calibri" w:hAnsi="Calibri"/>
                <w:sz w:val="20"/>
                <w:szCs w:val="20"/>
              </w:rPr>
              <w:t>16</w:t>
            </w:r>
            <w:r w:rsidRPr="007214FD">
              <w:rPr>
                <w:rFonts w:ascii="Calibri" w:hAnsi="Calibri"/>
                <w:sz w:val="20"/>
                <w:szCs w:val="20"/>
              </w:rPr>
              <w:t>,</w:t>
            </w:r>
            <w:r>
              <w:rPr>
                <w:rFonts w:ascii="Calibri" w:hAnsi="Calibri"/>
                <w:sz w:val="20"/>
                <w:szCs w:val="20"/>
              </w:rPr>
              <w:t>889</w:t>
            </w:r>
          </w:p>
        </w:tc>
        <w:tc>
          <w:tcPr>
            <w:tcW w:w="2064" w:type="dxa"/>
            <w:gridSpan w:val="2"/>
            <w:tcBorders>
              <w:top w:val="single" w:sz="4" w:space="0" w:color="auto"/>
              <w:bottom w:val="single" w:sz="4" w:space="0" w:color="auto"/>
            </w:tcBorders>
            <w:shd w:val="clear" w:color="auto" w:fill="D9D9D9" w:themeFill="background1" w:themeFillShade="D9"/>
            <w:vAlign w:val="center"/>
          </w:tcPr>
          <w:p w:rsidR="00520137" w:rsidRPr="007214FD" w:rsidRDefault="00970D6D" w:rsidP="00BB214A">
            <w:pPr>
              <w:jc w:val="center"/>
              <w:rPr>
                <w:rFonts w:ascii="Calibri" w:hAnsi="Calibri"/>
                <w:sz w:val="20"/>
                <w:szCs w:val="20"/>
              </w:rPr>
            </w:pPr>
            <w:r>
              <w:rPr>
                <w:rFonts w:ascii="Calibri" w:hAnsi="Calibri"/>
                <w:sz w:val="20"/>
                <w:szCs w:val="20"/>
              </w:rPr>
              <w:t>16,813</w:t>
            </w:r>
          </w:p>
        </w:tc>
        <w:tc>
          <w:tcPr>
            <w:tcW w:w="2026" w:type="dxa"/>
            <w:gridSpan w:val="3"/>
            <w:tcBorders>
              <w:bottom w:val="single" w:sz="4" w:space="0" w:color="auto"/>
              <w:right w:val="single" w:sz="4" w:space="0" w:color="auto"/>
            </w:tcBorders>
            <w:shd w:val="clear" w:color="auto" w:fill="auto"/>
            <w:vAlign w:val="center"/>
          </w:tcPr>
          <w:p w:rsidR="00520137" w:rsidRPr="00970D6D" w:rsidRDefault="00970D6D" w:rsidP="00970D6D">
            <w:pPr>
              <w:jc w:val="center"/>
              <w:rPr>
                <w:rFonts w:ascii="Calibri" w:hAnsi="Calibri"/>
                <w:sz w:val="20"/>
                <w:szCs w:val="20"/>
              </w:rPr>
            </w:pPr>
            <w:r w:rsidRPr="00970D6D">
              <w:rPr>
                <w:rFonts w:ascii="Calibri" w:hAnsi="Calibri"/>
                <w:sz w:val="20"/>
                <w:szCs w:val="20"/>
              </w:rPr>
              <w:t>15,575</w:t>
            </w:r>
          </w:p>
        </w:tc>
        <w:tc>
          <w:tcPr>
            <w:tcW w:w="2085" w:type="dxa"/>
            <w:gridSpan w:val="2"/>
            <w:tcBorders>
              <w:bottom w:val="single" w:sz="4" w:space="0" w:color="auto"/>
              <w:right w:val="single" w:sz="4" w:space="0" w:color="auto"/>
            </w:tcBorders>
            <w:shd w:val="clear" w:color="auto" w:fill="auto"/>
            <w:vAlign w:val="center"/>
          </w:tcPr>
          <w:p w:rsidR="00520137" w:rsidRPr="00970D6D" w:rsidRDefault="00520137" w:rsidP="00BB214A">
            <w:pPr>
              <w:jc w:val="center"/>
              <w:rPr>
                <w:rFonts w:ascii="Calibri" w:hAnsi="Calibri"/>
                <w:sz w:val="20"/>
                <w:szCs w:val="20"/>
              </w:rPr>
            </w:pPr>
            <w:r w:rsidRPr="00970D6D">
              <w:rPr>
                <w:rFonts w:ascii="Calibri" w:hAnsi="Calibri"/>
                <w:sz w:val="20"/>
                <w:szCs w:val="20"/>
              </w:rPr>
              <w:t>N/A</w:t>
            </w:r>
          </w:p>
        </w:tc>
        <w:tc>
          <w:tcPr>
            <w:tcW w:w="2676" w:type="dxa"/>
            <w:gridSpan w:val="3"/>
            <w:tcBorders>
              <w:bottom w:val="single" w:sz="4" w:space="0" w:color="auto"/>
              <w:right w:val="double" w:sz="4" w:space="0" w:color="auto"/>
            </w:tcBorders>
            <w:shd w:val="clear" w:color="auto" w:fill="auto"/>
            <w:vAlign w:val="center"/>
          </w:tcPr>
          <w:p w:rsidR="00520137" w:rsidRPr="00970D6D" w:rsidRDefault="00970D6D" w:rsidP="00BB214A">
            <w:pPr>
              <w:jc w:val="center"/>
              <w:rPr>
                <w:rFonts w:ascii="Calibri" w:hAnsi="Calibri"/>
                <w:sz w:val="20"/>
                <w:szCs w:val="20"/>
              </w:rPr>
            </w:pPr>
            <w:r w:rsidRPr="00970D6D">
              <w:rPr>
                <w:rFonts w:ascii="Calibri" w:hAnsi="Calibri"/>
                <w:sz w:val="20"/>
                <w:szCs w:val="20"/>
              </w:rPr>
              <w:t>16,212</w:t>
            </w:r>
          </w:p>
        </w:tc>
      </w:tr>
      <w:tr w:rsidR="00520137" w:rsidRPr="007214FD" w:rsidTr="00BB214A">
        <w:trPr>
          <w:trHeight w:hRule="exact" w:val="533"/>
        </w:trPr>
        <w:tc>
          <w:tcPr>
            <w:tcW w:w="1188" w:type="dxa"/>
            <w:gridSpan w:val="2"/>
            <w:tcBorders>
              <w:top w:val="single" w:sz="4" w:space="0" w:color="auto"/>
              <w:bottom w:val="single" w:sz="4" w:space="0" w:color="auto"/>
            </w:tcBorders>
            <w:shd w:val="clear" w:color="auto" w:fill="auto"/>
            <w:vAlign w:val="center"/>
          </w:tcPr>
          <w:p w:rsidR="00520137" w:rsidRPr="007214FD" w:rsidRDefault="00520137" w:rsidP="00BB214A">
            <w:pPr>
              <w:jc w:val="both"/>
              <w:rPr>
                <w:rFonts w:ascii="Calibri" w:hAnsi="Calibri"/>
                <w:sz w:val="18"/>
                <w:szCs w:val="18"/>
                <w:lang w:val="en-CA"/>
              </w:rPr>
            </w:pPr>
          </w:p>
        </w:tc>
        <w:tc>
          <w:tcPr>
            <w:tcW w:w="2753" w:type="dxa"/>
            <w:tcBorders>
              <w:top w:val="single" w:sz="4" w:space="0" w:color="auto"/>
              <w:bottom w:val="single" w:sz="4" w:space="0" w:color="auto"/>
            </w:tcBorders>
            <w:shd w:val="clear" w:color="auto" w:fill="auto"/>
            <w:vAlign w:val="center"/>
          </w:tcPr>
          <w:p w:rsidR="00520137" w:rsidRPr="007214FD" w:rsidRDefault="00520137" w:rsidP="00BB214A">
            <w:pPr>
              <w:jc w:val="both"/>
              <w:rPr>
                <w:rFonts w:ascii="Calibri" w:hAnsi="Calibri"/>
                <w:sz w:val="18"/>
                <w:szCs w:val="18"/>
                <w:lang w:val="en-CA"/>
              </w:rPr>
            </w:pPr>
            <w:r w:rsidRPr="007214FD">
              <w:rPr>
                <w:rFonts w:ascii="Calibri" w:hAnsi="Calibri"/>
                <w:sz w:val="18"/>
                <w:szCs w:val="18"/>
                <w:lang w:val="en-CA"/>
              </w:rPr>
              <w:t>3.  Total Workload</w:t>
            </w:r>
          </w:p>
        </w:tc>
        <w:tc>
          <w:tcPr>
            <w:tcW w:w="1896" w:type="dxa"/>
            <w:gridSpan w:val="3"/>
            <w:tcBorders>
              <w:top w:val="single" w:sz="4" w:space="0" w:color="auto"/>
              <w:bottom w:val="single" w:sz="4" w:space="0" w:color="auto"/>
            </w:tcBorders>
            <w:shd w:val="clear" w:color="auto" w:fill="auto"/>
            <w:vAlign w:val="center"/>
          </w:tcPr>
          <w:p w:rsidR="00520137" w:rsidRPr="007214FD" w:rsidRDefault="00520137" w:rsidP="00BB214A">
            <w:pPr>
              <w:jc w:val="center"/>
              <w:rPr>
                <w:rFonts w:ascii="Calibri" w:hAnsi="Calibri"/>
                <w:sz w:val="20"/>
                <w:szCs w:val="20"/>
              </w:rPr>
            </w:pPr>
            <w:r>
              <w:rPr>
                <w:rFonts w:ascii="Calibri" w:hAnsi="Calibri"/>
                <w:sz w:val="20"/>
                <w:szCs w:val="20"/>
              </w:rPr>
              <w:t>52</w:t>
            </w:r>
            <w:r w:rsidRPr="007214FD">
              <w:rPr>
                <w:rFonts w:ascii="Calibri" w:hAnsi="Calibri"/>
                <w:sz w:val="20"/>
                <w:szCs w:val="20"/>
              </w:rPr>
              <w:t>,</w:t>
            </w:r>
            <w:r>
              <w:rPr>
                <w:rFonts w:ascii="Calibri" w:hAnsi="Calibri"/>
                <w:sz w:val="20"/>
                <w:szCs w:val="20"/>
              </w:rPr>
              <w:t>036</w:t>
            </w:r>
          </w:p>
        </w:tc>
        <w:tc>
          <w:tcPr>
            <w:tcW w:w="2064" w:type="dxa"/>
            <w:gridSpan w:val="2"/>
            <w:tcBorders>
              <w:top w:val="single" w:sz="4" w:space="0" w:color="auto"/>
              <w:bottom w:val="single" w:sz="4" w:space="0" w:color="auto"/>
            </w:tcBorders>
            <w:shd w:val="clear" w:color="auto" w:fill="D9D9D9" w:themeFill="background1" w:themeFillShade="D9"/>
            <w:vAlign w:val="center"/>
          </w:tcPr>
          <w:p w:rsidR="00520137" w:rsidRPr="007214FD" w:rsidRDefault="00970D6D" w:rsidP="00BB214A">
            <w:pPr>
              <w:jc w:val="center"/>
              <w:rPr>
                <w:rFonts w:ascii="Calibri" w:hAnsi="Calibri"/>
                <w:sz w:val="20"/>
                <w:szCs w:val="20"/>
              </w:rPr>
            </w:pPr>
            <w:r>
              <w:rPr>
                <w:rFonts w:ascii="Calibri" w:hAnsi="Calibri"/>
                <w:sz w:val="20"/>
                <w:szCs w:val="20"/>
              </w:rPr>
              <w:t>51,570</w:t>
            </w:r>
          </w:p>
        </w:tc>
        <w:tc>
          <w:tcPr>
            <w:tcW w:w="2026" w:type="dxa"/>
            <w:gridSpan w:val="3"/>
            <w:tcBorders>
              <w:top w:val="single" w:sz="4" w:space="0" w:color="auto"/>
              <w:bottom w:val="single" w:sz="4" w:space="0" w:color="auto"/>
              <w:right w:val="single" w:sz="4" w:space="0" w:color="auto"/>
            </w:tcBorders>
            <w:shd w:val="clear" w:color="auto" w:fill="auto"/>
            <w:vAlign w:val="center"/>
          </w:tcPr>
          <w:p w:rsidR="00520137" w:rsidRPr="00970D6D" w:rsidRDefault="00970D6D" w:rsidP="00BB214A">
            <w:pPr>
              <w:jc w:val="center"/>
              <w:rPr>
                <w:rFonts w:ascii="Calibri" w:hAnsi="Calibri"/>
                <w:sz w:val="20"/>
                <w:szCs w:val="20"/>
              </w:rPr>
            </w:pPr>
            <w:r w:rsidRPr="00970D6D">
              <w:rPr>
                <w:rFonts w:ascii="Calibri" w:hAnsi="Calibri"/>
                <w:sz w:val="20"/>
                <w:szCs w:val="20"/>
              </w:rPr>
              <w:t>51,434</w:t>
            </w:r>
          </w:p>
        </w:tc>
        <w:tc>
          <w:tcPr>
            <w:tcW w:w="2085" w:type="dxa"/>
            <w:gridSpan w:val="2"/>
            <w:tcBorders>
              <w:top w:val="single" w:sz="4" w:space="0" w:color="auto"/>
              <w:bottom w:val="single" w:sz="4" w:space="0" w:color="auto"/>
              <w:right w:val="single" w:sz="4" w:space="0" w:color="auto"/>
            </w:tcBorders>
            <w:shd w:val="clear" w:color="auto" w:fill="auto"/>
            <w:vAlign w:val="center"/>
          </w:tcPr>
          <w:p w:rsidR="00520137" w:rsidRPr="00970D6D" w:rsidRDefault="00520137" w:rsidP="00BB214A">
            <w:pPr>
              <w:jc w:val="center"/>
              <w:rPr>
                <w:rFonts w:ascii="Calibri" w:hAnsi="Calibri"/>
                <w:sz w:val="18"/>
                <w:szCs w:val="18"/>
              </w:rPr>
            </w:pPr>
            <w:r w:rsidRPr="00970D6D">
              <w:rPr>
                <w:rFonts w:ascii="Calibri" w:hAnsi="Calibri"/>
                <w:sz w:val="18"/>
                <w:szCs w:val="18"/>
              </w:rPr>
              <w:t>N/A</w:t>
            </w:r>
          </w:p>
        </w:tc>
        <w:tc>
          <w:tcPr>
            <w:tcW w:w="2676" w:type="dxa"/>
            <w:gridSpan w:val="3"/>
            <w:tcBorders>
              <w:top w:val="single" w:sz="4" w:space="0" w:color="auto"/>
              <w:bottom w:val="single" w:sz="4" w:space="0" w:color="auto"/>
              <w:right w:val="double" w:sz="4" w:space="0" w:color="auto"/>
            </w:tcBorders>
            <w:shd w:val="clear" w:color="auto" w:fill="auto"/>
            <w:vAlign w:val="center"/>
          </w:tcPr>
          <w:p w:rsidR="00520137" w:rsidRPr="00970D6D" w:rsidRDefault="00970D6D" w:rsidP="00BB214A">
            <w:pPr>
              <w:jc w:val="center"/>
              <w:rPr>
                <w:rFonts w:ascii="Calibri" w:hAnsi="Calibri"/>
                <w:sz w:val="20"/>
                <w:szCs w:val="20"/>
              </w:rPr>
            </w:pPr>
            <w:r w:rsidRPr="00970D6D">
              <w:rPr>
                <w:rFonts w:ascii="Calibri" w:hAnsi="Calibri"/>
                <w:sz w:val="20"/>
                <w:szCs w:val="20"/>
              </w:rPr>
              <w:t>49,583</w:t>
            </w:r>
          </w:p>
        </w:tc>
      </w:tr>
      <w:tr w:rsidR="00520137" w:rsidRPr="007214FD" w:rsidTr="00BB214A">
        <w:trPr>
          <w:trHeight w:val="167"/>
        </w:trPr>
        <w:tc>
          <w:tcPr>
            <w:tcW w:w="3941" w:type="dxa"/>
            <w:gridSpan w:val="3"/>
            <w:tcBorders>
              <w:top w:val="single" w:sz="4" w:space="0" w:color="auto"/>
              <w:bottom w:val="single" w:sz="4" w:space="0" w:color="auto"/>
            </w:tcBorders>
            <w:shd w:val="clear" w:color="auto" w:fill="auto"/>
            <w:vAlign w:val="center"/>
          </w:tcPr>
          <w:p w:rsidR="00520137" w:rsidRPr="007214FD" w:rsidRDefault="00520137" w:rsidP="00BB214A">
            <w:pPr>
              <w:jc w:val="both"/>
              <w:rPr>
                <w:rFonts w:ascii="Calibri" w:hAnsi="Calibri"/>
                <w:sz w:val="14"/>
                <w:szCs w:val="14"/>
                <w:lang w:val="en-CA"/>
              </w:rPr>
            </w:pPr>
          </w:p>
        </w:tc>
        <w:tc>
          <w:tcPr>
            <w:tcW w:w="1896" w:type="dxa"/>
            <w:gridSpan w:val="3"/>
            <w:tcBorders>
              <w:top w:val="single" w:sz="4" w:space="0" w:color="auto"/>
              <w:bottom w:val="single" w:sz="4" w:space="0" w:color="auto"/>
            </w:tcBorders>
            <w:shd w:val="clear" w:color="auto" w:fill="auto"/>
            <w:vAlign w:val="center"/>
          </w:tcPr>
          <w:p w:rsidR="00520137" w:rsidRPr="007214FD" w:rsidRDefault="00520137" w:rsidP="00BB214A">
            <w:pPr>
              <w:jc w:val="both"/>
              <w:rPr>
                <w:rFonts w:ascii="Calibri" w:hAnsi="Calibri"/>
                <w:sz w:val="14"/>
                <w:szCs w:val="14"/>
              </w:rPr>
            </w:pPr>
          </w:p>
        </w:tc>
        <w:tc>
          <w:tcPr>
            <w:tcW w:w="2064" w:type="dxa"/>
            <w:gridSpan w:val="2"/>
            <w:tcBorders>
              <w:top w:val="single" w:sz="4" w:space="0" w:color="auto"/>
              <w:bottom w:val="single" w:sz="4" w:space="0" w:color="auto"/>
            </w:tcBorders>
            <w:shd w:val="clear" w:color="auto" w:fill="auto"/>
            <w:vAlign w:val="center"/>
          </w:tcPr>
          <w:p w:rsidR="00520137" w:rsidRPr="007214FD" w:rsidRDefault="00520137" w:rsidP="00BB214A">
            <w:pPr>
              <w:jc w:val="both"/>
              <w:rPr>
                <w:rFonts w:ascii="Calibri" w:hAnsi="Calibri"/>
                <w:sz w:val="14"/>
                <w:szCs w:val="14"/>
              </w:rPr>
            </w:pPr>
          </w:p>
        </w:tc>
        <w:tc>
          <w:tcPr>
            <w:tcW w:w="2026" w:type="dxa"/>
            <w:gridSpan w:val="3"/>
            <w:tcBorders>
              <w:top w:val="single" w:sz="4" w:space="0" w:color="auto"/>
              <w:bottom w:val="single" w:sz="4" w:space="0" w:color="auto"/>
              <w:right w:val="single" w:sz="4" w:space="0" w:color="auto"/>
            </w:tcBorders>
            <w:shd w:val="clear" w:color="auto" w:fill="auto"/>
            <w:vAlign w:val="center"/>
          </w:tcPr>
          <w:p w:rsidR="00520137" w:rsidRPr="007214FD" w:rsidRDefault="00520137" w:rsidP="00BB214A">
            <w:pPr>
              <w:jc w:val="both"/>
              <w:rPr>
                <w:rFonts w:ascii="Calibri" w:hAnsi="Calibri"/>
                <w:sz w:val="14"/>
                <w:szCs w:val="14"/>
              </w:rPr>
            </w:pPr>
          </w:p>
        </w:tc>
        <w:tc>
          <w:tcPr>
            <w:tcW w:w="2085" w:type="dxa"/>
            <w:gridSpan w:val="2"/>
            <w:tcBorders>
              <w:top w:val="single" w:sz="4" w:space="0" w:color="auto"/>
              <w:bottom w:val="single" w:sz="4" w:space="0" w:color="auto"/>
              <w:right w:val="single" w:sz="4" w:space="0" w:color="auto"/>
            </w:tcBorders>
            <w:shd w:val="clear" w:color="auto" w:fill="auto"/>
            <w:vAlign w:val="center"/>
          </w:tcPr>
          <w:p w:rsidR="00520137" w:rsidRPr="007214FD" w:rsidRDefault="00520137" w:rsidP="00BB214A">
            <w:pPr>
              <w:jc w:val="both"/>
              <w:rPr>
                <w:rFonts w:ascii="Calibri" w:hAnsi="Calibri"/>
                <w:sz w:val="14"/>
                <w:szCs w:val="14"/>
              </w:rPr>
            </w:pPr>
          </w:p>
        </w:tc>
        <w:tc>
          <w:tcPr>
            <w:tcW w:w="2676" w:type="dxa"/>
            <w:gridSpan w:val="3"/>
            <w:tcBorders>
              <w:top w:val="single" w:sz="4" w:space="0" w:color="auto"/>
              <w:bottom w:val="single" w:sz="4" w:space="0" w:color="auto"/>
              <w:right w:val="double" w:sz="4" w:space="0" w:color="auto"/>
            </w:tcBorders>
            <w:shd w:val="clear" w:color="auto" w:fill="auto"/>
            <w:vAlign w:val="center"/>
          </w:tcPr>
          <w:p w:rsidR="00520137" w:rsidRPr="007214FD" w:rsidRDefault="00520137" w:rsidP="00BB214A">
            <w:pPr>
              <w:jc w:val="both"/>
              <w:rPr>
                <w:rFonts w:ascii="Calibri" w:hAnsi="Calibri"/>
                <w:sz w:val="14"/>
                <w:szCs w:val="14"/>
              </w:rPr>
            </w:pPr>
          </w:p>
        </w:tc>
      </w:tr>
      <w:tr w:rsidR="00520137" w:rsidRPr="007214FD" w:rsidTr="00BB214A">
        <w:trPr>
          <w:trHeight w:val="350"/>
        </w:trPr>
        <w:tc>
          <w:tcPr>
            <w:tcW w:w="3941" w:type="dxa"/>
            <w:gridSpan w:val="3"/>
            <w:vMerge w:val="restart"/>
            <w:tcBorders>
              <w:top w:val="single" w:sz="4" w:space="0" w:color="auto"/>
              <w:bottom w:val="single" w:sz="4" w:space="0" w:color="auto"/>
            </w:tcBorders>
            <w:shd w:val="clear" w:color="auto" w:fill="auto"/>
            <w:vAlign w:val="center"/>
          </w:tcPr>
          <w:p w:rsidR="00520137" w:rsidRPr="007214FD" w:rsidRDefault="00B408CF" w:rsidP="00BB214A">
            <w:pPr>
              <w:jc w:val="both"/>
              <w:rPr>
                <w:rFonts w:ascii="Calibri" w:hAnsi="Calibri"/>
                <w:b/>
                <w:bCs/>
                <w:sz w:val="18"/>
                <w:szCs w:val="18"/>
              </w:rPr>
            </w:pPr>
            <w:r w:rsidRPr="007214FD">
              <w:rPr>
                <w:rFonts w:ascii="Calibri" w:hAnsi="Calibri"/>
                <w:b/>
                <w:sz w:val="18"/>
                <w:szCs w:val="18"/>
                <w:lang w:val="en-CA"/>
              </w:rPr>
              <w:fldChar w:fldCharType="begin"/>
            </w:r>
            <w:r w:rsidR="00520137" w:rsidRPr="007214FD">
              <w:rPr>
                <w:rFonts w:ascii="Calibri" w:hAnsi="Calibri"/>
                <w:b/>
                <w:sz w:val="18"/>
                <w:szCs w:val="18"/>
                <w:lang w:val="en-CA"/>
              </w:rPr>
              <w:instrText xml:space="preserve"> SEQ CHAPTER \h \r 1</w:instrText>
            </w:r>
            <w:r w:rsidRPr="007214FD">
              <w:rPr>
                <w:rFonts w:ascii="Calibri" w:hAnsi="Calibri"/>
                <w:b/>
                <w:sz w:val="18"/>
                <w:szCs w:val="18"/>
                <w:lang w:val="en-CA"/>
              </w:rPr>
              <w:fldChar w:fldCharType="end"/>
            </w:r>
            <w:r w:rsidR="00520137" w:rsidRPr="007214FD">
              <w:rPr>
                <w:rFonts w:ascii="Calibri" w:hAnsi="Calibri"/>
                <w:b/>
                <w:bCs/>
                <w:sz w:val="18"/>
                <w:szCs w:val="18"/>
              </w:rPr>
              <w:t>Total Costs and FTE</w:t>
            </w:r>
          </w:p>
          <w:p w:rsidR="00520137" w:rsidRPr="007214FD" w:rsidRDefault="00520137" w:rsidP="00BB214A">
            <w:pPr>
              <w:jc w:val="both"/>
              <w:rPr>
                <w:rFonts w:ascii="Calibri" w:hAnsi="Calibri"/>
                <w:b/>
                <w:bCs/>
                <w:sz w:val="18"/>
                <w:szCs w:val="18"/>
              </w:rPr>
            </w:pPr>
          </w:p>
          <w:p w:rsidR="00520137" w:rsidRPr="007214FD" w:rsidRDefault="00520137" w:rsidP="00BB214A">
            <w:pPr>
              <w:jc w:val="both"/>
              <w:rPr>
                <w:rFonts w:ascii="Calibri" w:hAnsi="Calibri"/>
                <w:bCs/>
                <w:sz w:val="18"/>
                <w:szCs w:val="18"/>
              </w:rPr>
            </w:pPr>
            <w:r w:rsidRPr="007214FD">
              <w:rPr>
                <w:rFonts w:ascii="Calibri" w:hAnsi="Calibri"/>
                <w:bCs/>
                <w:sz w:val="18"/>
                <w:szCs w:val="18"/>
              </w:rPr>
              <w:t>(Reimbursable FTE are included, but reimbursable costs are bracketed and not included in the total)</w:t>
            </w:r>
          </w:p>
        </w:tc>
        <w:tc>
          <w:tcPr>
            <w:tcW w:w="696" w:type="dxa"/>
            <w:gridSpan w:val="2"/>
            <w:tcBorders>
              <w:top w:val="single" w:sz="4" w:space="0" w:color="auto"/>
              <w:bottom w:val="single" w:sz="4" w:space="0" w:color="auto"/>
            </w:tcBorders>
            <w:shd w:val="clear" w:color="auto" w:fill="auto"/>
            <w:vAlign w:val="center"/>
          </w:tcPr>
          <w:p w:rsidR="00520137" w:rsidRPr="007214FD" w:rsidRDefault="00520137" w:rsidP="00BB214A">
            <w:pPr>
              <w:jc w:val="both"/>
              <w:rPr>
                <w:rFonts w:ascii="Calibri" w:hAnsi="Calibri"/>
                <w:b/>
                <w:sz w:val="20"/>
                <w:szCs w:val="20"/>
              </w:rPr>
            </w:pPr>
            <w:r w:rsidRPr="007214FD">
              <w:rPr>
                <w:rFonts w:ascii="Calibri" w:hAnsi="Calibri"/>
                <w:b/>
                <w:sz w:val="20"/>
                <w:szCs w:val="20"/>
              </w:rPr>
              <w:t>FTE</w:t>
            </w:r>
          </w:p>
        </w:tc>
        <w:tc>
          <w:tcPr>
            <w:tcW w:w="1200" w:type="dxa"/>
            <w:tcBorders>
              <w:top w:val="single" w:sz="4" w:space="0" w:color="auto"/>
              <w:bottom w:val="single" w:sz="4" w:space="0" w:color="auto"/>
            </w:tcBorders>
            <w:shd w:val="clear" w:color="auto" w:fill="auto"/>
            <w:vAlign w:val="center"/>
          </w:tcPr>
          <w:p w:rsidR="00520137" w:rsidRPr="007214FD" w:rsidRDefault="00520137" w:rsidP="00BB214A">
            <w:pPr>
              <w:jc w:val="both"/>
              <w:rPr>
                <w:rFonts w:ascii="Calibri" w:hAnsi="Calibri"/>
                <w:b/>
                <w:sz w:val="20"/>
                <w:szCs w:val="20"/>
              </w:rPr>
            </w:pPr>
            <w:r w:rsidRPr="007214FD">
              <w:rPr>
                <w:rFonts w:ascii="Calibri" w:hAnsi="Calibri"/>
                <w:b/>
                <w:sz w:val="20"/>
                <w:szCs w:val="20"/>
              </w:rPr>
              <w:t>$000</w:t>
            </w:r>
          </w:p>
        </w:tc>
        <w:tc>
          <w:tcPr>
            <w:tcW w:w="804" w:type="dxa"/>
            <w:tcBorders>
              <w:top w:val="single" w:sz="4" w:space="0" w:color="auto"/>
              <w:bottom w:val="single" w:sz="4" w:space="0" w:color="auto"/>
            </w:tcBorders>
            <w:shd w:val="clear" w:color="auto" w:fill="auto"/>
            <w:vAlign w:val="center"/>
          </w:tcPr>
          <w:p w:rsidR="00520137" w:rsidRPr="007214FD" w:rsidRDefault="00520137" w:rsidP="00BB214A">
            <w:pPr>
              <w:jc w:val="both"/>
              <w:rPr>
                <w:rFonts w:ascii="Calibri" w:hAnsi="Calibri"/>
                <w:b/>
                <w:sz w:val="20"/>
                <w:szCs w:val="20"/>
              </w:rPr>
            </w:pPr>
            <w:r w:rsidRPr="007214FD">
              <w:rPr>
                <w:rFonts w:ascii="Calibri" w:hAnsi="Calibri"/>
                <w:b/>
                <w:sz w:val="20"/>
                <w:szCs w:val="20"/>
              </w:rPr>
              <w:t>FTE</w:t>
            </w:r>
          </w:p>
        </w:tc>
        <w:tc>
          <w:tcPr>
            <w:tcW w:w="1260" w:type="dxa"/>
            <w:tcBorders>
              <w:top w:val="single" w:sz="4" w:space="0" w:color="auto"/>
              <w:bottom w:val="single" w:sz="4" w:space="0" w:color="auto"/>
            </w:tcBorders>
            <w:shd w:val="clear" w:color="auto" w:fill="auto"/>
            <w:vAlign w:val="center"/>
          </w:tcPr>
          <w:p w:rsidR="00520137" w:rsidRPr="007214FD" w:rsidRDefault="00520137" w:rsidP="00BB214A">
            <w:pPr>
              <w:jc w:val="both"/>
              <w:rPr>
                <w:rFonts w:ascii="Calibri" w:hAnsi="Calibri"/>
                <w:b/>
                <w:sz w:val="20"/>
                <w:szCs w:val="20"/>
              </w:rPr>
            </w:pPr>
            <w:r w:rsidRPr="007214FD">
              <w:rPr>
                <w:rFonts w:ascii="Calibri" w:hAnsi="Calibri"/>
                <w:b/>
                <w:sz w:val="20"/>
                <w:szCs w:val="20"/>
              </w:rPr>
              <w:t>$000</w:t>
            </w:r>
          </w:p>
        </w:tc>
        <w:tc>
          <w:tcPr>
            <w:tcW w:w="766" w:type="dxa"/>
            <w:tcBorders>
              <w:top w:val="single" w:sz="4" w:space="0" w:color="auto"/>
              <w:bottom w:val="single" w:sz="4" w:space="0" w:color="auto"/>
            </w:tcBorders>
            <w:shd w:val="clear" w:color="auto" w:fill="auto"/>
            <w:vAlign w:val="center"/>
          </w:tcPr>
          <w:p w:rsidR="00520137" w:rsidRPr="007214FD" w:rsidRDefault="00520137" w:rsidP="00BB214A">
            <w:pPr>
              <w:jc w:val="both"/>
              <w:rPr>
                <w:rFonts w:ascii="Calibri" w:hAnsi="Calibri"/>
                <w:b/>
                <w:sz w:val="20"/>
                <w:szCs w:val="20"/>
              </w:rPr>
            </w:pPr>
            <w:r w:rsidRPr="007214FD">
              <w:rPr>
                <w:rFonts w:ascii="Calibri" w:hAnsi="Calibri"/>
                <w:b/>
                <w:sz w:val="20"/>
                <w:szCs w:val="20"/>
              </w:rPr>
              <w:t>FTE</w:t>
            </w:r>
          </w:p>
        </w:tc>
        <w:tc>
          <w:tcPr>
            <w:tcW w:w="1260" w:type="dxa"/>
            <w:gridSpan w:val="2"/>
            <w:tcBorders>
              <w:top w:val="single" w:sz="4" w:space="0" w:color="auto"/>
              <w:bottom w:val="single" w:sz="4" w:space="0" w:color="auto"/>
            </w:tcBorders>
            <w:shd w:val="clear" w:color="auto" w:fill="auto"/>
            <w:vAlign w:val="center"/>
          </w:tcPr>
          <w:p w:rsidR="00520137" w:rsidRPr="007214FD" w:rsidRDefault="00520137" w:rsidP="00BB214A">
            <w:pPr>
              <w:jc w:val="both"/>
              <w:rPr>
                <w:rFonts w:ascii="Calibri" w:hAnsi="Calibri"/>
                <w:b/>
                <w:sz w:val="20"/>
                <w:szCs w:val="20"/>
              </w:rPr>
            </w:pPr>
            <w:r w:rsidRPr="007214FD">
              <w:rPr>
                <w:rFonts w:ascii="Calibri" w:hAnsi="Calibri"/>
                <w:b/>
                <w:sz w:val="20"/>
                <w:szCs w:val="20"/>
              </w:rPr>
              <w:t>$000</w:t>
            </w:r>
          </w:p>
        </w:tc>
        <w:tc>
          <w:tcPr>
            <w:tcW w:w="648" w:type="dxa"/>
            <w:tcBorders>
              <w:top w:val="single" w:sz="4" w:space="0" w:color="auto"/>
              <w:bottom w:val="single" w:sz="4" w:space="0" w:color="auto"/>
            </w:tcBorders>
            <w:shd w:val="clear" w:color="auto" w:fill="auto"/>
            <w:vAlign w:val="center"/>
          </w:tcPr>
          <w:p w:rsidR="00520137" w:rsidRPr="007214FD" w:rsidRDefault="00520137" w:rsidP="00BB214A">
            <w:pPr>
              <w:jc w:val="both"/>
              <w:rPr>
                <w:rFonts w:ascii="Calibri" w:hAnsi="Calibri"/>
                <w:b/>
                <w:sz w:val="20"/>
                <w:szCs w:val="20"/>
              </w:rPr>
            </w:pPr>
            <w:r w:rsidRPr="007214FD">
              <w:rPr>
                <w:rFonts w:ascii="Calibri" w:hAnsi="Calibri"/>
                <w:b/>
                <w:sz w:val="20"/>
                <w:szCs w:val="20"/>
              </w:rPr>
              <w:t>FTE</w:t>
            </w:r>
          </w:p>
        </w:tc>
        <w:tc>
          <w:tcPr>
            <w:tcW w:w="1437" w:type="dxa"/>
            <w:tcBorders>
              <w:top w:val="single" w:sz="4" w:space="0" w:color="auto"/>
              <w:bottom w:val="single" w:sz="4" w:space="0" w:color="auto"/>
            </w:tcBorders>
            <w:shd w:val="clear" w:color="auto" w:fill="auto"/>
            <w:vAlign w:val="center"/>
          </w:tcPr>
          <w:p w:rsidR="00520137" w:rsidRPr="007214FD" w:rsidRDefault="00520137" w:rsidP="00BB214A">
            <w:pPr>
              <w:jc w:val="both"/>
              <w:rPr>
                <w:rFonts w:ascii="Calibri" w:hAnsi="Calibri"/>
                <w:b/>
                <w:sz w:val="20"/>
                <w:szCs w:val="20"/>
              </w:rPr>
            </w:pPr>
            <w:r w:rsidRPr="007214FD">
              <w:rPr>
                <w:rFonts w:ascii="Calibri" w:hAnsi="Calibri"/>
                <w:b/>
                <w:sz w:val="20"/>
                <w:szCs w:val="20"/>
              </w:rPr>
              <w:t>$000</w:t>
            </w:r>
          </w:p>
        </w:tc>
        <w:tc>
          <w:tcPr>
            <w:tcW w:w="793" w:type="dxa"/>
            <w:gridSpan w:val="2"/>
            <w:tcBorders>
              <w:top w:val="single" w:sz="4" w:space="0" w:color="auto"/>
              <w:bottom w:val="single" w:sz="4" w:space="0" w:color="auto"/>
            </w:tcBorders>
            <w:shd w:val="clear" w:color="auto" w:fill="auto"/>
            <w:vAlign w:val="center"/>
          </w:tcPr>
          <w:p w:rsidR="00520137" w:rsidRPr="007214FD" w:rsidRDefault="00520137" w:rsidP="00BB214A">
            <w:pPr>
              <w:jc w:val="both"/>
              <w:rPr>
                <w:rFonts w:ascii="Calibri" w:hAnsi="Calibri"/>
                <w:b/>
                <w:sz w:val="20"/>
                <w:szCs w:val="20"/>
              </w:rPr>
            </w:pPr>
            <w:r w:rsidRPr="007214FD">
              <w:rPr>
                <w:rFonts w:ascii="Calibri" w:hAnsi="Calibri"/>
                <w:b/>
                <w:sz w:val="20"/>
                <w:szCs w:val="20"/>
              </w:rPr>
              <w:t>FTE</w:t>
            </w:r>
          </w:p>
        </w:tc>
        <w:tc>
          <w:tcPr>
            <w:tcW w:w="1883" w:type="dxa"/>
            <w:tcBorders>
              <w:top w:val="single" w:sz="4" w:space="0" w:color="auto"/>
              <w:bottom w:val="single" w:sz="4" w:space="0" w:color="auto"/>
            </w:tcBorders>
            <w:shd w:val="clear" w:color="auto" w:fill="auto"/>
            <w:vAlign w:val="center"/>
          </w:tcPr>
          <w:p w:rsidR="00520137" w:rsidRPr="007214FD" w:rsidRDefault="00520137" w:rsidP="00BB214A">
            <w:pPr>
              <w:jc w:val="both"/>
              <w:rPr>
                <w:rFonts w:ascii="Calibri" w:hAnsi="Calibri"/>
                <w:b/>
                <w:sz w:val="20"/>
                <w:szCs w:val="20"/>
              </w:rPr>
            </w:pPr>
            <w:r w:rsidRPr="007214FD">
              <w:rPr>
                <w:rFonts w:ascii="Calibri" w:hAnsi="Calibri"/>
                <w:b/>
                <w:sz w:val="20"/>
                <w:szCs w:val="20"/>
              </w:rPr>
              <w:t>$000</w:t>
            </w:r>
          </w:p>
        </w:tc>
      </w:tr>
      <w:tr w:rsidR="00520137" w:rsidRPr="007214FD" w:rsidTr="00BB214A">
        <w:trPr>
          <w:trHeight w:val="737"/>
        </w:trPr>
        <w:tc>
          <w:tcPr>
            <w:tcW w:w="3941" w:type="dxa"/>
            <w:gridSpan w:val="3"/>
            <w:vMerge/>
            <w:tcBorders>
              <w:top w:val="single" w:sz="4" w:space="0" w:color="auto"/>
              <w:bottom w:val="single" w:sz="4" w:space="0" w:color="auto"/>
            </w:tcBorders>
            <w:shd w:val="clear" w:color="auto" w:fill="auto"/>
            <w:vAlign w:val="center"/>
          </w:tcPr>
          <w:p w:rsidR="00520137" w:rsidRPr="007214FD" w:rsidRDefault="00520137" w:rsidP="00BB214A">
            <w:pPr>
              <w:jc w:val="both"/>
              <w:rPr>
                <w:rFonts w:ascii="Calibri" w:hAnsi="Calibri"/>
                <w:sz w:val="18"/>
                <w:szCs w:val="18"/>
              </w:rPr>
            </w:pPr>
          </w:p>
        </w:tc>
        <w:tc>
          <w:tcPr>
            <w:tcW w:w="696" w:type="dxa"/>
            <w:gridSpan w:val="2"/>
            <w:tcBorders>
              <w:top w:val="single" w:sz="4" w:space="0" w:color="auto"/>
              <w:bottom w:val="single" w:sz="4" w:space="0" w:color="auto"/>
            </w:tcBorders>
            <w:shd w:val="clear" w:color="auto" w:fill="auto"/>
            <w:vAlign w:val="center"/>
          </w:tcPr>
          <w:p w:rsidR="00520137" w:rsidRPr="00225993" w:rsidRDefault="00520137" w:rsidP="00BB214A">
            <w:pPr>
              <w:jc w:val="center"/>
              <w:rPr>
                <w:rFonts w:ascii="Calibri" w:hAnsi="Calibri"/>
                <w:sz w:val="20"/>
                <w:szCs w:val="20"/>
                <w:highlight w:val="yellow"/>
              </w:rPr>
            </w:pPr>
            <w:r w:rsidRPr="007E5606">
              <w:rPr>
                <w:rFonts w:ascii="Calibri" w:hAnsi="Calibri"/>
                <w:sz w:val="20"/>
                <w:szCs w:val="20"/>
                <w:lang w:val="en-CA"/>
              </w:rPr>
              <w:t>1,403</w:t>
            </w:r>
            <w:r w:rsidR="00B408CF" w:rsidRPr="00225993">
              <w:rPr>
                <w:rFonts w:ascii="Calibri" w:hAnsi="Calibri"/>
                <w:sz w:val="20"/>
                <w:szCs w:val="20"/>
                <w:highlight w:val="yellow"/>
                <w:lang w:val="en-CA"/>
              </w:rPr>
              <w:fldChar w:fldCharType="begin"/>
            </w:r>
            <w:r w:rsidRPr="00225993">
              <w:rPr>
                <w:rFonts w:ascii="Calibri" w:hAnsi="Calibri"/>
                <w:sz w:val="20"/>
                <w:szCs w:val="20"/>
                <w:highlight w:val="yellow"/>
                <w:lang w:val="en-CA"/>
              </w:rPr>
              <w:instrText xml:space="preserve"> SEQ CHAPTER \h \r 1</w:instrText>
            </w:r>
            <w:r w:rsidR="00B408CF" w:rsidRPr="00225993">
              <w:rPr>
                <w:rFonts w:ascii="Calibri" w:hAnsi="Calibri"/>
                <w:sz w:val="20"/>
                <w:szCs w:val="20"/>
                <w:highlight w:val="yellow"/>
                <w:lang w:val="en-CA"/>
              </w:rPr>
              <w:fldChar w:fldCharType="end"/>
            </w:r>
          </w:p>
        </w:tc>
        <w:tc>
          <w:tcPr>
            <w:tcW w:w="1200" w:type="dxa"/>
            <w:tcBorders>
              <w:top w:val="single" w:sz="4" w:space="0" w:color="auto"/>
              <w:bottom w:val="single" w:sz="4" w:space="0" w:color="auto"/>
            </w:tcBorders>
            <w:shd w:val="clear" w:color="auto" w:fill="auto"/>
            <w:vAlign w:val="center"/>
          </w:tcPr>
          <w:p w:rsidR="00520137" w:rsidRPr="000A52F3" w:rsidRDefault="00520137" w:rsidP="00BB214A">
            <w:pPr>
              <w:jc w:val="center"/>
              <w:rPr>
                <w:rFonts w:ascii="Calibri" w:hAnsi="Calibri"/>
                <w:sz w:val="20"/>
                <w:szCs w:val="20"/>
              </w:rPr>
            </w:pPr>
            <w:r w:rsidRPr="000A52F3">
              <w:rPr>
                <w:rFonts w:ascii="Calibri" w:hAnsi="Calibri"/>
                <w:sz w:val="20"/>
                <w:szCs w:val="20"/>
              </w:rPr>
              <w:t>293,070</w:t>
            </w:r>
          </w:p>
          <w:p w:rsidR="00520137" w:rsidRPr="00225993" w:rsidRDefault="00520137" w:rsidP="00BB214A">
            <w:pPr>
              <w:jc w:val="center"/>
              <w:rPr>
                <w:rFonts w:ascii="Calibri" w:hAnsi="Calibri"/>
                <w:sz w:val="20"/>
                <w:szCs w:val="20"/>
                <w:highlight w:val="yellow"/>
              </w:rPr>
            </w:pPr>
            <w:r w:rsidRPr="00AA66ED">
              <w:rPr>
                <w:rFonts w:ascii="Calibri" w:hAnsi="Calibri"/>
                <w:sz w:val="20"/>
                <w:szCs w:val="20"/>
              </w:rPr>
              <w:t>(103,918)</w:t>
            </w:r>
          </w:p>
        </w:tc>
        <w:tc>
          <w:tcPr>
            <w:tcW w:w="804" w:type="dxa"/>
            <w:tcBorders>
              <w:top w:val="single" w:sz="4" w:space="0" w:color="auto"/>
              <w:bottom w:val="single" w:sz="4" w:space="0" w:color="auto"/>
            </w:tcBorders>
            <w:shd w:val="clear" w:color="auto" w:fill="D9D9D9" w:themeFill="background1" w:themeFillShade="D9"/>
            <w:vAlign w:val="center"/>
          </w:tcPr>
          <w:p w:rsidR="00520137" w:rsidRPr="00225993" w:rsidRDefault="00520137" w:rsidP="00BB214A">
            <w:pPr>
              <w:jc w:val="center"/>
              <w:rPr>
                <w:rFonts w:ascii="Calibri" w:hAnsi="Calibri"/>
                <w:sz w:val="20"/>
                <w:szCs w:val="20"/>
                <w:highlight w:val="yellow"/>
              </w:rPr>
            </w:pPr>
            <w:r w:rsidRPr="00437992">
              <w:rPr>
                <w:rFonts w:ascii="Calibri" w:hAnsi="Calibri"/>
                <w:sz w:val="20"/>
                <w:szCs w:val="20"/>
              </w:rPr>
              <w:t>1,403</w:t>
            </w:r>
          </w:p>
        </w:tc>
        <w:tc>
          <w:tcPr>
            <w:tcW w:w="1260" w:type="dxa"/>
            <w:tcBorders>
              <w:top w:val="single" w:sz="4" w:space="0" w:color="auto"/>
              <w:bottom w:val="single" w:sz="4" w:space="0" w:color="auto"/>
            </w:tcBorders>
            <w:shd w:val="clear" w:color="auto" w:fill="D9D9D9" w:themeFill="background1" w:themeFillShade="D9"/>
            <w:vAlign w:val="center"/>
          </w:tcPr>
          <w:p w:rsidR="00520137" w:rsidRPr="000A52F3" w:rsidRDefault="00520137" w:rsidP="00BB214A">
            <w:pPr>
              <w:jc w:val="center"/>
              <w:rPr>
                <w:rFonts w:ascii="Calibri" w:hAnsi="Calibri"/>
                <w:sz w:val="20"/>
                <w:szCs w:val="20"/>
              </w:rPr>
            </w:pPr>
            <w:r w:rsidRPr="000A52F3">
              <w:rPr>
                <w:rFonts w:ascii="Calibri" w:hAnsi="Calibri"/>
                <w:sz w:val="20"/>
                <w:szCs w:val="20"/>
              </w:rPr>
              <w:t>293,070</w:t>
            </w:r>
          </w:p>
          <w:p w:rsidR="00520137" w:rsidRPr="00225993" w:rsidRDefault="00520137" w:rsidP="00AA66ED">
            <w:pPr>
              <w:jc w:val="center"/>
              <w:rPr>
                <w:rFonts w:ascii="Calibri" w:hAnsi="Calibri"/>
                <w:sz w:val="20"/>
                <w:szCs w:val="20"/>
                <w:highlight w:val="yellow"/>
              </w:rPr>
            </w:pPr>
            <w:r w:rsidRPr="00AA66ED">
              <w:rPr>
                <w:rFonts w:ascii="Calibri" w:hAnsi="Calibri"/>
                <w:sz w:val="20"/>
                <w:szCs w:val="20"/>
              </w:rPr>
              <w:t>(</w:t>
            </w:r>
            <w:r w:rsidR="00AA66ED" w:rsidRPr="00AA66ED">
              <w:rPr>
                <w:rFonts w:ascii="Calibri" w:hAnsi="Calibri"/>
                <w:sz w:val="20"/>
                <w:szCs w:val="20"/>
              </w:rPr>
              <w:t>76,676</w:t>
            </w:r>
            <w:r w:rsidRPr="00AA66ED">
              <w:rPr>
                <w:rFonts w:ascii="Calibri" w:hAnsi="Calibri"/>
                <w:sz w:val="20"/>
                <w:szCs w:val="20"/>
              </w:rPr>
              <w:t>)</w:t>
            </w:r>
          </w:p>
        </w:tc>
        <w:tc>
          <w:tcPr>
            <w:tcW w:w="766" w:type="dxa"/>
            <w:tcBorders>
              <w:top w:val="single" w:sz="4" w:space="0" w:color="auto"/>
              <w:bottom w:val="single" w:sz="4" w:space="0" w:color="auto"/>
            </w:tcBorders>
            <w:shd w:val="clear" w:color="auto" w:fill="auto"/>
            <w:vAlign w:val="center"/>
          </w:tcPr>
          <w:p w:rsidR="00520137" w:rsidRPr="00225993" w:rsidRDefault="007E5606" w:rsidP="00BB214A">
            <w:pPr>
              <w:jc w:val="center"/>
              <w:rPr>
                <w:rFonts w:ascii="Calibri" w:hAnsi="Calibri"/>
                <w:sz w:val="20"/>
                <w:szCs w:val="20"/>
                <w:highlight w:val="yellow"/>
              </w:rPr>
            </w:pPr>
            <w:r w:rsidRPr="007E5606">
              <w:rPr>
                <w:rFonts w:ascii="Calibri" w:hAnsi="Calibri"/>
                <w:sz w:val="20"/>
                <w:szCs w:val="20"/>
              </w:rPr>
              <w:t>1,391</w:t>
            </w:r>
            <w:r w:rsidR="00B408CF" w:rsidRPr="00225993">
              <w:rPr>
                <w:rFonts w:ascii="Calibri" w:hAnsi="Calibri"/>
                <w:sz w:val="20"/>
                <w:szCs w:val="20"/>
                <w:highlight w:val="yellow"/>
                <w:lang w:val="en-CA"/>
              </w:rPr>
              <w:fldChar w:fldCharType="begin"/>
            </w:r>
            <w:r w:rsidR="00520137" w:rsidRPr="00225993">
              <w:rPr>
                <w:rFonts w:ascii="Calibri" w:hAnsi="Calibri"/>
                <w:sz w:val="20"/>
                <w:szCs w:val="20"/>
                <w:highlight w:val="yellow"/>
                <w:lang w:val="en-CA"/>
              </w:rPr>
              <w:instrText xml:space="preserve"> SEQ CHAPTER \h \r 1</w:instrText>
            </w:r>
            <w:r w:rsidR="00B408CF" w:rsidRPr="00225993">
              <w:rPr>
                <w:rFonts w:ascii="Calibri" w:hAnsi="Calibri"/>
                <w:sz w:val="20"/>
                <w:szCs w:val="20"/>
                <w:highlight w:val="yellow"/>
                <w:lang w:val="en-CA"/>
              </w:rPr>
              <w:fldChar w:fldCharType="end"/>
            </w:r>
          </w:p>
        </w:tc>
        <w:tc>
          <w:tcPr>
            <w:tcW w:w="1260" w:type="dxa"/>
            <w:gridSpan w:val="2"/>
            <w:tcBorders>
              <w:top w:val="single" w:sz="4" w:space="0" w:color="auto"/>
              <w:bottom w:val="single" w:sz="4" w:space="0" w:color="auto"/>
              <w:right w:val="single" w:sz="4" w:space="0" w:color="auto"/>
            </w:tcBorders>
            <w:shd w:val="clear" w:color="auto" w:fill="auto"/>
            <w:vAlign w:val="center"/>
          </w:tcPr>
          <w:p w:rsidR="00520137" w:rsidRPr="000A52F3" w:rsidRDefault="007E5606" w:rsidP="00BB214A">
            <w:pPr>
              <w:jc w:val="center"/>
              <w:rPr>
                <w:rFonts w:ascii="Calibri" w:hAnsi="Calibri"/>
                <w:sz w:val="20"/>
                <w:szCs w:val="20"/>
              </w:rPr>
            </w:pPr>
            <w:r w:rsidRPr="000A52F3">
              <w:rPr>
                <w:rFonts w:ascii="Calibri" w:hAnsi="Calibri"/>
                <w:sz w:val="20"/>
                <w:szCs w:val="20"/>
              </w:rPr>
              <w:t>287,758</w:t>
            </w:r>
          </w:p>
          <w:p w:rsidR="00520137" w:rsidRPr="00225993" w:rsidRDefault="00AA66ED" w:rsidP="00BB214A">
            <w:pPr>
              <w:jc w:val="center"/>
              <w:rPr>
                <w:rFonts w:ascii="Calibri" w:hAnsi="Calibri"/>
                <w:sz w:val="20"/>
                <w:szCs w:val="20"/>
                <w:highlight w:val="yellow"/>
              </w:rPr>
            </w:pPr>
            <w:r w:rsidRPr="00AA66ED">
              <w:rPr>
                <w:rFonts w:ascii="Calibri" w:hAnsi="Calibri"/>
                <w:sz w:val="20"/>
                <w:szCs w:val="20"/>
              </w:rPr>
              <w:t>(115,004</w:t>
            </w:r>
            <w:r w:rsidR="00520137" w:rsidRPr="00AA66ED">
              <w:rPr>
                <w:rFonts w:ascii="Calibri" w:hAnsi="Calibri"/>
                <w:sz w:val="20"/>
                <w:szCs w:val="20"/>
              </w:rPr>
              <w:t>)</w:t>
            </w:r>
          </w:p>
        </w:tc>
        <w:tc>
          <w:tcPr>
            <w:tcW w:w="648" w:type="dxa"/>
            <w:tcBorders>
              <w:top w:val="nil"/>
              <w:bottom w:val="nil"/>
              <w:right w:val="single" w:sz="4" w:space="0" w:color="auto"/>
            </w:tcBorders>
            <w:shd w:val="clear" w:color="auto" w:fill="auto"/>
            <w:vAlign w:val="center"/>
          </w:tcPr>
          <w:p w:rsidR="00520137" w:rsidRPr="00225993" w:rsidRDefault="007E5606" w:rsidP="00BB214A">
            <w:pPr>
              <w:jc w:val="center"/>
              <w:rPr>
                <w:rFonts w:ascii="Calibri" w:hAnsi="Calibri"/>
                <w:sz w:val="20"/>
                <w:szCs w:val="20"/>
                <w:highlight w:val="yellow"/>
              </w:rPr>
            </w:pPr>
            <w:r w:rsidRPr="007E5606">
              <w:rPr>
                <w:rFonts w:ascii="Calibri" w:hAnsi="Calibri"/>
                <w:sz w:val="20"/>
                <w:szCs w:val="20"/>
              </w:rPr>
              <w:t>234</w:t>
            </w:r>
          </w:p>
        </w:tc>
        <w:tc>
          <w:tcPr>
            <w:tcW w:w="1437" w:type="dxa"/>
            <w:tcBorders>
              <w:top w:val="single" w:sz="4" w:space="0" w:color="auto"/>
              <w:bottom w:val="single" w:sz="4" w:space="0" w:color="auto"/>
              <w:right w:val="single" w:sz="4" w:space="0" w:color="auto"/>
            </w:tcBorders>
            <w:shd w:val="clear" w:color="auto" w:fill="auto"/>
            <w:vAlign w:val="center"/>
          </w:tcPr>
          <w:p w:rsidR="00520137" w:rsidRPr="000A52F3" w:rsidRDefault="007E5606" w:rsidP="00BB214A">
            <w:pPr>
              <w:jc w:val="center"/>
              <w:rPr>
                <w:rFonts w:ascii="Calibri" w:hAnsi="Calibri"/>
                <w:sz w:val="20"/>
                <w:szCs w:val="20"/>
              </w:rPr>
            </w:pPr>
            <w:r w:rsidRPr="000A52F3">
              <w:rPr>
                <w:rFonts w:ascii="Calibri" w:hAnsi="Calibri"/>
                <w:sz w:val="20"/>
                <w:szCs w:val="20"/>
              </w:rPr>
              <w:t>22,354</w:t>
            </w:r>
          </w:p>
          <w:p w:rsidR="00520137" w:rsidRPr="00225993" w:rsidRDefault="00AA66ED" w:rsidP="00AA66ED">
            <w:pPr>
              <w:jc w:val="center"/>
              <w:rPr>
                <w:rFonts w:ascii="Calibri" w:hAnsi="Calibri"/>
                <w:sz w:val="20"/>
                <w:szCs w:val="20"/>
                <w:highlight w:val="yellow"/>
              </w:rPr>
            </w:pPr>
            <w:r w:rsidRPr="006D7CC7">
              <w:rPr>
                <w:rFonts w:ascii="Calibri" w:hAnsi="Calibri"/>
                <w:sz w:val="20"/>
                <w:szCs w:val="20"/>
              </w:rPr>
              <w:t>(-2</w:t>
            </w:r>
            <w:r w:rsidR="00520137" w:rsidRPr="006D7CC7">
              <w:rPr>
                <w:rFonts w:ascii="Calibri" w:hAnsi="Calibri"/>
                <w:sz w:val="20"/>
                <w:szCs w:val="20"/>
              </w:rPr>
              <w:t>,1</w:t>
            </w:r>
            <w:r w:rsidRPr="006D7CC7">
              <w:rPr>
                <w:rFonts w:ascii="Calibri" w:hAnsi="Calibri"/>
                <w:sz w:val="20"/>
                <w:szCs w:val="20"/>
              </w:rPr>
              <w:t>43</w:t>
            </w:r>
            <w:r w:rsidR="00520137" w:rsidRPr="006D7CC7">
              <w:rPr>
                <w:rFonts w:ascii="Calibri" w:hAnsi="Calibri"/>
                <w:sz w:val="20"/>
                <w:szCs w:val="20"/>
              </w:rPr>
              <w:t>)</w:t>
            </w:r>
          </w:p>
        </w:tc>
        <w:tc>
          <w:tcPr>
            <w:tcW w:w="793" w:type="dxa"/>
            <w:gridSpan w:val="2"/>
            <w:tcBorders>
              <w:top w:val="single" w:sz="4" w:space="0" w:color="auto"/>
              <w:bottom w:val="single" w:sz="4" w:space="0" w:color="auto"/>
              <w:right w:val="single" w:sz="4" w:space="0" w:color="auto"/>
            </w:tcBorders>
            <w:shd w:val="clear" w:color="auto" w:fill="auto"/>
            <w:vAlign w:val="center"/>
          </w:tcPr>
          <w:p w:rsidR="00520137" w:rsidRPr="00225993" w:rsidRDefault="007E5606" w:rsidP="00BB214A">
            <w:pPr>
              <w:jc w:val="center"/>
              <w:rPr>
                <w:rFonts w:ascii="Calibri" w:hAnsi="Calibri"/>
                <w:sz w:val="20"/>
                <w:szCs w:val="20"/>
                <w:highlight w:val="yellow"/>
              </w:rPr>
            </w:pPr>
            <w:r w:rsidRPr="007E5606">
              <w:rPr>
                <w:rFonts w:ascii="Calibri" w:hAnsi="Calibri"/>
                <w:sz w:val="20"/>
                <w:szCs w:val="20"/>
              </w:rPr>
              <w:t>1,625</w:t>
            </w:r>
          </w:p>
        </w:tc>
        <w:tc>
          <w:tcPr>
            <w:tcW w:w="1883" w:type="dxa"/>
            <w:tcBorders>
              <w:top w:val="single" w:sz="4" w:space="0" w:color="auto"/>
              <w:bottom w:val="single" w:sz="4" w:space="0" w:color="auto"/>
              <w:right w:val="double" w:sz="4" w:space="0" w:color="auto"/>
            </w:tcBorders>
            <w:shd w:val="clear" w:color="auto" w:fill="auto"/>
            <w:vAlign w:val="center"/>
          </w:tcPr>
          <w:p w:rsidR="00520137" w:rsidRPr="000A52F3" w:rsidRDefault="007E5606" w:rsidP="00BB214A">
            <w:pPr>
              <w:jc w:val="center"/>
              <w:rPr>
                <w:rFonts w:ascii="Calibri" w:hAnsi="Calibri"/>
                <w:sz w:val="20"/>
                <w:szCs w:val="20"/>
              </w:rPr>
            </w:pPr>
            <w:r w:rsidRPr="000A52F3">
              <w:rPr>
                <w:rFonts w:ascii="Calibri" w:hAnsi="Calibri"/>
                <w:sz w:val="20"/>
                <w:szCs w:val="20"/>
              </w:rPr>
              <w:t>310,112</w:t>
            </w:r>
          </w:p>
          <w:p w:rsidR="00520137" w:rsidRPr="00225993" w:rsidRDefault="00520137" w:rsidP="00AA66ED">
            <w:pPr>
              <w:jc w:val="center"/>
              <w:rPr>
                <w:rFonts w:ascii="Calibri" w:hAnsi="Calibri"/>
                <w:sz w:val="20"/>
                <w:szCs w:val="20"/>
                <w:highlight w:val="yellow"/>
              </w:rPr>
            </w:pPr>
            <w:r w:rsidRPr="006D7CC7">
              <w:rPr>
                <w:rFonts w:ascii="Calibri" w:hAnsi="Calibri"/>
                <w:sz w:val="20"/>
                <w:szCs w:val="20"/>
              </w:rPr>
              <w:t>(</w:t>
            </w:r>
            <w:r w:rsidR="00AA66ED" w:rsidRPr="006D7CC7">
              <w:rPr>
                <w:rFonts w:ascii="Calibri" w:hAnsi="Calibri"/>
                <w:sz w:val="20"/>
                <w:szCs w:val="20"/>
              </w:rPr>
              <w:t>112,861</w:t>
            </w:r>
            <w:r w:rsidRPr="006D7CC7">
              <w:rPr>
                <w:rFonts w:ascii="Calibri" w:hAnsi="Calibri"/>
                <w:sz w:val="20"/>
                <w:szCs w:val="20"/>
              </w:rPr>
              <w:t>)</w:t>
            </w:r>
          </w:p>
        </w:tc>
      </w:tr>
      <w:tr w:rsidR="00520137" w:rsidRPr="007214FD" w:rsidTr="00BB214A">
        <w:trPr>
          <w:trHeight w:val="755"/>
        </w:trPr>
        <w:tc>
          <w:tcPr>
            <w:tcW w:w="1029" w:type="dxa"/>
            <w:tcBorders>
              <w:top w:val="single" w:sz="4" w:space="0" w:color="auto"/>
              <w:bottom w:val="single" w:sz="4" w:space="0" w:color="auto"/>
            </w:tcBorders>
            <w:shd w:val="clear" w:color="auto" w:fill="auto"/>
            <w:vAlign w:val="center"/>
          </w:tcPr>
          <w:p w:rsidR="00520137" w:rsidRPr="007214FD" w:rsidRDefault="00B408CF" w:rsidP="00BB214A">
            <w:pPr>
              <w:jc w:val="both"/>
              <w:rPr>
                <w:rFonts w:ascii="Calibri" w:hAnsi="Calibri"/>
                <w:sz w:val="18"/>
                <w:szCs w:val="18"/>
              </w:rPr>
            </w:pPr>
            <w:r w:rsidRPr="007214FD">
              <w:rPr>
                <w:rFonts w:ascii="Calibri" w:hAnsi="Calibri"/>
                <w:sz w:val="18"/>
                <w:szCs w:val="18"/>
                <w:lang w:val="en-CA"/>
              </w:rPr>
              <w:fldChar w:fldCharType="begin"/>
            </w:r>
            <w:r w:rsidR="00520137" w:rsidRPr="007214FD">
              <w:rPr>
                <w:rFonts w:ascii="Calibri" w:hAnsi="Calibri"/>
                <w:sz w:val="18"/>
                <w:szCs w:val="18"/>
                <w:lang w:val="en-CA"/>
              </w:rPr>
              <w:instrText xml:space="preserve"> SEQ CHAPTER \h \r 1</w:instrText>
            </w:r>
            <w:r w:rsidRPr="007214FD">
              <w:rPr>
                <w:rFonts w:ascii="Calibri" w:hAnsi="Calibri"/>
                <w:sz w:val="18"/>
                <w:szCs w:val="18"/>
                <w:lang w:val="en-CA"/>
              </w:rPr>
              <w:fldChar w:fldCharType="end"/>
            </w:r>
            <w:r w:rsidR="00520137" w:rsidRPr="007214FD">
              <w:rPr>
                <w:rFonts w:ascii="Calibri" w:hAnsi="Calibri"/>
                <w:b/>
                <w:bCs/>
                <w:sz w:val="18"/>
                <w:szCs w:val="18"/>
              </w:rPr>
              <w:t>TYPE/ Strategic Objective</w:t>
            </w:r>
          </w:p>
        </w:tc>
        <w:tc>
          <w:tcPr>
            <w:tcW w:w="2912" w:type="dxa"/>
            <w:gridSpan w:val="2"/>
            <w:tcBorders>
              <w:top w:val="single" w:sz="4" w:space="0" w:color="auto"/>
              <w:bottom w:val="single" w:sz="4" w:space="0" w:color="auto"/>
            </w:tcBorders>
            <w:shd w:val="clear" w:color="auto" w:fill="auto"/>
            <w:vAlign w:val="center"/>
          </w:tcPr>
          <w:p w:rsidR="00520137" w:rsidRPr="007214FD" w:rsidRDefault="00520137" w:rsidP="00BB214A">
            <w:pPr>
              <w:jc w:val="both"/>
              <w:rPr>
                <w:rFonts w:ascii="Calibri" w:hAnsi="Calibri"/>
                <w:b/>
                <w:sz w:val="18"/>
                <w:szCs w:val="18"/>
              </w:rPr>
            </w:pPr>
            <w:r w:rsidRPr="007214FD">
              <w:rPr>
                <w:rFonts w:ascii="Calibri" w:hAnsi="Calibri"/>
                <w:b/>
                <w:sz w:val="18"/>
                <w:szCs w:val="18"/>
              </w:rPr>
              <w:t>PERFORMANCE</w:t>
            </w:r>
          </w:p>
        </w:tc>
        <w:tc>
          <w:tcPr>
            <w:tcW w:w="1896" w:type="dxa"/>
            <w:gridSpan w:val="3"/>
            <w:tcBorders>
              <w:top w:val="single" w:sz="4" w:space="0" w:color="auto"/>
              <w:bottom w:val="single" w:sz="4" w:space="0" w:color="auto"/>
            </w:tcBorders>
            <w:shd w:val="clear" w:color="auto" w:fill="auto"/>
            <w:vAlign w:val="center"/>
          </w:tcPr>
          <w:p w:rsidR="00520137" w:rsidRPr="007214FD" w:rsidRDefault="00520137" w:rsidP="00BB214A">
            <w:pPr>
              <w:jc w:val="center"/>
              <w:rPr>
                <w:rFonts w:ascii="Calibri" w:hAnsi="Calibri"/>
                <w:b/>
                <w:sz w:val="18"/>
                <w:szCs w:val="18"/>
              </w:rPr>
            </w:pPr>
            <w:r>
              <w:rPr>
                <w:rFonts w:ascii="Calibri" w:hAnsi="Calibri"/>
                <w:b/>
                <w:sz w:val="18"/>
                <w:szCs w:val="18"/>
              </w:rPr>
              <w:t>FY 2010</w:t>
            </w:r>
          </w:p>
        </w:tc>
        <w:tc>
          <w:tcPr>
            <w:tcW w:w="2064" w:type="dxa"/>
            <w:gridSpan w:val="2"/>
            <w:tcBorders>
              <w:top w:val="single" w:sz="4" w:space="0" w:color="auto"/>
              <w:bottom w:val="single" w:sz="4" w:space="0" w:color="auto"/>
            </w:tcBorders>
            <w:shd w:val="clear" w:color="auto" w:fill="auto"/>
            <w:vAlign w:val="center"/>
          </w:tcPr>
          <w:p w:rsidR="00520137" w:rsidRPr="007214FD" w:rsidRDefault="00520137" w:rsidP="00BB214A">
            <w:pPr>
              <w:jc w:val="center"/>
              <w:rPr>
                <w:rFonts w:ascii="Calibri" w:hAnsi="Calibri"/>
                <w:b/>
                <w:sz w:val="18"/>
                <w:szCs w:val="18"/>
              </w:rPr>
            </w:pPr>
            <w:r w:rsidRPr="007214FD">
              <w:rPr>
                <w:rFonts w:ascii="Calibri" w:hAnsi="Calibri"/>
                <w:b/>
                <w:sz w:val="18"/>
                <w:szCs w:val="18"/>
              </w:rPr>
              <w:t xml:space="preserve">FY </w:t>
            </w:r>
            <w:r>
              <w:rPr>
                <w:rFonts w:ascii="Calibri" w:hAnsi="Calibri"/>
                <w:b/>
                <w:sz w:val="18"/>
                <w:szCs w:val="18"/>
              </w:rPr>
              <w:t>2010</w:t>
            </w:r>
          </w:p>
        </w:tc>
        <w:tc>
          <w:tcPr>
            <w:tcW w:w="2026" w:type="dxa"/>
            <w:gridSpan w:val="3"/>
            <w:tcBorders>
              <w:top w:val="single" w:sz="4" w:space="0" w:color="auto"/>
              <w:bottom w:val="single" w:sz="4" w:space="0" w:color="auto"/>
            </w:tcBorders>
            <w:shd w:val="clear" w:color="auto" w:fill="auto"/>
            <w:vAlign w:val="center"/>
          </w:tcPr>
          <w:p w:rsidR="00520137" w:rsidRPr="007214FD" w:rsidRDefault="00520137" w:rsidP="00BB214A">
            <w:pPr>
              <w:jc w:val="center"/>
              <w:rPr>
                <w:rFonts w:ascii="Calibri" w:hAnsi="Calibri"/>
                <w:b/>
                <w:sz w:val="18"/>
                <w:szCs w:val="18"/>
              </w:rPr>
            </w:pPr>
            <w:r>
              <w:rPr>
                <w:rFonts w:ascii="Calibri" w:hAnsi="Calibri"/>
                <w:b/>
                <w:sz w:val="18"/>
                <w:szCs w:val="18"/>
              </w:rPr>
              <w:t>FY 2011</w:t>
            </w:r>
          </w:p>
          <w:p w:rsidR="00520137" w:rsidRPr="007214FD" w:rsidRDefault="00520137" w:rsidP="00BB214A">
            <w:pPr>
              <w:jc w:val="center"/>
              <w:rPr>
                <w:rFonts w:ascii="Calibri" w:hAnsi="Calibri"/>
                <w:b/>
                <w:sz w:val="18"/>
                <w:szCs w:val="18"/>
              </w:rPr>
            </w:pPr>
            <w:r w:rsidRPr="007214FD">
              <w:rPr>
                <w:rFonts w:ascii="Calibri" w:hAnsi="Calibri"/>
                <w:b/>
                <w:sz w:val="18"/>
                <w:szCs w:val="18"/>
              </w:rPr>
              <w:t>Enacted</w:t>
            </w:r>
          </w:p>
        </w:tc>
        <w:tc>
          <w:tcPr>
            <w:tcW w:w="2085" w:type="dxa"/>
            <w:gridSpan w:val="2"/>
            <w:tcBorders>
              <w:top w:val="single" w:sz="4" w:space="0" w:color="auto"/>
              <w:bottom w:val="single" w:sz="4" w:space="0" w:color="auto"/>
            </w:tcBorders>
            <w:shd w:val="clear" w:color="auto" w:fill="auto"/>
            <w:vAlign w:val="center"/>
          </w:tcPr>
          <w:p w:rsidR="00520137" w:rsidRPr="007214FD" w:rsidRDefault="00520137" w:rsidP="00BB214A">
            <w:pPr>
              <w:jc w:val="center"/>
              <w:rPr>
                <w:rFonts w:ascii="Calibri" w:hAnsi="Calibri"/>
                <w:b/>
                <w:sz w:val="18"/>
                <w:szCs w:val="18"/>
              </w:rPr>
            </w:pPr>
            <w:r w:rsidRPr="007214FD">
              <w:rPr>
                <w:rFonts w:ascii="Calibri" w:hAnsi="Calibri"/>
                <w:b/>
                <w:sz w:val="18"/>
                <w:szCs w:val="18"/>
              </w:rPr>
              <w:t>Current Services</w:t>
            </w:r>
          </w:p>
          <w:p w:rsidR="00520137" w:rsidRPr="007214FD" w:rsidRDefault="00520137" w:rsidP="00BB214A">
            <w:pPr>
              <w:jc w:val="center"/>
              <w:rPr>
                <w:rFonts w:ascii="Calibri" w:hAnsi="Calibri"/>
                <w:b/>
                <w:sz w:val="18"/>
                <w:szCs w:val="18"/>
              </w:rPr>
            </w:pPr>
            <w:r>
              <w:rPr>
                <w:rFonts w:ascii="Calibri" w:hAnsi="Calibri"/>
                <w:b/>
                <w:sz w:val="18"/>
                <w:szCs w:val="18"/>
              </w:rPr>
              <w:t>Adjustments and FY 2012</w:t>
            </w:r>
            <w:r w:rsidRPr="007214FD">
              <w:rPr>
                <w:rFonts w:ascii="Calibri" w:hAnsi="Calibri"/>
                <w:b/>
                <w:sz w:val="18"/>
                <w:szCs w:val="18"/>
              </w:rPr>
              <w:t xml:space="preserve"> Program Changes</w:t>
            </w:r>
          </w:p>
        </w:tc>
        <w:tc>
          <w:tcPr>
            <w:tcW w:w="2676" w:type="dxa"/>
            <w:gridSpan w:val="3"/>
            <w:tcBorders>
              <w:top w:val="single" w:sz="4" w:space="0" w:color="auto"/>
              <w:bottom w:val="single" w:sz="4" w:space="0" w:color="auto"/>
            </w:tcBorders>
            <w:shd w:val="clear" w:color="auto" w:fill="auto"/>
            <w:vAlign w:val="center"/>
          </w:tcPr>
          <w:p w:rsidR="00520137" w:rsidRPr="007214FD" w:rsidRDefault="00520137" w:rsidP="00BB214A">
            <w:pPr>
              <w:jc w:val="center"/>
              <w:rPr>
                <w:rFonts w:ascii="Calibri" w:hAnsi="Calibri"/>
                <w:b/>
                <w:sz w:val="18"/>
                <w:szCs w:val="18"/>
              </w:rPr>
            </w:pPr>
            <w:r>
              <w:rPr>
                <w:rFonts w:ascii="Calibri" w:hAnsi="Calibri"/>
                <w:b/>
                <w:sz w:val="18"/>
                <w:szCs w:val="18"/>
              </w:rPr>
              <w:t>FY 2012</w:t>
            </w:r>
            <w:r w:rsidRPr="007214FD">
              <w:rPr>
                <w:rFonts w:ascii="Calibri" w:hAnsi="Calibri"/>
                <w:b/>
                <w:sz w:val="18"/>
                <w:szCs w:val="18"/>
              </w:rPr>
              <w:t xml:space="preserve"> Request</w:t>
            </w:r>
          </w:p>
        </w:tc>
      </w:tr>
      <w:tr w:rsidR="00520137" w:rsidRPr="007214FD" w:rsidTr="00BB214A">
        <w:trPr>
          <w:trHeight w:val="485"/>
        </w:trPr>
        <w:tc>
          <w:tcPr>
            <w:tcW w:w="1029" w:type="dxa"/>
            <w:tcBorders>
              <w:top w:val="single" w:sz="4" w:space="0" w:color="auto"/>
              <w:bottom w:val="single" w:sz="4" w:space="0" w:color="auto"/>
            </w:tcBorders>
            <w:shd w:val="clear" w:color="auto" w:fill="auto"/>
            <w:vAlign w:val="center"/>
          </w:tcPr>
          <w:p w:rsidR="00520137" w:rsidRPr="007214FD" w:rsidRDefault="00B408CF" w:rsidP="00BB214A">
            <w:pPr>
              <w:jc w:val="both"/>
              <w:rPr>
                <w:rFonts w:ascii="Calibri" w:hAnsi="Calibri"/>
                <w:sz w:val="18"/>
                <w:szCs w:val="18"/>
              </w:rPr>
            </w:pPr>
            <w:r w:rsidRPr="007214FD">
              <w:rPr>
                <w:rFonts w:ascii="Calibri" w:hAnsi="Calibri"/>
                <w:sz w:val="18"/>
                <w:szCs w:val="18"/>
                <w:lang w:val="en-CA"/>
              </w:rPr>
              <w:fldChar w:fldCharType="begin"/>
            </w:r>
            <w:r w:rsidR="00520137" w:rsidRPr="007214FD">
              <w:rPr>
                <w:rFonts w:ascii="Calibri" w:hAnsi="Calibri"/>
                <w:sz w:val="18"/>
                <w:szCs w:val="18"/>
                <w:lang w:val="en-CA"/>
              </w:rPr>
              <w:instrText xml:space="preserve"> SEQ CHAPTER \h \r 1</w:instrText>
            </w:r>
            <w:r w:rsidRPr="007214FD">
              <w:rPr>
                <w:rFonts w:ascii="Calibri" w:hAnsi="Calibri"/>
                <w:sz w:val="18"/>
                <w:szCs w:val="18"/>
                <w:lang w:val="en-CA"/>
              </w:rPr>
              <w:fldChar w:fldCharType="end"/>
            </w:r>
            <w:r w:rsidR="00520137" w:rsidRPr="007214FD">
              <w:rPr>
                <w:rFonts w:ascii="Calibri" w:hAnsi="Calibri"/>
                <w:b/>
                <w:bCs/>
                <w:sz w:val="18"/>
                <w:szCs w:val="18"/>
              </w:rPr>
              <w:t>Output</w:t>
            </w:r>
          </w:p>
        </w:tc>
        <w:tc>
          <w:tcPr>
            <w:tcW w:w="2912" w:type="dxa"/>
            <w:gridSpan w:val="2"/>
            <w:tcBorders>
              <w:top w:val="single" w:sz="4" w:space="0" w:color="auto"/>
              <w:bottom w:val="single" w:sz="4" w:space="0" w:color="auto"/>
            </w:tcBorders>
            <w:shd w:val="clear" w:color="auto" w:fill="auto"/>
            <w:vAlign w:val="center"/>
          </w:tcPr>
          <w:p w:rsidR="00520137" w:rsidRPr="007214FD" w:rsidRDefault="00B408CF" w:rsidP="00BB214A">
            <w:pPr>
              <w:jc w:val="both"/>
              <w:rPr>
                <w:rFonts w:ascii="Calibri" w:hAnsi="Calibri"/>
                <w:sz w:val="18"/>
                <w:szCs w:val="18"/>
              </w:rPr>
            </w:pPr>
            <w:r w:rsidRPr="007214FD">
              <w:rPr>
                <w:rFonts w:ascii="Calibri" w:hAnsi="Calibri"/>
                <w:sz w:val="18"/>
                <w:szCs w:val="18"/>
                <w:lang w:val="en-CA"/>
              </w:rPr>
              <w:fldChar w:fldCharType="begin"/>
            </w:r>
            <w:r w:rsidR="00520137" w:rsidRPr="007214FD">
              <w:rPr>
                <w:rFonts w:ascii="Calibri" w:hAnsi="Calibri"/>
                <w:sz w:val="18"/>
                <w:szCs w:val="18"/>
                <w:lang w:val="en-CA"/>
              </w:rPr>
              <w:instrText xml:space="preserve"> SEQ CHAPTER \h \r 1</w:instrText>
            </w:r>
            <w:r w:rsidRPr="007214FD">
              <w:rPr>
                <w:rFonts w:ascii="Calibri" w:hAnsi="Calibri"/>
                <w:sz w:val="18"/>
                <w:szCs w:val="18"/>
                <w:lang w:val="en-CA"/>
              </w:rPr>
              <w:fldChar w:fldCharType="end"/>
            </w:r>
            <w:r w:rsidR="00520137" w:rsidRPr="007214FD">
              <w:rPr>
                <w:rFonts w:ascii="Calibri" w:hAnsi="Calibri"/>
                <w:sz w:val="18"/>
                <w:szCs w:val="18"/>
              </w:rPr>
              <w:t xml:space="preserve">1.   Number of cases terminated </w:t>
            </w:r>
          </w:p>
          <w:p w:rsidR="00520137" w:rsidRPr="007214FD" w:rsidRDefault="00520137" w:rsidP="00BB214A">
            <w:pPr>
              <w:jc w:val="both"/>
              <w:rPr>
                <w:rFonts w:ascii="Calibri" w:hAnsi="Calibri"/>
                <w:sz w:val="18"/>
                <w:szCs w:val="18"/>
              </w:rPr>
            </w:pPr>
            <w:r w:rsidRPr="007214FD">
              <w:rPr>
                <w:rFonts w:ascii="Calibri" w:hAnsi="Calibri"/>
                <w:sz w:val="18"/>
                <w:szCs w:val="18"/>
              </w:rPr>
              <w:t>during the year</w:t>
            </w:r>
          </w:p>
        </w:tc>
        <w:tc>
          <w:tcPr>
            <w:tcW w:w="1896" w:type="dxa"/>
            <w:gridSpan w:val="3"/>
            <w:tcBorders>
              <w:top w:val="single" w:sz="4" w:space="0" w:color="auto"/>
              <w:bottom w:val="single" w:sz="4" w:space="0" w:color="auto"/>
            </w:tcBorders>
            <w:shd w:val="clear" w:color="auto" w:fill="auto"/>
            <w:vAlign w:val="center"/>
          </w:tcPr>
          <w:p w:rsidR="00520137" w:rsidRPr="007214FD" w:rsidRDefault="00520137" w:rsidP="00BB214A">
            <w:pPr>
              <w:jc w:val="center"/>
              <w:rPr>
                <w:rFonts w:ascii="Calibri" w:hAnsi="Calibri"/>
                <w:sz w:val="20"/>
                <w:szCs w:val="20"/>
                <w:highlight w:val="yellow"/>
              </w:rPr>
            </w:pPr>
            <w:r w:rsidRPr="007214FD">
              <w:rPr>
                <w:rFonts w:ascii="Calibri" w:hAnsi="Calibri"/>
                <w:sz w:val="20"/>
                <w:szCs w:val="20"/>
                <w:lang w:val="en-CA"/>
              </w:rPr>
              <w:t>1</w:t>
            </w:r>
            <w:r>
              <w:rPr>
                <w:rFonts w:ascii="Calibri" w:hAnsi="Calibri"/>
                <w:sz w:val="20"/>
                <w:szCs w:val="20"/>
                <w:lang w:val="en-CA"/>
              </w:rPr>
              <w:t>4,889</w:t>
            </w:r>
            <w:r w:rsidR="00B408CF" w:rsidRPr="007214FD">
              <w:rPr>
                <w:rFonts w:ascii="Calibri" w:hAnsi="Calibri"/>
                <w:sz w:val="20"/>
                <w:szCs w:val="20"/>
                <w:highlight w:val="yellow"/>
                <w:lang w:val="en-CA"/>
              </w:rPr>
              <w:fldChar w:fldCharType="begin"/>
            </w:r>
            <w:r w:rsidRPr="007214FD">
              <w:rPr>
                <w:rFonts w:ascii="Calibri" w:hAnsi="Calibri"/>
                <w:sz w:val="20"/>
                <w:szCs w:val="20"/>
                <w:highlight w:val="yellow"/>
                <w:lang w:val="en-CA"/>
              </w:rPr>
              <w:instrText xml:space="preserve"> SEQ CHAPTER \h \r 1</w:instrText>
            </w:r>
            <w:r w:rsidR="00B408CF" w:rsidRPr="007214FD">
              <w:rPr>
                <w:rFonts w:ascii="Calibri" w:hAnsi="Calibri"/>
                <w:sz w:val="20"/>
                <w:szCs w:val="20"/>
                <w:highlight w:val="yellow"/>
                <w:lang w:val="en-CA"/>
              </w:rPr>
              <w:fldChar w:fldCharType="end"/>
            </w:r>
          </w:p>
        </w:tc>
        <w:tc>
          <w:tcPr>
            <w:tcW w:w="2064" w:type="dxa"/>
            <w:gridSpan w:val="2"/>
            <w:tcBorders>
              <w:top w:val="single" w:sz="4" w:space="0" w:color="auto"/>
              <w:bottom w:val="single" w:sz="4" w:space="0" w:color="auto"/>
            </w:tcBorders>
            <w:shd w:val="clear" w:color="auto" w:fill="D9D9D9" w:themeFill="background1" w:themeFillShade="D9"/>
            <w:vAlign w:val="center"/>
          </w:tcPr>
          <w:p w:rsidR="00520137" w:rsidRPr="007214FD" w:rsidRDefault="00970D6D" w:rsidP="00BB214A">
            <w:pPr>
              <w:jc w:val="center"/>
              <w:rPr>
                <w:rFonts w:ascii="Calibri" w:hAnsi="Calibri"/>
                <w:sz w:val="20"/>
                <w:szCs w:val="20"/>
              </w:rPr>
            </w:pPr>
            <w:r>
              <w:rPr>
                <w:rFonts w:ascii="Calibri" w:hAnsi="Calibri"/>
                <w:sz w:val="20"/>
                <w:szCs w:val="20"/>
              </w:rPr>
              <w:t>15,711</w:t>
            </w:r>
          </w:p>
        </w:tc>
        <w:tc>
          <w:tcPr>
            <w:tcW w:w="2026" w:type="dxa"/>
            <w:gridSpan w:val="3"/>
            <w:tcBorders>
              <w:top w:val="single" w:sz="4" w:space="0" w:color="auto"/>
              <w:bottom w:val="single" w:sz="4" w:space="0" w:color="auto"/>
            </w:tcBorders>
            <w:shd w:val="clear" w:color="auto" w:fill="auto"/>
            <w:vAlign w:val="center"/>
          </w:tcPr>
          <w:p w:rsidR="00520137" w:rsidRPr="007214FD" w:rsidRDefault="00970D6D" w:rsidP="00BB214A">
            <w:pPr>
              <w:jc w:val="center"/>
              <w:rPr>
                <w:rFonts w:ascii="Calibri" w:hAnsi="Calibri"/>
                <w:sz w:val="20"/>
                <w:szCs w:val="20"/>
              </w:rPr>
            </w:pPr>
            <w:r>
              <w:rPr>
                <w:rFonts w:ascii="Calibri" w:hAnsi="Calibri"/>
                <w:sz w:val="20"/>
                <w:szCs w:val="20"/>
              </w:rPr>
              <w:t>18,063</w:t>
            </w:r>
          </w:p>
        </w:tc>
        <w:tc>
          <w:tcPr>
            <w:tcW w:w="2085" w:type="dxa"/>
            <w:gridSpan w:val="2"/>
            <w:tcBorders>
              <w:top w:val="single" w:sz="4" w:space="0" w:color="auto"/>
              <w:bottom w:val="single" w:sz="4" w:space="0" w:color="auto"/>
            </w:tcBorders>
            <w:shd w:val="clear" w:color="auto" w:fill="auto"/>
            <w:vAlign w:val="center"/>
          </w:tcPr>
          <w:p w:rsidR="00520137" w:rsidRPr="007214FD" w:rsidRDefault="00520137" w:rsidP="00BB214A">
            <w:pPr>
              <w:jc w:val="center"/>
              <w:rPr>
                <w:rFonts w:ascii="Calibri" w:hAnsi="Calibri"/>
                <w:sz w:val="20"/>
                <w:szCs w:val="20"/>
              </w:rPr>
            </w:pPr>
            <w:r>
              <w:rPr>
                <w:rFonts w:ascii="Calibri" w:hAnsi="Calibri"/>
                <w:sz w:val="20"/>
                <w:szCs w:val="20"/>
              </w:rPr>
              <w:t>N/A</w:t>
            </w:r>
          </w:p>
        </w:tc>
        <w:tc>
          <w:tcPr>
            <w:tcW w:w="2676" w:type="dxa"/>
            <w:gridSpan w:val="3"/>
            <w:tcBorders>
              <w:top w:val="single" w:sz="4" w:space="0" w:color="auto"/>
              <w:bottom w:val="single" w:sz="4" w:space="0" w:color="auto"/>
            </w:tcBorders>
            <w:shd w:val="clear" w:color="auto" w:fill="auto"/>
            <w:vAlign w:val="center"/>
          </w:tcPr>
          <w:p w:rsidR="00520137" w:rsidRPr="007214FD" w:rsidRDefault="00970D6D" w:rsidP="00BB214A">
            <w:pPr>
              <w:jc w:val="center"/>
              <w:rPr>
                <w:rFonts w:ascii="Calibri" w:hAnsi="Calibri"/>
                <w:sz w:val="20"/>
                <w:szCs w:val="20"/>
              </w:rPr>
            </w:pPr>
            <w:r>
              <w:rPr>
                <w:rFonts w:ascii="Calibri" w:hAnsi="Calibri"/>
                <w:sz w:val="20"/>
                <w:szCs w:val="20"/>
              </w:rPr>
              <w:t>13,710</w:t>
            </w:r>
          </w:p>
        </w:tc>
      </w:tr>
      <w:tr w:rsidR="00520137" w:rsidRPr="007214FD" w:rsidTr="00BB214A">
        <w:trPr>
          <w:trHeight w:val="413"/>
        </w:trPr>
        <w:tc>
          <w:tcPr>
            <w:tcW w:w="1029" w:type="dxa"/>
            <w:tcBorders>
              <w:top w:val="single" w:sz="4" w:space="0" w:color="auto"/>
              <w:bottom w:val="single" w:sz="4" w:space="0" w:color="auto"/>
            </w:tcBorders>
            <w:shd w:val="clear" w:color="auto" w:fill="auto"/>
            <w:vAlign w:val="center"/>
          </w:tcPr>
          <w:p w:rsidR="00520137" w:rsidRPr="007214FD" w:rsidRDefault="00520137" w:rsidP="00BB214A">
            <w:pPr>
              <w:jc w:val="both"/>
              <w:rPr>
                <w:rFonts w:ascii="Calibri" w:hAnsi="Calibri"/>
                <w:sz w:val="18"/>
                <w:szCs w:val="18"/>
              </w:rPr>
            </w:pPr>
          </w:p>
        </w:tc>
        <w:tc>
          <w:tcPr>
            <w:tcW w:w="13659" w:type="dxa"/>
            <w:gridSpan w:val="15"/>
            <w:tcBorders>
              <w:top w:val="single" w:sz="4" w:space="0" w:color="auto"/>
              <w:bottom w:val="single" w:sz="4" w:space="0" w:color="auto"/>
            </w:tcBorders>
            <w:shd w:val="clear" w:color="auto" w:fill="auto"/>
            <w:vAlign w:val="center"/>
          </w:tcPr>
          <w:p w:rsidR="00520137" w:rsidRPr="00632D42" w:rsidRDefault="00520137" w:rsidP="00BB214A">
            <w:pPr>
              <w:jc w:val="both"/>
              <w:rPr>
                <w:rFonts w:ascii="Calibri" w:hAnsi="Calibri"/>
                <w:b/>
                <w:color w:val="632423"/>
                <w:sz w:val="20"/>
                <w:szCs w:val="20"/>
              </w:rPr>
            </w:pPr>
            <w:r w:rsidRPr="00632D42">
              <w:rPr>
                <w:rFonts w:ascii="Calibri" w:hAnsi="Calibri"/>
                <w:b/>
                <w:color w:val="632423"/>
                <w:sz w:val="20"/>
                <w:szCs w:val="20"/>
                <w:lang w:val="en-CA"/>
              </w:rPr>
              <w:t>Civil Division Performance Measures (Excludes VICP and RECA)</w:t>
            </w:r>
          </w:p>
        </w:tc>
      </w:tr>
      <w:tr w:rsidR="00520137" w:rsidRPr="007214FD" w:rsidTr="00BB214A">
        <w:trPr>
          <w:trHeight w:val="485"/>
        </w:trPr>
        <w:tc>
          <w:tcPr>
            <w:tcW w:w="1029" w:type="dxa"/>
            <w:vMerge w:val="restart"/>
            <w:tcBorders>
              <w:top w:val="single" w:sz="4" w:space="0" w:color="auto"/>
              <w:bottom w:val="single" w:sz="4" w:space="0" w:color="auto"/>
            </w:tcBorders>
            <w:shd w:val="clear" w:color="auto" w:fill="auto"/>
          </w:tcPr>
          <w:p w:rsidR="00520137" w:rsidRPr="007214FD" w:rsidRDefault="00B408CF" w:rsidP="00BB214A">
            <w:pPr>
              <w:jc w:val="both"/>
              <w:rPr>
                <w:rFonts w:ascii="Calibri" w:hAnsi="Calibri"/>
                <w:sz w:val="18"/>
                <w:szCs w:val="18"/>
                <w:lang w:val="en-CA"/>
              </w:rPr>
            </w:pPr>
            <w:r w:rsidRPr="007214FD">
              <w:rPr>
                <w:rFonts w:ascii="Calibri" w:hAnsi="Calibri"/>
                <w:sz w:val="18"/>
                <w:szCs w:val="18"/>
                <w:lang w:val="en-CA"/>
              </w:rPr>
              <w:fldChar w:fldCharType="begin"/>
            </w:r>
            <w:r w:rsidR="00520137" w:rsidRPr="007214FD">
              <w:rPr>
                <w:rFonts w:ascii="Calibri" w:hAnsi="Calibri"/>
                <w:sz w:val="18"/>
                <w:szCs w:val="18"/>
                <w:lang w:val="en-CA"/>
              </w:rPr>
              <w:instrText xml:space="preserve"> SEQ CHAPTER \h \r 1</w:instrText>
            </w:r>
            <w:r w:rsidRPr="007214FD">
              <w:rPr>
                <w:rFonts w:ascii="Calibri" w:hAnsi="Calibri"/>
                <w:sz w:val="18"/>
                <w:szCs w:val="18"/>
                <w:lang w:val="en-CA"/>
              </w:rPr>
              <w:fldChar w:fldCharType="end"/>
            </w:r>
            <w:r w:rsidR="00520137" w:rsidRPr="007214FD">
              <w:rPr>
                <w:rFonts w:ascii="Calibri" w:hAnsi="Calibri"/>
                <w:b/>
                <w:bCs/>
                <w:sz w:val="18"/>
                <w:szCs w:val="18"/>
              </w:rPr>
              <w:t>Outcome</w:t>
            </w:r>
          </w:p>
        </w:tc>
        <w:tc>
          <w:tcPr>
            <w:tcW w:w="2936" w:type="dxa"/>
            <w:gridSpan w:val="3"/>
            <w:tcBorders>
              <w:top w:val="single" w:sz="4" w:space="0" w:color="auto"/>
              <w:bottom w:val="single" w:sz="4" w:space="0" w:color="auto"/>
            </w:tcBorders>
            <w:shd w:val="clear" w:color="auto" w:fill="auto"/>
            <w:vAlign w:val="center"/>
          </w:tcPr>
          <w:p w:rsidR="00520137" w:rsidRPr="007214FD" w:rsidRDefault="00520137" w:rsidP="00BB214A">
            <w:pPr>
              <w:jc w:val="both"/>
              <w:rPr>
                <w:rFonts w:ascii="Calibri" w:hAnsi="Calibri"/>
                <w:sz w:val="18"/>
                <w:szCs w:val="18"/>
              </w:rPr>
            </w:pPr>
            <w:r w:rsidRPr="007214FD">
              <w:rPr>
                <w:rFonts w:ascii="Calibri" w:hAnsi="Calibri"/>
                <w:sz w:val="18"/>
                <w:szCs w:val="18"/>
                <w:lang w:val="en-CA"/>
              </w:rPr>
              <w:t xml:space="preserve">2.   </w:t>
            </w:r>
            <w:r w:rsidR="00B408CF" w:rsidRPr="007214FD">
              <w:rPr>
                <w:rFonts w:ascii="Calibri" w:hAnsi="Calibri"/>
                <w:sz w:val="18"/>
                <w:szCs w:val="18"/>
                <w:lang w:val="en-CA"/>
              </w:rPr>
              <w:fldChar w:fldCharType="begin"/>
            </w:r>
            <w:r w:rsidRPr="007214FD">
              <w:rPr>
                <w:rFonts w:ascii="Calibri" w:hAnsi="Calibri"/>
                <w:sz w:val="18"/>
                <w:szCs w:val="18"/>
                <w:lang w:val="en-CA"/>
              </w:rPr>
              <w:instrText xml:space="preserve"> SEQ CHAPTER \h \r 1</w:instrText>
            </w:r>
            <w:r w:rsidR="00B408CF" w:rsidRPr="007214FD">
              <w:rPr>
                <w:rFonts w:ascii="Calibri" w:hAnsi="Calibri"/>
                <w:sz w:val="18"/>
                <w:szCs w:val="18"/>
                <w:lang w:val="en-CA"/>
              </w:rPr>
              <w:fldChar w:fldCharType="end"/>
            </w:r>
            <w:r w:rsidRPr="007214FD">
              <w:rPr>
                <w:rFonts w:ascii="Calibri" w:hAnsi="Calibri"/>
                <w:sz w:val="18"/>
                <w:szCs w:val="18"/>
                <w:lang w:val="en-CA"/>
              </w:rPr>
              <w:t>Percent of civil cases favorably</w:t>
            </w:r>
            <w:r w:rsidRPr="007214FD">
              <w:rPr>
                <w:rFonts w:ascii="Calibri" w:hAnsi="Calibri"/>
                <w:sz w:val="18"/>
                <w:szCs w:val="18"/>
              </w:rPr>
              <w:t xml:space="preserve"> </w:t>
            </w:r>
          </w:p>
          <w:p w:rsidR="00520137" w:rsidRPr="007214FD" w:rsidRDefault="00520137" w:rsidP="00BB214A">
            <w:pPr>
              <w:jc w:val="both"/>
              <w:rPr>
                <w:rFonts w:ascii="Calibri" w:hAnsi="Calibri"/>
                <w:sz w:val="18"/>
                <w:szCs w:val="18"/>
                <w:lang w:val="en-CA"/>
              </w:rPr>
            </w:pPr>
            <w:r w:rsidRPr="007214FD">
              <w:rPr>
                <w:rFonts w:ascii="Calibri" w:hAnsi="Calibri"/>
                <w:sz w:val="18"/>
                <w:szCs w:val="18"/>
              </w:rPr>
              <w:t>resolved</w:t>
            </w:r>
          </w:p>
        </w:tc>
        <w:tc>
          <w:tcPr>
            <w:tcW w:w="1872" w:type="dxa"/>
            <w:gridSpan w:val="2"/>
            <w:tcBorders>
              <w:top w:val="single" w:sz="4" w:space="0" w:color="auto"/>
              <w:bottom w:val="single" w:sz="4" w:space="0" w:color="auto"/>
            </w:tcBorders>
            <w:shd w:val="clear" w:color="auto" w:fill="auto"/>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80%</w:t>
            </w:r>
          </w:p>
        </w:tc>
        <w:tc>
          <w:tcPr>
            <w:tcW w:w="2064" w:type="dxa"/>
            <w:gridSpan w:val="2"/>
            <w:tcBorders>
              <w:top w:val="single" w:sz="4" w:space="0" w:color="auto"/>
              <w:bottom w:val="single" w:sz="4" w:space="0" w:color="auto"/>
            </w:tcBorders>
            <w:shd w:val="clear" w:color="auto" w:fill="D9D9D9" w:themeFill="background1" w:themeFillShade="D9"/>
            <w:vAlign w:val="center"/>
          </w:tcPr>
          <w:p w:rsidR="00520137" w:rsidRPr="007214FD" w:rsidRDefault="00520137" w:rsidP="00BB214A">
            <w:pPr>
              <w:jc w:val="center"/>
              <w:rPr>
                <w:rFonts w:ascii="Calibri" w:hAnsi="Calibri"/>
                <w:sz w:val="20"/>
                <w:szCs w:val="20"/>
              </w:rPr>
            </w:pPr>
            <w:r w:rsidRPr="00D26430">
              <w:rPr>
                <w:rFonts w:ascii="Calibri" w:hAnsi="Calibri"/>
                <w:sz w:val="20"/>
                <w:szCs w:val="20"/>
              </w:rPr>
              <w:t>92%</w:t>
            </w:r>
          </w:p>
        </w:tc>
        <w:tc>
          <w:tcPr>
            <w:tcW w:w="1980" w:type="dxa"/>
            <w:gridSpan w:val="2"/>
            <w:tcBorders>
              <w:top w:val="single" w:sz="4" w:space="0" w:color="auto"/>
              <w:bottom w:val="single" w:sz="4" w:space="0" w:color="auto"/>
              <w:right w:val="single" w:sz="4" w:space="0" w:color="auto"/>
            </w:tcBorders>
            <w:shd w:val="clear" w:color="auto" w:fill="auto"/>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80%</w:t>
            </w:r>
          </w:p>
        </w:tc>
        <w:tc>
          <w:tcPr>
            <w:tcW w:w="2146" w:type="dxa"/>
            <w:gridSpan w:val="4"/>
            <w:tcBorders>
              <w:top w:val="single" w:sz="4" w:space="0" w:color="auto"/>
              <w:bottom w:val="single" w:sz="4" w:space="0" w:color="auto"/>
              <w:right w:val="single" w:sz="4" w:space="0" w:color="auto"/>
            </w:tcBorders>
            <w:shd w:val="clear" w:color="auto" w:fill="auto"/>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N/A</w:t>
            </w:r>
          </w:p>
        </w:tc>
        <w:tc>
          <w:tcPr>
            <w:tcW w:w="2661" w:type="dxa"/>
            <w:gridSpan w:val="2"/>
            <w:tcBorders>
              <w:top w:val="single" w:sz="4" w:space="0" w:color="auto"/>
              <w:bottom w:val="single" w:sz="4" w:space="0" w:color="auto"/>
              <w:right w:val="double" w:sz="4" w:space="0" w:color="auto"/>
            </w:tcBorders>
            <w:shd w:val="clear" w:color="auto" w:fill="auto"/>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80%</w:t>
            </w:r>
          </w:p>
        </w:tc>
      </w:tr>
      <w:tr w:rsidR="00520137" w:rsidRPr="007214FD" w:rsidTr="00BB214A">
        <w:trPr>
          <w:trHeight w:val="692"/>
        </w:trPr>
        <w:tc>
          <w:tcPr>
            <w:tcW w:w="1029" w:type="dxa"/>
            <w:vMerge/>
            <w:tcBorders>
              <w:top w:val="single" w:sz="4" w:space="0" w:color="auto"/>
              <w:bottom w:val="single" w:sz="4" w:space="0" w:color="auto"/>
            </w:tcBorders>
            <w:shd w:val="clear" w:color="auto" w:fill="auto"/>
            <w:vAlign w:val="center"/>
          </w:tcPr>
          <w:p w:rsidR="00520137" w:rsidRPr="007214FD" w:rsidRDefault="00520137" w:rsidP="00BB214A">
            <w:pPr>
              <w:jc w:val="both"/>
              <w:rPr>
                <w:rFonts w:ascii="Calibri" w:hAnsi="Calibri"/>
                <w:sz w:val="18"/>
                <w:szCs w:val="18"/>
              </w:rPr>
            </w:pPr>
          </w:p>
        </w:tc>
        <w:tc>
          <w:tcPr>
            <w:tcW w:w="2936" w:type="dxa"/>
            <w:gridSpan w:val="3"/>
            <w:tcBorders>
              <w:top w:val="single" w:sz="4" w:space="0" w:color="auto"/>
              <w:bottom w:val="single" w:sz="4" w:space="0" w:color="auto"/>
            </w:tcBorders>
            <w:shd w:val="clear" w:color="auto" w:fill="auto"/>
            <w:vAlign w:val="center"/>
          </w:tcPr>
          <w:p w:rsidR="00520137" w:rsidRPr="007214FD" w:rsidRDefault="00520137" w:rsidP="00BB214A">
            <w:pPr>
              <w:rPr>
                <w:rFonts w:ascii="Calibri" w:hAnsi="Calibri"/>
                <w:sz w:val="18"/>
                <w:szCs w:val="18"/>
              </w:rPr>
            </w:pPr>
            <w:r w:rsidRPr="007214FD">
              <w:rPr>
                <w:rFonts w:ascii="Calibri" w:hAnsi="Calibri"/>
                <w:sz w:val="18"/>
                <w:szCs w:val="18"/>
                <w:lang w:val="en-CA"/>
              </w:rPr>
              <w:t xml:space="preserve">3.   </w:t>
            </w:r>
            <w:r w:rsidR="00B408CF" w:rsidRPr="007214FD">
              <w:rPr>
                <w:rFonts w:ascii="Calibri" w:hAnsi="Calibri"/>
                <w:sz w:val="18"/>
                <w:szCs w:val="18"/>
                <w:lang w:val="en-CA"/>
              </w:rPr>
              <w:fldChar w:fldCharType="begin"/>
            </w:r>
            <w:r w:rsidRPr="007214FD">
              <w:rPr>
                <w:rFonts w:ascii="Calibri" w:hAnsi="Calibri"/>
                <w:sz w:val="18"/>
                <w:szCs w:val="18"/>
                <w:lang w:val="en-CA"/>
              </w:rPr>
              <w:instrText xml:space="preserve"> SEQ CHAPTER \h \r 1</w:instrText>
            </w:r>
            <w:r w:rsidR="00B408CF" w:rsidRPr="007214FD">
              <w:rPr>
                <w:rFonts w:ascii="Calibri" w:hAnsi="Calibri"/>
                <w:sz w:val="18"/>
                <w:szCs w:val="18"/>
                <w:lang w:val="en-CA"/>
              </w:rPr>
              <w:fldChar w:fldCharType="end"/>
            </w:r>
            <w:r w:rsidRPr="007214FD">
              <w:rPr>
                <w:rFonts w:ascii="Calibri" w:hAnsi="Calibri"/>
                <w:sz w:val="18"/>
                <w:szCs w:val="18"/>
              </w:rPr>
              <w:t xml:space="preserve">Percent of defensive cases in which at least 85 percent of the </w:t>
            </w:r>
          </w:p>
          <w:p w:rsidR="00520137" w:rsidRPr="007214FD" w:rsidRDefault="00520137" w:rsidP="00BB214A">
            <w:pPr>
              <w:rPr>
                <w:rFonts w:ascii="Calibri" w:hAnsi="Calibri"/>
                <w:sz w:val="18"/>
                <w:szCs w:val="18"/>
              </w:rPr>
            </w:pPr>
            <w:r w:rsidRPr="007214FD">
              <w:rPr>
                <w:rFonts w:ascii="Calibri" w:hAnsi="Calibri"/>
                <w:sz w:val="18"/>
                <w:szCs w:val="18"/>
              </w:rPr>
              <w:t>claim is defeated</w:t>
            </w:r>
          </w:p>
        </w:tc>
        <w:tc>
          <w:tcPr>
            <w:tcW w:w="1872" w:type="dxa"/>
            <w:gridSpan w:val="2"/>
            <w:tcBorders>
              <w:top w:val="single" w:sz="4" w:space="0" w:color="auto"/>
              <w:bottom w:val="single" w:sz="4" w:space="0" w:color="auto"/>
            </w:tcBorders>
            <w:shd w:val="clear" w:color="auto" w:fill="auto"/>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80%</w:t>
            </w:r>
          </w:p>
        </w:tc>
        <w:tc>
          <w:tcPr>
            <w:tcW w:w="2064" w:type="dxa"/>
            <w:gridSpan w:val="2"/>
            <w:tcBorders>
              <w:top w:val="single" w:sz="4" w:space="0" w:color="auto"/>
              <w:bottom w:val="single" w:sz="4" w:space="0" w:color="auto"/>
            </w:tcBorders>
            <w:shd w:val="clear" w:color="auto" w:fill="D9D9D9" w:themeFill="background1" w:themeFillShade="D9"/>
            <w:vAlign w:val="center"/>
          </w:tcPr>
          <w:p w:rsidR="00520137" w:rsidRPr="007214FD" w:rsidRDefault="00520137" w:rsidP="00BB214A">
            <w:pPr>
              <w:jc w:val="center"/>
              <w:rPr>
                <w:rFonts w:ascii="Calibri" w:hAnsi="Calibri"/>
                <w:sz w:val="20"/>
                <w:szCs w:val="20"/>
              </w:rPr>
            </w:pPr>
            <w:r w:rsidRPr="00EA4AF8">
              <w:rPr>
                <w:rFonts w:ascii="Calibri" w:hAnsi="Calibri"/>
                <w:sz w:val="20"/>
                <w:szCs w:val="20"/>
              </w:rPr>
              <w:t>85%</w:t>
            </w:r>
          </w:p>
        </w:tc>
        <w:tc>
          <w:tcPr>
            <w:tcW w:w="1980" w:type="dxa"/>
            <w:gridSpan w:val="2"/>
            <w:tcBorders>
              <w:top w:val="single" w:sz="4" w:space="0" w:color="auto"/>
              <w:bottom w:val="single" w:sz="4" w:space="0" w:color="auto"/>
              <w:right w:val="single" w:sz="4" w:space="0" w:color="auto"/>
            </w:tcBorders>
            <w:shd w:val="clear" w:color="auto" w:fill="auto"/>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80%</w:t>
            </w:r>
          </w:p>
        </w:tc>
        <w:tc>
          <w:tcPr>
            <w:tcW w:w="2146" w:type="dxa"/>
            <w:gridSpan w:val="4"/>
            <w:tcBorders>
              <w:top w:val="single" w:sz="4" w:space="0" w:color="auto"/>
              <w:bottom w:val="single" w:sz="4" w:space="0" w:color="auto"/>
              <w:right w:val="single" w:sz="4" w:space="0" w:color="auto"/>
            </w:tcBorders>
            <w:shd w:val="clear" w:color="auto" w:fill="auto"/>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N/A</w:t>
            </w:r>
          </w:p>
        </w:tc>
        <w:tc>
          <w:tcPr>
            <w:tcW w:w="2661" w:type="dxa"/>
            <w:gridSpan w:val="2"/>
            <w:tcBorders>
              <w:top w:val="single" w:sz="4" w:space="0" w:color="auto"/>
              <w:bottom w:val="single" w:sz="4" w:space="0" w:color="auto"/>
              <w:right w:val="double" w:sz="4" w:space="0" w:color="auto"/>
            </w:tcBorders>
            <w:shd w:val="clear" w:color="auto" w:fill="auto"/>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80%</w:t>
            </w:r>
          </w:p>
        </w:tc>
      </w:tr>
      <w:tr w:rsidR="00520137" w:rsidRPr="007214FD" w:rsidTr="00BB214A">
        <w:trPr>
          <w:trHeight w:val="557"/>
        </w:trPr>
        <w:tc>
          <w:tcPr>
            <w:tcW w:w="1029" w:type="dxa"/>
            <w:vMerge/>
            <w:tcBorders>
              <w:top w:val="single" w:sz="4" w:space="0" w:color="auto"/>
              <w:bottom w:val="single" w:sz="4" w:space="0" w:color="auto"/>
            </w:tcBorders>
            <w:shd w:val="clear" w:color="auto" w:fill="auto"/>
            <w:vAlign w:val="center"/>
          </w:tcPr>
          <w:p w:rsidR="00520137" w:rsidRPr="007214FD" w:rsidRDefault="00520137" w:rsidP="00BB214A">
            <w:pPr>
              <w:jc w:val="both"/>
              <w:rPr>
                <w:rFonts w:ascii="Calibri" w:hAnsi="Calibri"/>
                <w:sz w:val="18"/>
                <w:szCs w:val="18"/>
              </w:rPr>
            </w:pPr>
          </w:p>
        </w:tc>
        <w:tc>
          <w:tcPr>
            <w:tcW w:w="2936" w:type="dxa"/>
            <w:gridSpan w:val="3"/>
            <w:tcBorders>
              <w:top w:val="single" w:sz="4" w:space="0" w:color="auto"/>
              <w:bottom w:val="single" w:sz="4" w:space="0" w:color="auto"/>
            </w:tcBorders>
            <w:shd w:val="clear" w:color="auto" w:fill="auto"/>
            <w:vAlign w:val="center"/>
          </w:tcPr>
          <w:p w:rsidR="00520137" w:rsidRPr="007214FD" w:rsidRDefault="00520137" w:rsidP="00BB214A">
            <w:pPr>
              <w:rPr>
                <w:rFonts w:ascii="Calibri" w:hAnsi="Calibri"/>
                <w:sz w:val="18"/>
                <w:szCs w:val="18"/>
              </w:rPr>
            </w:pPr>
            <w:r w:rsidRPr="007214FD">
              <w:rPr>
                <w:rFonts w:ascii="Calibri" w:hAnsi="Calibri"/>
                <w:sz w:val="18"/>
                <w:szCs w:val="18"/>
                <w:lang w:val="en-CA"/>
              </w:rPr>
              <w:t xml:space="preserve">4.   </w:t>
            </w:r>
            <w:r w:rsidR="00B408CF" w:rsidRPr="007214FD">
              <w:rPr>
                <w:rFonts w:ascii="Calibri" w:hAnsi="Calibri"/>
                <w:sz w:val="18"/>
                <w:szCs w:val="18"/>
                <w:lang w:val="en-CA"/>
              </w:rPr>
              <w:fldChar w:fldCharType="begin"/>
            </w:r>
            <w:r w:rsidRPr="007214FD">
              <w:rPr>
                <w:rFonts w:ascii="Calibri" w:hAnsi="Calibri"/>
                <w:sz w:val="18"/>
                <w:szCs w:val="18"/>
                <w:lang w:val="en-CA"/>
              </w:rPr>
              <w:instrText xml:space="preserve"> SEQ CHAPTER \h \r 1</w:instrText>
            </w:r>
            <w:r w:rsidR="00B408CF" w:rsidRPr="007214FD">
              <w:rPr>
                <w:rFonts w:ascii="Calibri" w:hAnsi="Calibri"/>
                <w:sz w:val="18"/>
                <w:szCs w:val="18"/>
                <w:lang w:val="en-CA"/>
              </w:rPr>
              <w:fldChar w:fldCharType="end"/>
            </w:r>
            <w:r w:rsidRPr="007214FD">
              <w:rPr>
                <w:rFonts w:ascii="Calibri" w:hAnsi="Calibri"/>
                <w:sz w:val="18"/>
                <w:szCs w:val="18"/>
              </w:rPr>
              <w:t>Percent of affirmative cases in  which at least 85 percent of the</w:t>
            </w:r>
          </w:p>
          <w:p w:rsidR="00520137" w:rsidRPr="007214FD" w:rsidRDefault="00520137" w:rsidP="00BB214A">
            <w:pPr>
              <w:rPr>
                <w:rFonts w:ascii="Calibri" w:hAnsi="Calibri"/>
                <w:sz w:val="18"/>
                <w:szCs w:val="18"/>
              </w:rPr>
            </w:pPr>
            <w:r w:rsidRPr="007214FD">
              <w:rPr>
                <w:rFonts w:ascii="Calibri" w:hAnsi="Calibri"/>
                <w:sz w:val="18"/>
                <w:szCs w:val="18"/>
              </w:rPr>
              <w:t>claim is recovered</w:t>
            </w:r>
          </w:p>
        </w:tc>
        <w:tc>
          <w:tcPr>
            <w:tcW w:w="1872" w:type="dxa"/>
            <w:gridSpan w:val="2"/>
            <w:tcBorders>
              <w:top w:val="single" w:sz="4" w:space="0" w:color="auto"/>
              <w:bottom w:val="single" w:sz="4" w:space="0" w:color="auto"/>
            </w:tcBorders>
            <w:shd w:val="clear" w:color="auto" w:fill="auto"/>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60%</w:t>
            </w:r>
          </w:p>
        </w:tc>
        <w:tc>
          <w:tcPr>
            <w:tcW w:w="2064" w:type="dxa"/>
            <w:gridSpan w:val="2"/>
            <w:tcBorders>
              <w:top w:val="single" w:sz="4" w:space="0" w:color="auto"/>
              <w:bottom w:val="single" w:sz="4" w:space="0" w:color="auto"/>
            </w:tcBorders>
            <w:shd w:val="clear" w:color="auto" w:fill="D9D9D9" w:themeFill="background1" w:themeFillShade="D9"/>
            <w:vAlign w:val="center"/>
          </w:tcPr>
          <w:p w:rsidR="00520137" w:rsidRPr="007214FD" w:rsidRDefault="00520137" w:rsidP="00BB214A">
            <w:pPr>
              <w:jc w:val="center"/>
              <w:rPr>
                <w:rFonts w:ascii="Calibri" w:hAnsi="Calibri"/>
                <w:sz w:val="20"/>
                <w:szCs w:val="20"/>
              </w:rPr>
            </w:pPr>
            <w:r>
              <w:rPr>
                <w:rFonts w:ascii="Calibri" w:hAnsi="Calibri"/>
                <w:sz w:val="20"/>
                <w:szCs w:val="20"/>
              </w:rPr>
              <w:t>74%</w:t>
            </w:r>
          </w:p>
        </w:tc>
        <w:tc>
          <w:tcPr>
            <w:tcW w:w="1980" w:type="dxa"/>
            <w:gridSpan w:val="2"/>
            <w:tcBorders>
              <w:top w:val="single" w:sz="4" w:space="0" w:color="auto"/>
              <w:bottom w:val="single" w:sz="4" w:space="0" w:color="auto"/>
              <w:right w:val="single" w:sz="4" w:space="0" w:color="auto"/>
            </w:tcBorders>
            <w:shd w:val="clear" w:color="auto" w:fill="auto"/>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60%</w:t>
            </w:r>
          </w:p>
        </w:tc>
        <w:tc>
          <w:tcPr>
            <w:tcW w:w="2146" w:type="dxa"/>
            <w:gridSpan w:val="4"/>
            <w:tcBorders>
              <w:top w:val="single" w:sz="4" w:space="0" w:color="auto"/>
              <w:bottom w:val="single" w:sz="4" w:space="0" w:color="auto"/>
              <w:right w:val="single" w:sz="4" w:space="0" w:color="auto"/>
            </w:tcBorders>
            <w:shd w:val="clear" w:color="auto" w:fill="auto"/>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N/A</w:t>
            </w:r>
          </w:p>
        </w:tc>
        <w:tc>
          <w:tcPr>
            <w:tcW w:w="2661" w:type="dxa"/>
            <w:gridSpan w:val="2"/>
            <w:tcBorders>
              <w:top w:val="single" w:sz="4" w:space="0" w:color="auto"/>
              <w:bottom w:val="single" w:sz="4" w:space="0" w:color="auto"/>
              <w:right w:val="double" w:sz="4" w:space="0" w:color="auto"/>
            </w:tcBorders>
            <w:shd w:val="clear" w:color="auto" w:fill="auto"/>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60%</w:t>
            </w:r>
          </w:p>
        </w:tc>
      </w:tr>
      <w:tr w:rsidR="00520137" w:rsidRPr="007214FD" w:rsidTr="00BB214A">
        <w:trPr>
          <w:trHeight w:val="467"/>
        </w:trPr>
        <w:tc>
          <w:tcPr>
            <w:tcW w:w="1029" w:type="dxa"/>
            <w:vMerge/>
            <w:tcBorders>
              <w:top w:val="single" w:sz="4" w:space="0" w:color="auto"/>
              <w:bottom w:val="single" w:sz="4" w:space="0" w:color="auto"/>
            </w:tcBorders>
            <w:shd w:val="clear" w:color="auto" w:fill="auto"/>
            <w:vAlign w:val="center"/>
          </w:tcPr>
          <w:p w:rsidR="00520137" w:rsidRPr="007214FD" w:rsidRDefault="00520137" w:rsidP="00BB214A">
            <w:pPr>
              <w:jc w:val="both"/>
              <w:rPr>
                <w:rFonts w:ascii="Calibri" w:hAnsi="Calibri"/>
                <w:sz w:val="18"/>
                <w:szCs w:val="18"/>
              </w:rPr>
            </w:pPr>
          </w:p>
        </w:tc>
        <w:tc>
          <w:tcPr>
            <w:tcW w:w="2936" w:type="dxa"/>
            <w:gridSpan w:val="3"/>
            <w:tcBorders>
              <w:top w:val="single" w:sz="4" w:space="0" w:color="auto"/>
              <w:bottom w:val="single" w:sz="4" w:space="0" w:color="auto"/>
            </w:tcBorders>
            <w:shd w:val="clear" w:color="auto" w:fill="auto"/>
            <w:vAlign w:val="center"/>
          </w:tcPr>
          <w:p w:rsidR="00520137" w:rsidRPr="007214FD" w:rsidRDefault="00520137" w:rsidP="00BB214A">
            <w:pPr>
              <w:jc w:val="both"/>
              <w:rPr>
                <w:rFonts w:ascii="Calibri" w:hAnsi="Calibri"/>
                <w:sz w:val="18"/>
                <w:szCs w:val="18"/>
              </w:rPr>
            </w:pPr>
            <w:r w:rsidRPr="007214FD">
              <w:rPr>
                <w:rFonts w:ascii="Calibri" w:hAnsi="Calibri"/>
                <w:sz w:val="18"/>
                <w:szCs w:val="18"/>
                <w:lang w:val="en-CA"/>
              </w:rPr>
              <w:t xml:space="preserve">5.   </w:t>
            </w:r>
            <w:r w:rsidR="00B408CF" w:rsidRPr="007214FD">
              <w:rPr>
                <w:rFonts w:ascii="Calibri" w:hAnsi="Calibri"/>
                <w:sz w:val="18"/>
                <w:szCs w:val="18"/>
                <w:lang w:val="en-CA"/>
              </w:rPr>
              <w:fldChar w:fldCharType="begin"/>
            </w:r>
            <w:r w:rsidRPr="007214FD">
              <w:rPr>
                <w:rFonts w:ascii="Calibri" w:hAnsi="Calibri"/>
                <w:sz w:val="18"/>
                <w:szCs w:val="18"/>
                <w:lang w:val="en-CA"/>
              </w:rPr>
              <w:instrText xml:space="preserve"> SEQ CHAPTER \h \r 1</w:instrText>
            </w:r>
            <w:r w:rsidR="00B408CF" w:rsidRPr="007214FD">
              <w:rPr>
                <w:rFonts w:ascii="Calibri" w:hAnsi="Calibri"/>
                <w:sz w:val="18"/>
                <w:szCs w:val="18"/>
                <w:lang w:val="en-CA"/>
              </w:rPr>
              <w:fldChar w:fldCharType="end"/>
            </w:r>
            <w:r w:rsidRPr="007214FD">
              <w:rPr>
                <w:rFonts w:ascii="Calibri" w:hAnsi="Calibri"/>
                <w:sz w:val="18"/>
                <w:szCs w:val="18"/>
              </w:rPr>
              <w:t>Percent of favorable resolutions</w:t>
            </w:r>
          </w:p>
          <w:p w:rsidR="00520137" w:rsidRPr="007214FD" w:rsidRDefault="00520137" w:rsidP="00BB214A">
            <w:pPr>
              <w:jc w:val="both"/>
              <w:rPr>
                <w:rFonts w:ascii="Calibri" w:hAnsi="Calibri"/>
                <w:sz w:val="18"/>
                <w:szCs w:val="18"/>
              </w:rPr>
            </w:pPr>
            <w:r w:rsidRPr="007214FD">
              <w:rPr>
                <w:rFonts w:ascii="Calibri" w:hAnsi="Calibri"/>
                <w:sz w:val="18"/>
                <w:szCs w:val="18"/>
              </w:rPr>
              <w:t>in non-monetary trial cases</w:t>
            </w:r>
          </w:p>
        </w:tc>
        <w:tc>
          <w:tcPr>
            <w:tcW w:w="1872" w:type="dxa"/>
            <w:gridSpan w:val="2"/>
            <w:tcBorders>
              <w:top w:val="single" w:sz="4" w:space="0" w:color="auto"/>
              <w:bottom w:val="single" w:sz="4" w:space="0" w:color="auto"/>
            </w:tcBorders>
            <w:shd w:val="clear" w:color="auto" w:fill="auto"/>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80%</w:t>
            </w:r>
          </w:p>
        </w:tc>
        <w:tc>
          <w:tcPr>
            <w:tcW w:w="2064" w:type="dxa"/>
            <w:gridSpan w:val="2"/>
            <w:tcBorders>
              <w:top w:val="single" w:sz="4" w:space="0" w:color="auto"/>
              <w:bottom w:val="single" w:sz="4" w:space="0" w:color="auto"/>
            </w:tcBorders>
            <w:shd w:val="clear" w:color="auto" w:fill="D9D9D9" w:themeFill="background1" w:themeFillShade="D9"/>
            <w:vAlign w:val="center"/>
          </w:tcPr>
          <w:p w:rsidR="00520137" w:rsidRPr="007214FD" w:rsidRDefault="00520137" w:rsidP="00BB214A">
            <w:pPr>
              <w:jc w:val="center"/>
              <w:rPr>
                <w:rFonts w:ascii="Calibri" w:hAnsi="Calibri"/>
                <w:sz w:val="20"/>
                <w:szCs w:val="20"/>
              </w:rPr>
            </w:pPr>
            <w:r>
              <w:rPr>
                <w:rFonts w:ascii="Calibri" w:hAnsi="Calibri"/>
                <w:sz w:val="20"/>
                <w:szCs w:val="20"/>
              </w:rPr>
              <w:t>93%</w:t>
            </w:r>
          </w:p>
        </w:tc>
        <w:tc>
          <w:tcPr>
            <w:tcW w:w="1980" w:type="dxa"/>
            <w:gridSpan w:val="2"/>
            <w:tcBorders>
              <w:top w:val="single" w:sz="4" w:space="0" w:color="auto"/>
              <w:bottom w:val="single" w:sz="4" w:space="0" w:color="auto"/>
              <w:right w:val="single" w:sz="4" w:space="0" w:color="auto"/>
            </w:tcBorders>
            <w:shd w:val="clear" w:color="auto" w:fill="auto"/>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80%</w:t>
            </w:r>
          </w:p>
        </w:tc>
        <w:tc>
          <w:tcPr>
            <w:tcW w:w="2146" w:type="dxa"/>
            <w:gridSpan w:val="4"/>
            <w:tcBorders>
              <w:top w:val="single" w:sz="4" w:space="0" w:color="auto"/>
              <w:bottom w:val="single" w:sz="4" w:space="0" w:color="auto"/>
              <w:right w:val="single" w:sz="4" w:space="0" w:color="auto"/>
            </w:tcBorders>
            <w:shd w:val="clear" w:color="auto" w:fill="auto"/>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N/A</w:t>
            </w:r>
          </w:p>
        </w:tc>
        <w:tc>
          <w:tcPr>
            <w:tcW w:w="2661" w:type="dxa"/>
            <w:gridSpan w:val="2"/>
            <w:tcBorders>
              <w:top w:val="single" w:sz="4" w:space="0" w:color="auto"/>
              <w:bottom w:val="single" w:sz="4" w:space="0" w:color="auto"/>
              <w:right w:val="double" w:sz="4" w:space="0" w:color="auto"/>
            </w:tcBorders>
            <w:shd w:val="clear" w:color="auto" w:fill="auto"/>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80%</w:t>
            </w:r>
          </w:p>
        </w:tc>
      </w:tr>
      <w:tr w:rsidR="00520137" w:rsidRPr="007214FD" w:rsidTr="00BB214A">
        <w:trPr>
          <w:trHeight w:val="512"/>
        </w:trPr>
        <w:tc>
          <w:tcPr>
            <w:tcW w:w="1029" w:type="dxa"/>
            <w:vMerge/>
            <w:tcBorders>
              <w:top w:val="single" w:sz="4" w:space="0" w:color="auto"/>
              <w:bottom w:val="single" w:sz="4" w:space="0" w:color="auto"/>
            </w:tcBorders>
            <w:shd w:val="clear" w:color="auto" w:fill="auto"/>
            <w:vAlign w:val="center"/>
          </w:tcPr>
          <w:p w:rsidR="00520137" w:rsidRPr="007214FD" w:rsidRDefault="00520137" w:rsidP="00BB214A">
            <w:pPr>
              <w:jc w:val="both"/>
              <w:rPr>
                <w:rFonts w:ascii="Calibri" w:hAnsi="Calibri"/>
                <w:sz w:val="18"/>
                <w:szCs w:val="18"/>
              </w:rPr>
            </w:pPr>
          </w:p>
        </w:tc>
        <w:tc>
          <w:tcPr>
            <w:tcW w:w="2936" w:type="dxa"/>
            <w:gridSpan w:val="3"/>
            <w:tcBorders>
              <w:top w:val="single" w:sz="4" w:space="0" w:color="auto"/>
              <w:bottom w:val="single" w:sz="4" w:space="0" w:color="auto"/>
            </w:tcBorders>
            <w:shd w:val="clear" w:color="auto" w:fill="auto"/>
            <w:vAlign w:val="center"/>
          </w:tcPr>
          <w:p w:rsidR="00520137" w:rsidRPr="007214FD" w:rsidRDefault="00520137" w:rsidP="00BB214A">
            <w:pPr>
              <w:rPr>
                <w:rFonts w:ascii="Calibri" w:hAnsi="Calibri"/>
                <w:sz w:val="18"/>
                <w:szCs w:val="18"/>
              </w:rPr>
            </w:pPr>
            <w:r w:rsidRPr="007214FD">
              <w:rPr>
                <w:rFonts w:ascii="Calibri" w:hAnsi="Calibri"/>
                <w:sz w:val="18"/>
                <w:szCs w:val="18"/>
                <w:lang w:val="en-CA"/>
              </w:rPr>
              <w:t xml:space="preserve">6.   </w:t>
            </w:r>
            <w:r w:rsidR="00B408CF" w:rsidRPr="007214FD">
              <w:rPr>
                <w:rFonts w:ascii="Calibri" w:hAnsi="Calibri"/>
                <w:sz w:val="18"/>
                <w:szCs w:val="18"/>
                <w:lang w:val="en-CA"/>
              </w:rPr>
              <w:fldChar w:fldCharType="begin"/>
            </w:r>
            <w:r w:rsidRPr="007214FD">
              <w:rPr>
                <w:rFonts w:ascii="Calibri" w:hAnsi="Calibri"/>
                <w:sz w:val="18"/>
                <w:szCs w:val="18"/>
                <w:lang w:val="en-CA"/>
              </w:rPr>
              <w:instrText xml:space="preserve"> SEQ CHAPTER \h \r 1</w:instrText>
            </w:r>
            <w:r w:rsidR="00B408CF" w:rsidRPr="007214FD">
              <w:rPr>
                <w:rFonts w:ascii="Calibri" w:hAnsi="Calibri"/>
                <w:sz w:val="18"/>
                <w:szCs w:val="18"/>
                <w:lang w:val="en-CA"/>
              </w:rPr>
              <w:fldChar w:fldCharType="end"/>
            </w:r>
            <w:r w:rsidRPr="007214FD">
              <w:rPr>
                <w:rFonts w:ascii="Calibri" w:hAnsi="Calibri"/>
                <w:sz w:val="18"/>
                <w:szCs w:val="18"/>
              </w:rPr>
              <w:t>Percent of favorable resolutions in non-monetary appellate cases</w:t>
            </w:r>
          </w:p>
        </w:tc>
        <w:tc>
          <w:tcPr>
            <w:tcW w:w="1872" w:type="dxa"/>
            <w:gridSpan w:val="2"/>
            <w:tcBorders>
              <w:top w:val="single" w:sz="4" w:space="0" w:color="auto"/>
              <w:bottom w:val="single" w:sz="4" w:space="0" w:color="auto"/>
            </w:tcBorders>
            <w:shd w:val="clear" w:color="auto" w:fill="auto"/>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85%</w:t>
            </w:r>
          </w:p>
        </w:tc>
        <w:tc>
          <w:tcPr>
            <w:tcW w:w="2064" w:type="dxa"/>
            <w:gridSpan w:val="2"/>
            <w:tcBorders>
              <w:top w:val="single" w:sz="4" w:space="0" w:color="auto"/>
              <w:bottom w:val="single" w:sz="4" w:space="0" w:color="auto"/>
            </w:tcBorders>
            <w:shd w:val="clear" w:color="auto" w:fill="D9D9D9" w:themeFill="background1" w:themeFillShade="D9"/>
            <w:vAlign w:val="center"/>
          </w:tcPr>
          <w:p w:rsidR="00520137" w:rsidRPr="007214FD" w:rsidRDefault="00520137" w:rsidP="00BB214A">
            <w:pPr>
              <w:jc w:val="center"/>
              <w:rPr>
                <w:rFonts w:ascii="Calibri" w:hAnsi="Calibri"/>
                <w:sz w:val="20"/>
                <w:szCs w:val="20"/>
              </w:rPr>
            </w:pPr>
            <w:r w:rsidRPr="00EA4AF8">
              <w:rPr>
                <w:rFonts w:ascii="Calibri" w:hAnsi="Calibri"/>
                <w:sz w:val="20"/>
                <w:szCs w:val="20"/>
              </w:rPr>
              <w:t>92%</w:t>
            </w:r>
          </w:p>
        </w:tc>
        <w:tc>
          <w:tcPr>
            <w:tcW w:w="1980" w:type="dxa"/>
            <w:gridSpan w:val="2"/>
            <w:tcBorders>
              <w:top w:val="single" w:sz="4" w:space="0" w:color="auto"/>
              <w:bottom w:val="single" w:sz="4" w:space="0" w:color="auto"/>
              <w:right w:val="single" w:sz="4" w:space="0" w:color="auto"/>
            </w:tcBorders>
            <w:shd w:val="clear" w:color="auto" w:fill="auto"/>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85%</w:t>
            </w:r>
          </w:p>
        </w:tc>
        <w:tc>
          <w:tcPr>
            <w:tcW w:w="2146" w:type="dxa"/>
            <w:gridSpan w:val="4"/>
            <w:tcBorders>
              <w:top w:val="single" w:sz="4" w:space="0" w:color="auto"/>
              <w:bottom w:val="single" w:sz="4" w:space="0" w:color="auto"/>
              <w:right w:val="single" w:sz="4" w:space="0" w:color="auto"/>
            </w:tcBorders>
            <w:shd w:val="clear" w:color="auto" w:fill="auto"/>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N/A</w:t>
            </w:r>
          </w:p>
        </w:tc>
        <w:tc>
          <w:tcPr>
            <w:tcW w:w="2661" w:type="dxa"/>
            <w:gridSpan w:val="2"/>
            <w:tcBorders>
              <w:top w:val="single" w:sz="4" w:space="0" w:color="auto"/>
              <w:bottom w:val="single" w:sz="4" w:space="0" w:color="auto"/>
              <w:right w:val="double" w:sz="4" w:space="0" w:color="auto"/>
            </w:tcBorders>
            <w:shd w:val="clear" w:color="auto" w:fill="auto"/>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85%</w:t>
            </w:r>
          </w:p>
        </w:tc>
      </w:tr>
      <w:tr w:rsidR="00520137" w:rsidRPr="007214FD" w:rsidTr="00BB214A">
        <w:trPr>
          <w:trHeight w:val="530"/>
        </w:trPr>
        <w:tc>
          <w:tcPr>
            <w:tcW w:w="1029" w:type="dxa"/>
            <w:tcBorders>
              <w:top w:val="single" w:sz="4" w:space="0" w:color="auto"/>
              <w:bottom w:val="single" w:sz="4" w:space="0" w:color="auto"/>
            </w:tcBorders>
            <w:shd w:val="clear" w:color="auto" w:fill="auto"/>
            <w:vAlign w:val="center"/>
          </w:tcPr>
          <w:p w:rsidR="00520137" w:rsidRPr="007214FD" w:rsidRDefault="00520137" w:rsidP="00BB214A">
            <w:pPr>
              <w:jc w:val="both"/>
              <w:rPr>
                <w:rFonts w:ascii="Calibri" w:hAnsi="Calibri"/>
                <w:b/>
                <w:sz w:val="18"/>
                <w:szCs w:val="18"/>
              </w:rPr>
            </w:pPr>
            <w:r w:rsidRPr="007214FD">
              <w:rPr>
                <w:rFonts w:ascii="Calibri" w:hAnsi="Calibri"/>
                <w:b/>
                <w:sz w:val="18"/>
                <w:szCs w:val="18"/>
              </w:rPr>
              <w:t xml:space="preserve">Efficiency </w:t>
            </w:r>
          </w:p>
        </w:tc>
        <w:tc>
          <w:tcPr>
            <w:tcW w:w="2936" w:type="dxa"/>
            <w:gridSpan w:val="3"/>
            <w:tcBorders>
              <w:top w:val="single" w:sz="4" w:space="0" w:color="auto"/>
              <w:bottom w:val="single" w:sz="4" w:space="0" w:color="auto"/>
            </w:tcBorders>
            <w:shd w:val="clear" w:color="auto" w:fill="auto"/>
          </w:tcPr>
          <w:p w:rsidR="00520137" w:rsidRPr="00632D42" w:rsidRDefault="00520137" w:rsidP="00BB214A">
            <w:pPr>
              <w:rPr>
                <w:rFonts w:ascii="Calibri" w:hAnsi="Calibri"/>
                <w:sz w:val="18"/>
                <w:szCs w:val="18"/>
                <w:lang w:val="en-CA"/>
              </w:rPr>
            </w:pPr>
            <w:r w:rsidRPr="00632D42">
              <w:rPr>
                <w:rFonts w:ascii="Calibri" w:hAnsi="Calibri"/>
                <w:sz w:val="18"/>
                <w:szCs w:val="18"/>
                <w:lang w:val="en-CA"/>
              </w:rPr>
              <w:t xml:space="preserve">7.   Ratio of dollars defeated and </w:t>
            </w:r>
          </w:p>
          <w:p w:rsidR="00520137" w:rsidRPr="00632D42" w:rsidRDefault="00520137" w:rsidP="00BB214A">
            <w:pPr>
              <w:rPr>
                <w:rFonts w:ascii="Calibri" w:hAnsi="Calibri"/>
                <w:sz w:val="16"/>
                <w:szCs w:val="16"/>
                <w:lang w:val="en-CA"/>
              </w:rPr>
            </w:pPr>
            <w:r w:rsidRPr="00632D42">
              <w:rPr>
                <w:rFonts w:ascii="Calibri" w:hAnsi="Calibri"/>
                <w:sz w:val="18"/>
                <w:szCs w:val="18"/>
                <w:lang w:val="en-CA"/>
              </w:rPr>
              <w:t>recovered to dollars obligated for  litigation</w:t>
            </w:r>
          </w:p>
        </w:tc>
        <w:tc>
          <w:tcPr>
            <w:tcW w:w="1872" w:type="dxa"/>
            <w:gridSpan w:val="2"/>
            <w:tcBorders>
              <w:top w:val="single" w:sz="4" w:space="0" w:color="auto"/>
              <w:bottom w:val="single" w:sz="4" w:space="0" w:color="auto"/>
            </w:tcBorders>
            <w:shd w:val="clear" w:color="auto" w:fill="auto"/>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$4</w:t>
            </w:r>
            <w:r>
              <w:rPr>
                <w:rFonts w:ascii="Calibri" w:hAnsi="Calibri"/>
                <w:sz w:val="20"/>
                <w:szCs w:val="20"/>
              </w:rPr>
              <w:t>4</w:t>
            </w:r>
          </w:p>
        </w:tc>
        <w:tc>
          <w:tcPr>
            <w:tcW w:w="2064" w:type="dxa"/>
            <w:gridSpan w:val="2"/>
            <w:tcBorders>
              <w:top w:val="single" w:sz="4" w:space="0" w:color="auto"/>
              <w:bottom w:val="single" w:sz="4" w:space="0" w:color="auto"/>
            </w:tcBorders>
            <w:shd w:val="clear" w:color="auto" w:fill="D9D9D9" w:themeFill="background1" w:themeFillShade="D9"/>
            <w:vAlign w:val="center"/>
          </w:tcPr>
          <w:p w:rsidR="00520137" w:rsidRPr="007214FD" w:rsidRDefault="00520137" w:rsidP="00BB214A">
            <w:pPr>
              <w:jc w:val="center"/>
              <w:rPr>
                <w:rFonts w:ascii="Calibri" w:hAnsi="Calibri"/>
                <w:sz w:val="20"/>
                <w:szCs w:val="20"/>
              </w:rPr>
            </w:pPr>
            <w:r w:rsidRPr="00EA4AF8">
              <w:rPr>
                <w:rFonts w:ascii="Calibri" w:hAnsi="Calibri"/>
                <w:sz w:val="20"/>
                <w:szCs w:val="20"/>
              </w:rPr>
              <w:t>$48</w:t>
            </w:r>
          </w:p>
        </w:tc>
        <w:tc>
          <w:tcPr>
            <w:tcW w:w="1980" w:type="dxa"/>
            <w:gridSpan w:val="2"/>
            <w:tcBorders>
              <w:top w:val="single" w:sz="4" w:space="0" w:color="auto"/>
              <w:bottom w:val="single" w:sz="4" w:space="0" w:color="auto"/>
              <w:right w:val="single" w:sz="4" w:space="0" w:color="auto"/>
            </w:tcBorders>
            <w:shd w:val="clear" w:color="auto" w:fill="auto"/>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$4</w:t>
            </w:r>
            <w:r>
              <w:rPr>
                <w:rFonts w:ascii="Calibri" w:hAnsi="Calibri"/>
                <w:sz w:val="20"/>
                <w:szCs w:val="20"/>
              </w:rPr>
              <w:t>5</w:t>
            </w:r>
          </w:p>
        </w:tc>
        <w:tc>
          <w:tcPr>
            <w:tcW w:w="2146" w:type="dxa"/>
            <w:gridSpan w:val="4"/>
            <w:tcBorders>
              <w:top w:val="single" w:sz="4" w:space="0" w:color="auto"/>
              <w:bottom w:val="single" w:sz="4" w:space="0" w:color="auto"/>
              <w:right w:val="single" w:sz="4" w:space="0" w:color="auto"/>
            </w:tcBorders>
            <w:shd w:val="clear" w:color="auto" w:fill="auto"/>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N/A</w:t>
            </w:r>
          </w:p>
        </w:tc>
        <w:tc>
          <w:tcPr>
            <w:tcW w:w="2661" w:type="dxa"/>
            <w:gridSpan w:val="2"/>
            <w:tcBorders>
              <w:top w:val="single" w:sz="4" w:space="0" w:color="auto"/>
              <w:bottom w:val="single" w:sz="4" w:space="0" w:color="auto"/>
              <w:right w:val="double" w:sz="4" w:space="0" w:color="auto"/>
            </w:tcBorders>
            <w:shd w:val="clear" w:color="auto" w:fill="auto"/>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$4</w:t>
            </w:r>
            <w:r>
              <w:rPr>
                <w:rFonts w:ascii="Calibri" w:hAnsi="Calibri"/>
                <w:sz w:val="20"/>
                <w:szCs w:val="20"/>
              </w:rPr>
              <w:t>6</w:t>
            </w:r>
          </w:p>
        </w:tc>
      </w:tr>
    </w:tbl>
    <w:p w:rsidR="00520137" w:rsidRPr="007214FD" w:rsidRDefault="00520137" w:rsidP="00520137">
      <w:pPr>
        <w:rPr>
          <w:rFonts w:ascii="Calibri" w:hAnsi="Calibri"/>
        </w:rPr>
      </w:pPr>
    </w:p>
    <w:tbl>
      <w:tblPr>
        <w:tblpPr w:leftFromText="180" w:rightFromText="180" w:vertAnchor="text" w:horzAnchor="margin" w:tblpXSpec="center" w:tblpY="-139"/>
        <w:tblW w:w="145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80"/>
        <w:gridCol w:w="2880"/>
        <w:gridCol w:w="1980"/>
        <w:gridCol w:w="1800"/>
        <w:gridCol w:w="1980"/>
        <w:gridCol w:w="2340"/>
        <w:gridCol w:w="2520"/>
      </w:tblGrid>
      <w:tr w:rsidR="00520137" w:rsidRPr="007214FD" w:rsidTr="00BB214A">
        <w:trPr>
          <w:trHeight w:val="348"/>
        </w:trPr>
        <w:tc>
          <w:tcPr>
            <w:tcW w:w="14580" w:type="dxa"/>
            <w:gridSpan w:val="7"/>
            <w:tcBorders>
              <w:top w:val="double" w:sz="4" w:space="0" w:color="auto"/>
              <w:bottom w:val="single" w:sz="4" w:space="0" w:color="auto"/>
            </w:tcBorders>
            <w:shd w:val="clear" w:color="auto" w:fill="FFFFFF"/>
            <w:vAlign w:val="center"/>
          </w:tcPr>
          <w:p w:rsidR="00520137" w:rsidRPr="007214FD" w:rsidRDefault="00520137" w:rsidP="00BB214A">
            <w:pPr>
              <w:rPr>
                <w:rFonts w:ascii="Calibri" w:hAnsi="Calibri"/>
                <w:b/>
                <w:color w:val="FFFFFF"/>
                <w:sz w:val="20"/>
                <w:szCs w:val="20"/>
              </w:rPr>
            </w:pPr>
            <w:r w:rsidRPr="007214FD">
              <w:rPr>
                <w:rFonts w:ascii="Calibri" w:hAnsi="Calibri"/>
              </w:rPr>
              <w:br w:type="page"/>
            </w:r>
            <w:r w:rsidRPr="007214FD">
              <w:rPr>
                <w:rFonts w:ascii="Calibri" w:hAnsi="Calibri"/>
                <w:b/>
                <w:bCs/>
                <w:color w:val="FFFFFF"/>
                <w:sz w:val="20"/>
                <w:szCs w:val="20"/>
              </w:rPr>
              <w:t>ERFORMANCE AND RESOURCES  TABLE (CONTINUED)</w:t>
            </w:r>
          </w:p>
        </w:tc>
      </w:tr>
      <w:tr w:rsidR="00520137" w:rsidRPr="007214FD" w:rsidTr="00BB214A">
        <w:trPr>
          <w:trHeight w:val="393"/>
        </w:trPr>
        <w:tc>
          <w:tcPr>
            <w:tcW w:w="3960" w:type="dxa"/>
            <w:gridSpan w:val="2"/>
            <w:tcBorders>
              <w:top w:val="single" w:sz="4" w:space="0" w:color="auto"/>
              <w:bottom w:val="double" w:sz="4" w:space="0" w:color="auto"/>
            </w:tcBorders>
            <w:shd w:val="clear" w:color="auto" w:fill="FFFFFF"/>
            <w:vAlign w:val="center"/>
          </w:tcPr>
          <w:p w:rsidR="00520137" w:rsidRPr="007214FD" w:rsidRDefault="00B408CF" w:rsidP="00BB214A">
            <w:pPr>
              <w:jc w:val="both"/>
              <w:rPr>
                <w:rFonts w:ascii="Calibri" w:hAnsi="Calibri"/>
                <w:b/>
                <w:sz w:val="18"/>
                <w:szCs w:val="18"/>
              </w:rPr>
            </w:pPr>
            <w:r w:rsidRPr="007214FD">
              <w:rPr>
                <w:rFonts w:ascii="Calibri" w:hAnsi="Calibri"/>
                <w:b/>
                <w:sz w:val="18"/>
                <w:szCs w:val="18"/>
                <w:lang w:val="en-CA"/>
              </w:rPr>
              <w:fldChar w:fldCharType="begin"/>
            </w:r>
            <w:r w:rsidR="00520137" w:rsidRPr="007214FD">
              <w:rPr>
                <w:rFonts w:ascii="Calibri" w:hAnsi="Calibri"/>
                <w:b/>
                <w:sz w:val="18"/>
                <w:szCs w:val="18"/>
                <w:lang w:val="en-CA"/>
              </w:rPr>
              <w:instrText xml:space="preserve"> SEQ CHAPTER \h \r 1</w:instrText>
            </w:r>
            <w:r w:rsidRPr="007214FD">
              <w:rPr>
                <w:rFonts w:ascii="Calibri" w:hAnsi="Calibri"/>
                <w:b/>
                <w:sz w:val="18"/>
                <w:szCs w:val="18"/>
                <w:lang w:val="en-CA"/>
              </w:rPr>
              <w:fldChar w:fldCharType="end"/>
            </w:r>
          </w:p>
        </w:tc>
        <w:tc>
          <w:tcPr>
            <w:tcW w:w="1980" w:type="dxa"/>
            <w:tcBorders>
              <w:top w:val="single" w:sz="4" w:space="0" w:color="auto"/>
              <w:bottom w:val="double" w:sz="4" w:space="0" w:color="auto"/>
            </w:tcBorders>
            <w:shd w:val="clear" w:color="auto" w:fill="FFFFFF"/>
            <w:vAlign w:val="center"/>
          </w:tcPr>
          <w:p w:rsidR="00520137" w:rsidRPr="007214FD" w:rsidRDefault="00520137" w:rsidP="00BB214A">
            <w:pPr>
              <w:jc w:val="center"/>
              <w:rPr>
                <w:rFonts w:ascii="Calibri" w:hAnsi="Calibri"/>
                <w:b/>
                <w:sz w:val="18"/>
                <w:szCs w:val="18"/>
              </w:rPr>
            </w:pPr>
            <w:r w:rsidRPr="007214FD">
              <w:rPr>
                <w:rFonts w:ascii="Calibri" w:hAnsi="Calibri"/>
                <w:b/>
                <w:sz w:val="18"/>
                <w:szCs w:val="18"/>
              </w:rPr>
              <w:t>Final Target</w:t>
            </w:r>
          </w:p>
        </w:tc>
        <w:tc>
          <w:tcPr>
            <w:tcW w:w="1800" w:type="dxa"/>
            <w:tcBorders>
              <w:top w:val="single" w:sz="4" w:space="0" w:color="auto"/>
              <w:bottom w:val="double" w:sz="4" w:space="0" w:color="auto"/>
            </w:tcBorders>
            <w:shd w:val="clear" w:color="auto" w:fill="FFFFFF"/>
            <w:vAlign w:val="center"/>
          </w:tcPr>
          <w:p w:rsidR="00520137" w:rsidRPr="007214FD" w:rsidRDefault="00520137" w:rsidP="00BB214A">
            <w:pPr>
              <w:jc w:val="center"/>
              <w:rPr>
                <w:rFonts w:ascii="Calibri" w:hAnsi="Calibri"/>
                <w:b/>
                <w:sz w:val="18"/>
                <w:szCs w:val="18"/>
              </w:rPr>
            </w:pPr>
            <w:r w:rsidRPr="007214FD">
              <w:rPr>
                <w:rFonts w:ascii="Calibri" w:hAnsi="Calibri"/>
                <w:b/>
                <w:sz w:val="18"/>
                <w:szCs w:val="18"/>
              </w:rPr>
              <w:t>Actual</w:t>
            </w:r>
          </w:p>
        </w:tc>
        <w:tc>
          <w:tcPr>
            <w:tcW w:w="1980" w:type="dxa"/>
            <w:tcBorders>
              <w:top w:val="single" w:sz="4" w:space="0" w:color="auto"/>
              <w:bottom w:val="double" w:sz="4" w:space="0" w:color="auto"/>
            </w:tcBorders>
            <w:shd w:val="clear" w:color="auto" w:fill="FFFFFF"/>
            <w:vAlign w:val="center"/>
          </w:tcPr>
          <w:p w:rsidR="00520137" w:rsidRPr="007214FD" w:rsidRDefault="00520137" w:rsidP="00BB214A">
            <w:pPr>
              <w:jc w:val="center"/>
              <w:rPr>
                <w:rFonts w:ascii="Calibri" w:hAnsi="Calibri"/>
                <w:b/>
                <w:sz w:val="18"/>
                <w:szCs w:val="18"/>
              </w:rPr>
            </w:pPr>
            <w:r w:rsidRPr="007214FD">
              <w:rPr>
                <w:rFonts w:ascii="Calibri" w:hAnsi="Calibri"/>
                <w:b/>
                <w:sz w:val="18"/>
                <w:szCs w:val="18"/>
              </w:rPr>
              <w:t>Projected</w:t>
            </w:r>
          </w:p>
        </w:tc>
        <w:tc>
          <w:tcPr>
            <w:tcW w:w="2340" w:type="dxa"/>
            <w:tcBorders>
              <w:top w:val="single" w:sz="4" w:space="0" w:color="auto"/>
              <w:bottom w:val="double" w:sz="4" w:space="0" w:color="auto"/>
            </w:tcBorders>
            <w:shd w:val="clear" w:color="auto" w:fill="FFFFFF"/>
            <w:vAlign w:val="center"/>
          </w:tcPr>
          <w:p w:rsidR="00520137" w:rsidRPr="007214FD" w:rsidRDefault="00520137" w:rsidP="00BB214A">
            <w:pPr>
              <w:jc w:val="center"/>
              <w:rPr>
                <w:rFonts w:ascii="Calibri" w:hAnsi="Calibri"/>
                <w:b/>
                <w:sz w:val="18"/>
                <w:szCs w:val="18"/>
              </w:rPr>
            </w:pPr>
            <w:r w:rsidRPr="007214FD">
              <w:rPr>
                <w:rFonts w:ascii="Calibri" w:hAnsi="Calibri"/>
                <w:b/>
                <w:sz w:val="18"/>
                <w:szCs w:val="18"/>
              </w:rPr>
              <w:t>Changes</w:t>
            </w:r>
          </w:p>
        </w:tc>
        <w:tc>
          <w:tcPr>
            <w:tcW w:w="2520" w:type="dxa"/>
            <w:tcBorders>
              <w:top w:val="single" w:sz="4" w:space="0" w:color="auto"/>
              <w:bottom w:val="double" w:sz="4" w:space="0" w:color="auto"/>
            </w:tcBorders>
            <w:shd w:val="clear" w:color="auto" w:fill="FFFFFF"/>
            <w:vAlign w:val="center"/>
          </w:tcPr>
          <w:p w:rsidR="00520137" w:rsidRPr="007214FD" w:rsidRDefault="00520137" w:rsidP="00BB214A">
            <w:pPr>
              <w:jc w:val="center"/>
              <w:rPr>
                <w:rFonts w:ascii="Calibri" w:hAnsi="Calibri"/>
                <w:b/>
                <w:sz w:val="18"/>
                <w:szCs w:val="18"/>
              </w:rPr>
            </w:pPr>
            <w:r w:rsidRPr="007214FD">
              <w:rPr>
                <w:rFonts w:ascii="Calibri" w:hAnsi="Calibri"/>
                <w:b/>
                <w:sz w:val="18"/>
                <w:szCs w:val="18"/>
              </w:rPr>
              <w:t>Requested (Total)</w:t>
            </w:r>
          </w:p>
        </w:tc>
      </w:tr>
      <w:tr w:rsidR="00520137" w:rsidRPr="007214FD" w:rsidTr="00BB214A">
        <w:trPr>
          <w:trHeight w:val="710"/>
        </w:trPr>
        <w:tc>
          <w:tcPr>
            <w:tcW w:w="1080" w:type="dxa"/>
            <w:tcBorders>
              <w:top w:val="double" w:sz="4" w:space="0" w:color="auto"/>
              <w:bottom w:val="single" w:sz="4" w:space="0" w:color="auto"/>
            </w:tcBorders>
            <w:shd w:val="clear" w:color="auto" w:fill="FFFFFF"/>
            <w:vAlign w:val="center"/>
          </w:tcPr>
          <w:p w:rsidR="00520137" w:rsidRPr="007214FD" w:rsidRDefault="00B408CF" w:rsidP="00BB214A">
            <w:pPr>
              <w:jc w:val="both"/>
              <w:rPr>
                <w:rFonts w:ascii="Calibri" w:hAnsi="Calibri"/>
                <w:sz w:val="18"/>
                <w:szCs w:val="18"/>
              </w:rPr>
            </w:pPr>
            <w:r w:rsidRPr="007214FD">
              <w:rPr>
                <w:rFonts w:ascii="Calibri" w:hAnsi="Calibri"/>
                <w:sz w:val="18"/>
                <w:szCs w:val="18"/>
                <w:lang w:val="en-CA"/>
              </w:rPr>
              <w:fldChar w:fldCharType="begin"/>
            </w:r>
            <w:r w:rsidR="00520137" w:rsidRPr="007214FD">
              <w:rPr>
                <w:rFonts w:ascii="Calibri" w:hAnsi="Calibri"/>
                <w:sz w:val="18"/>
                <w:szCs w:val="18"/>
                <w:lang w:val="en-CA"/>
              </w:rPr>
              <w:instrText xml:space="preserve"> SEQ CHAPTER \h \r 1</w:instrText>
            </w:r>
            <w:r w:rsidRPr="007214FD">
              <w:rPr>
                <w:rFonts w:ascii="Calibri" w:hAnsi="Calibri"/>
                <w:sz w:val="18"/>
                <w:szCs w:val="18"/>
                <w:lang w:val="en-CA"/>
              </w:rPr>
              <w:fldChar w:fldCharType="end"/>
            </w:r>
            <w:r w:rsidR="00520137" w:rsidRPr="007214FD">
              <w:rPr>
                <w:rFonts w:ascii="Calibri" w:hAnsi="Calibri"/>
                <w:b/>
                <w:bCs/>
                <w:sz w:val="18"/>
                <w:szCs w:val="18"/>
              </w:rPr>
              <w:t>TYPE/ Strategic Objective</w:t>
            </w:r>
          </w:p>
        </w:tc>
        <w:tc>
          <w:tcPr>
            <w:tcW w:w="2880" w:type="dxa"/>
            <w:tcBorders>
              <w:top w:val="double" w:sz="4" w:space="0" w:color="auto"/>
              <w:bottom w:val="single" w:sz="4" w:space="0" w:color="auto"/>
            </w:tcBorders>
            <w:shd w:val="clear" w:color="auto" w:fill="FFFFFF"/>
            <w:vAlign w:val="center"/>
          </w:tcPr>
          <w:p w:rsidR="00520137" w:rsidRPr="007214FD" w:rsidRDefault="00520137" w:rsidP="00BB214A">
            <w:pPr>
              <w:jc w:val="both"/>
              <w:rPr>
                <w:rFonts w:ascii="Calibri" w:hAnsi="Calibri"/>
                <w:b/>
                <w:sz w:val="18"/>
                <w:szCs w:val="18"/>
              </w:rPr>
            </w:pPr>
            <w:r w:rsidRPr="007214FD">
              <w:rPr>
                <w:rFonts w:ascii="Calibri" w:hAnsi="Calibri"/>
                <w:b/>
                <w:sz w:val="18"/>
                <w:szCs w:val="18"/>
              </w:rPr>
              <w:t>PERFORMANCE</w:t>
            </w:r>
          </w:p>
        </w:tc>
        <w:tc>
          <w:tcPr>
            <w:tcW w:w="1980" w:type="dxa"/>
            <w:tcBorders>
              <w:top w:val="double" w:sz="4" w:space="0" w:color="auto"/>
              <w:bottom w:val="single" w:sz="4" w:space="0" w:color="auto"/>
            </w:tcBorders>
            <w:shd w:val="clear" w:color="auto" w:fill="FFFFFF"/>
            <w:vAlign w:val="center"/>
          </w:tcPr>
          <w:p w:rsidR="00520137" w:rsidRPr="007214FD" w:rsidRDefault="00520137" w:rsidP="00BB214A">
            <w:pPr>
              <w:jc w:val="center"/>
              <w:rPr>
                <w:rFonts w:ascii="Calibri" w:hAnsi="Calibri"/>
                <w:b/>
                <w:sz w:val="18"/>
                <w:szCs w:val="18"/>
              </w:rPr>
            </w:pPr>
            <w:r w:rsidRPr="007214FD">
              <w:rPr>
                <w:rFonts w:ascii="Calibri" w:hAnsi="Calibri"/>
                <w:b/>
                <w:sz w:val="18"/>
                <w:szCs w:val="18"/>
              </w:rPr>
              <w:t>FY 20</w:t>
            </w:r>
            <w:r>
              <w:rPr>
                <w:rFonts w:ascii="Calibri" w:hAnsi="Calibri"/>
                <w:b/>
                <w:sz w:val="18"/>
                <w:szCs w:val="18"/>
              </w:rPr>
              <w:t>10</w:t>
            </w:r>
          </w:p>
        </w:tc>
        <w:tc>
          <w:tcPr>
            <w:tcW w:w="1800" w:type="dxa"/>
            <w:tcBorders>
              <w:top w:val="double" w:sz="4" w:space="0" w:color="auto"/>
              <w:bottom w:val="single" w:sz="4" w:space="0" w:color="auto"/>
            </w:tcBorders>
            <w:shd w:val="clear" w:color="auto" w:fill="FFFFFF"/>
            <w:vAlign w:val="center"/>
          </w:tcPr>
          <w:p w:rsidR="00520137" w:rsidRPr="007214FD" w:rsidRDefault="00520137" w:rsidP="00BB214A">
            <w:pPr>
              <w:jc w:val="center"/>
              <w:rPr>
                <w:rFonts w:ascii="Calibri" w:hAnsi="Calibri"/>
                <w:b/>
                <w:sz w:val="18"/>
                <w:szCs w:val="18"/>
              </w:rPr>
            </w:pPr>
            <w:r>
              <w:rPr>
                <w:rFonts w:ascii="Calibri" w:hAnsi="Calibri"/>
                <w:b/>
                <w:sz w:val="18"/>
                <w:szCs w:val="18"/>
              </w:rPr>
              <w:t>FY 2010</w:t>
            </w:r>
          </w:p>
        </w:tc>
        <w:tc>
          <w:tcPr>
            <w:tcW w:w="1980" w:type="dxa"/>
            <w:tcBorders>
              <w:top w:val="double" w:sz="4" w:space="0" w:color="auto"/>
              <w:bottom w:val="single" w:sz="4" w:space="0" w:color="auto"/>
            </w:tcBorders>
            <w:shd w:val="clear" w:color="auto" w:fill="FFFFFF"/>
            <w:vAlign w:val="center"/>
          </w:tcPr>
          <w:p w:rsidR="00520137" w:rsidRPr="007214FD" w:rsidRDefault="00520137" w:rsidP="00BB214A">
            <w:pPr>
              <w:jc w:val="center"/>
              <w:rPr>
                <w:rFonts w:ascii="Calibri" w:hAnsi="Calibri"/>
                <w:b/>
                <w:sz w:val="18"/>
                <w:szCs w:val="18"/>
              </w:rPr>
            </w:pPr>
            <w:r>
              <w:rPr>
                <w:rFonts w:ascii="Calibri" w:hAnsi="Calibri"/>
                <w:b/>
                <w:sz w:val="18"/>
                <w:szCs w:val="18"/>
              </w:rPr>
              <w:t>FY 2011</w:t>
            </w:r>
          </w:p>
          <w:p w:rsidR="00520137" w:rsidRPr="007214FD" w:rsidRDefault="00D23E1A" w:rsidP="00BB214A">
            <w:pPr>
              <w:jc w:val="center"/>
              <w:rPr>
                <w:rFonts w:ascii="Calibri" w:hAnsi="Calibri"/>
                <w:b/>
                <w:sz w:val="18"/>
                <w:szCs w:val="18"/>
              </w:rPr>
            </w:pPr>
            <w:r>
              <w:rPr>
                <w:rFonts w:ascii="Calibri" w:hAnsi="Calibri"/>
                <w:b/>
                <w:sz w:val="18"/>
                <w:szCs w:val="18"/>
              </w:rPr>
              <w:t>Continuing Resolution</w:t>
            </w:r>
          </w:p>
        </w:tc>
        <w:tc>
          <w:tcPr>
            <w:tcW w:w="2340" w:type="dxa"/>
            <w:tcBorders>
              <w:top w:val="double" w:sz="4" w:space="0" w:color="auto"/>
              <w:bottom w:val="single" w:sz="4" w:space="0" w:color="auto"/>
            </w:tcBorders>
            <w:shd w:val="clear" w:color="auto" w:fill="FFFFFF"/>
            <w:vAlign w:val="center"/>
          </w:tcPr>
          <w:p w:rsidR="00520137" w:rsidRPr="007214FD" w:rsidRDefault="00520137" w:rsidP="00BB214A">
            <w:pPr>
              <w:jc w:val="center"/>
              <w:rPr>
                <w:rFonts w:ascii="Calibri" w:hAnsi="Calibri"/>
                <w:b/>
                <w:sz w:val="18"/>
                <w:szCs w:val="18"/>
              </w:rPr>
            </w:pPr>
            <w:r w:rsidRPr="007214FD">
              <w:rPr>
                <w:rFonts w:ascii="Calibri" w:hAnsi="Calibri"/>
                <w:b/>
                <w:sz w:val="18"/>
                <w:szCs w:val="18"/>
              </w:rPr>
              <w:t>Current Services</w:t>
            </w:r>
          </w:p>
          <w:p w:rsidR="00520137" w:rsidRPr="007214FD" w:rsidRDefault="00520137" w:rsidP="00BB214A">
            <w:pPr>
              <w:jc w:val="center"/>
              <w:rPr>
                <w:rFonts w:ascii="Calibri" w:hAnsi="Calibri"/>
                <w:b/>
                <w:sz w:val="18"/>
                <w:szCs w:val="18"/>
              </w:rPr>
            </w:pPr>
            <w:r w:rsidRPr="007214FD">
              <w:rPr>
                <w:rFonts w:ascii="Calibri" w:hAnsi="Calibri"/>
                <w:b/>
                <w:sz w:val="18"/>
                <w:szCs w:val="18"/>
              </w:rPr>
              <w:t>Adjustments and FY 201</w:t>
            </w:r>
            <w:r>
              <w:rPr>
                <w:rFonts w:ascii="Calibri" w:hAnsi="Calibri"/>
                <w:b/>
                <w:sz w:val="18"/>
                <w:szCs w:val="18"/>
              </w:rPr>
              <w:t>2</w:t>
            </w:r>
            <w:r w:rsidRPr="007214FD">
              <w:rPr>
                <w:rFonts w:ascii="Calibri" w:hAnsi="Calibri"/>
                <w:b/>
                <w:sz w:val="18"/>
                <w:szCs w:val="18"/>
              </w:rPr>
              <w:t xml:space="preserve"> Program Changes</w:t>
            </w:r>
          </w:p>
        </w:tc>
        <w:tc>
          <w:tcPr>
            <w:tcW w:w="2520" w:type="dxa"/>
            <w:tcBorders>
              <w:top w:val="double" w:sz="4" w:space="0" w:color="auto"/>
              <w:bottom w:val="single" w:sz="4" w:space="0" w:color="auto"/>
            </w:tcBorders>
            <w:shd w:val="clear" w:color="auto" w:fill="FFFFFF"/>
            <w:vAlign w:val="center"/>
          </w:tcPr>
          <w:p w:rsidR="00520137" w:rsidRPr="007214FD" w:rsidRDefault="00520137" w:rsidP="00BB214A">
            <w:pPr>
              <w:jc w:val="center"/>
              <w:rPr>
                <w:rFonts w:ascii="Calibri" w:hAnsi="Calibri"/>
                <w:b/>
                <w:sz w:val="18"/>
                <w:szCs w:val="18"/>
              </w:rPr>
            </w:pPr>
            <w:r w:rsidRPr="007214FD">
              <w:rPr>
                <w:rFonts w:ascii="Calibri" w:hAnsi="Calibri"/>
                <w:b/>
                <w:sz w:val="18"/>
                <w:szCs w:val="18"/>
              </w:rPr>
              <w:t>FY 201</w:t>
            </w:r>
            <w:r>
              <w:rPr>
                <w:rFonts w:ascii="Calibri" w:hAnsi="Calibri"/>
                <w:b/>
                <w:sz w:val="18"/>
                <w:szCs w:val="18"/>
              </w:rPr>
              <w:t>2</w:t>
            </w:r>
            <w:r w:rsidRPr="007214FD">
              <w:rPr>
                <w:rFonts w:ascii="Calibri" w:hAnsi="Calibri"/>
                <w:b/>
                <w:sz w:val="18"/>
                <w:szCs w:val="18"/>
              </w:rPr>
              <w:t xml:space="preserve"> Request</w:t>
            </w:r>
          </w:p>
        </w:tc>
      </w:tr>
      <w:tr w:rsidR="00520137" w:rsidRPr="007214FD" w:rsidTr="00BB214A">
        <w:trPr>
          <w:trHeight w:val="521"/>
        </w:trPr>
        <w:tc>
          <w:tcPr>
            <w:tcW w:w="1080" w:type="dxa"/>
            <w:tcBorders>
              <w:top w:val="single" w:sz="4" w:space="0" w:color="auto"/>
              <w:bottom w:val="single" w:sz="4" w:space="0" w:color="auto"/>
            </w:tcBorders>
            <w:shd w:val="clear" w:color="auto" w:fill="FFFFFF"/>
            <w:vAlign w:val="center"/>
          </w:tcPr>
          <w:p w:rsidR="00520137" w:rsidRPr="007214FD" w:rsidRDefault="00520137" w:rsidP="00BB214A">
            <w:pPr>
              <w:jc w:val="both"/>
              <w:rPr>
                <w:rFonts w:ascii="Calibri" w:hAnsi="Calibri"/>
                <w:sz w:val="18"/>
                <w:szCs w:val="18"/>
              </w:rPr>
            </w:pPr>
          </w:p>
        </w:tc>
        <w:tc>
          <w:tcPr>
            <w:tcW w:w="13500" w:type="dxa"/>
            <w:gridSpan w:val="6"/>
            <w:tcBorders>
              <w:top w:val="single" w:sz="4" w:space="0" w:color="auto"/>
              <w:bottom w:val="single" w:sz="4" w:space="0" w:color="auto"/>
            </w:tcBorders>
            <w:shd w:val="clear" w:color="auto" w:fill="FFFFFF"/>
            <w:vAlign w:val="center"/>
          </w:tcPr>
          <w:p w:rsidR="00520137" w:rsidRPr="00632D42" w:rsidRDefault="00520137" w:rsidP="00BB214A">
            <w:pPr>
              <w:jc w:val="both"/>
              <w:rPr>
                <w:rFonts w:ascii="Calibri" w:hAnsi="Calibri"/>
                <w:b/>
                <w:color w:val="632423"/>
                <w:sz w:val="20"/>
                <w:szCs w:val="20"/>
              </w:rPr>
            </w:pPr>
            <w:r w:rsidRPr="00632D42">
              <w:rPr>
                <w:rFonts w:ascii="Calibri" w:hAnsi="Calibri"/>
                <w:b/>
                <w:color w:val="632423"/>
                <w:sz w:val="20"/>
                <w:szCs w:val="20"/>
                <w:lang w:val="en-CA"/>
              </w:rPr>
              <w:t xml:space="preserve">Vaccine Injury Compensation Program </w:t>
            </w:r>
          </w:p>
        </w:tc>
      </w:tr>
      <w:tr w:rsidR="00520137" w:rsidRPr="007214FD" w:rsidTr="00BB214A">
        <w:trPr>
          <w:trHeight w:val="530"/>
        </w:trPr>
        <w:tc>
          <w:tcPr>
            <w:tcW w:w="1080" w:type="dxa"/>
            <w:vMerge w:val="restart"/>
            <w:tcBorders>
              <w:top w:val="single" w:sz="4" w:space="0" w:color="auto"/>
              <w:bottom w:val="single" w:sz="4" w:space="0" w:color="auto"/>
            </w:tcBorders>
            <w:shd w:val="clear" w:color="auto" w:fill="FFFFFF"/>
          </w:tcPr>
          <w:p w:rsidR="00520137" w:rsidRPr="007214FD" w:rsidRDefault="00520137" w:rsidP="00BB214A">
            <w:pPr>
              <w:jc w:val="both"/>
              <w:rPr>
                <w:rFonts w:ascii="Calibri" w:hAnsi="Calibri"/>
                <w:b/>
                <w:sz w:val="18"/>
                <w:szCs w:val="18"/>
              </w:rPr>
            </w:pPr>
            <w:r w:rsidRPr="007214FD">
              <w:rPr>
                <w:rFonts w:ascii="Calibri" w:hAnsi="Calibri"/>
                <w:b/>
                <w:sz w:val="18"/>
                <w:szCs w:val="18"/>
              </w:rPr>
              <w:t>Output</w:t>
            </w:r>
          </w:p>
        </w:tc>
        <w:tc>
          <w:tcPr>
            <w:tcW w:w="2880" w:type="dxa"/>
            <w:tcBorders>
              <w:top w:val="single" w:sz="4" w:space="0" w:color="auto"/>
              <w:bottom w:val="single" w:sz="4" w:space="0" w:color="auto"/>
            </w:tcBorders>
            <w:shd w:val="clear" w:color="auto" w:fill="FFFFFF"/>
            <w:vAlign w:val="center"/>
          </w:tcPr>
          <w:p w:rsidR="00520137" w:rsidRPr="007214FD" w:rsidRDefault="00520137" w:rsidP="00BB214A">
            <w:pPr>
              <w:ind w:left="72"/>
              <w:rPr>
                <w:rFonts w:ascii="Calibri" w:hAnsi="Calibri"/>
                <w:sz w:val="18"/>
                <w:szCs w:val="18"/>
              </w:rPr>
            </w:pPr>
            <w:r w:rsidRPr="007214FD">
              <w:rPr>
                <w:rFonts w:ascii="Calibri" w:hAnsi="Calibri"/>
                <w:sz w:val="18"/>
                <w:szCs w:val="18"/>
                <w:lang w:val="en-CA"/>
              </w:rPr>
              <w:t>8.</w:t>
            </w:r>
            <w:r w:rsidRPr="007214FD">
              <w:rPr>
                <w:rFonts w:ascii="Calibri" w:hAnsi="Calibri"/>
                <w:sz w:val="18"/>
                <w:szCs w:val="18"/>
              </w:rPr>
              <w:t xml:space="preserve">  Percentage of cases where the </w:t>
            </w:r>
          </w:p>
          <w:p w:rsidR="00520137" w:rsidRPr="007214FD" w:rsidRDefault="00520137" w:rsidP="00BB214A">
            <w:pPr>
              <w:ind w:left="72"/>
              <w:rPr>
                <w:rFonts w:ascii="Calibri" w:hAnsi="Calibri"/>
                <w:sz w:val="18"/>
                <w:szCs w:val="18"/>
              </w:rPr>
            </w:pPr>
            <w:r w:rsidRPr="007214FD">
              <w:rPr>
                <w:rFonts w:ascii="Calibri" w:hAnsi="Calibri"/>
                <w:sz w:val="18"/>
                <w:szCs w:val="18"/>
              </w:rPr>
              <w:t xml:space="preserve">deadline for filing the </w:t>
            </w:r>
          </w:p>
          <w:p w:rsidR="00520137" w:rsidRPr="007214FD" w:rsidRDefault="00520137" w:rsidP="00BB214A">
            <w:pPr>
              <w:ind w:left="72"/>
              <w:rPr>
                <w:rFonts w:ascii="Calibri" w:hAnsi="Calibri"/>
                <w:sz w:val="18"/>
                <w:szCs w:val="18"/>
              </w:rPr>
            </w:pPr>
            <w:r w:rsidRPr="007214FD">
              <w:rPr>
                <w:rFonts w:ascii="Calibri" w:hAnsi="Calibri"/>
                <w:sz w:val="18"/>
                <w:szCs w:val="18"/>
              </w:rPr>
              <w:t xml:space="preserve">Government’s response to </w:t>
            </w:r>
          </w:p>
          <w:p w:rsidR="00520137" w:rsidRPr="007214FD" w:rsidRDefault="00520137" w:rsidP="00BB214A">
            <w:pPr>
              <w:ind w:left="72"/>
              <w:rPr>
                <w:rFonts w:ascii="Calibri" w:hAnsi="Calibri"/>
                <w:sz w:val="18"/>
                <w:szCs w:val="18"/>
              </w:rPr>
            </w:pPr>
            <w:r w:rsidRPr="007214FD">
              <w:rPr>
                <w:rFonts w:ascii="Calibri" w:hAnsi="Calibri"/>
                <w:sz w:val="18"/>
                <w:szCs w:val="18"/>
              </w:rPr>
              <w:t xml:space="preserve">Petitioner’s complaint (the Rule (4b) report) is met once the case </w:t>
            </w:r>
          </w:p>
          <w:p w:rsidR="00520137" w:rsidRPr="007214FD" w:rsidRDefault="00520137" w:rsidP="00BB214A">
            <w:pPr>
              <w:ind w:left="72"/>
              <w:rPr>
                <w:rFonts w:ascii="Calibri" w:hAnsi="Calibri"/>
                <w:sz w:val="18"/>
                <w:szCs w:val="18"/>
                <w:lang w:val="en-CA"/>
              </w:rPr>
            </w:pPr>
            <w:r w:rsidRPr="007214FD">
              <w:rPr>
                <w:rFonts w:ascii="Calibri" w:hAnsi="Calibri"/>
                <w:sz w:val="18"/>
                <w:szCs w:val="18"/>
              </w:rPr>
              <w:t xml:space="preserve"> has been deemed complete</w:t>
            </w:r>
          </w:p>
        </w:tc>
        <w:tc>
          <w:tcPr>
            <w:tcW w:w="1980" w:type="dxa"/>
            <w:tcBorders>
              <w:top w:val="single" w:sz="4" w:space="0" w:color="auto"/>
              <w:bottom w:val="single" w:sz="4" w:space="0" w:color="auto"/>
            </w:tcBorders>
            <w:shd w:val="clear" w:color="auto" w:fill="FFFFFF"/>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86%</w:t>
            </w:r>
          </w:p>
        </w:tc>
        <w:tc>
          <w:tcPr>
            <w:tcW w:w="1800" w:type="dxa"/>
            <w:tcBorders>
              <w:top w:val="single" w:sz="4" w:space="0" w:color="auto"/>
              <w:bottom w:val="single" w:sz="4" w:space="0" w:color="auto"/>
            </w:tcBorders>
            <w:shd w:val="clear" w:color="auto" w:fill="D9D9D9" w:themeFill="background1" w:themeFillShade="D9"/>
            <w:vAlign w:val="center"/>
          </w:tcPr>
          <w:p w:rsidR="00520137" w:rsidRPr="007214FD" w:rsidRDefault="00D26430" w:rsidP="00BB214A">
            <w:pPr>
              <w:jc w:val="center"/>
              <w:rPr>
                <w:rFonts w:ascii="Calibri" w:hAnsi="Calibri"/>
                <w:sz w:val="20"/>
                <w:szCs w:val="20"/>
              </w:rPr>
            </w:pPr>
            <w:r w:rsidRPr="00D26430">
              <w:rPr>
                <w:rFonts w:ascii="Calibri" w:hAnsi="Calibri"/>
                <w:sz w:val="20"/>
                <w:szCs w:val="20"/>
              </w:rPr>
              <w:t>96</w:t>
            </w:r>
            <w:r w:rsidR="00520137" w:rsidRPr="00D26430">
              <w:rPr>
                <w:rFonts w:ascii="Calibri" w:hAnsi="Calibri"/>
                <w:sz w:val="20"/>
                <w:szCs w:val="20"/>
              </w:rPr>
              <w:t>%</w:t>
            </w:r>
          </w:p>
        </w:tc>
        <w:tc>
          <w:tcPr>
            <w:tcW w:w="1980" w:type="dxa"/>
            <w:tcBorders>
              <w:top w:val="single" w:sz="4" w:space="0" w:color="auto"/>
              <w:bottom w:val="single" w:sz="4" w:space="0" w:color="auto"/>
              <w:right w:val="single" w:sz="4" w:space="0" w:color="auto"/>
            </w:tcBorders>
            <w:shd w:val="clear" w:color="auto" w:fill="FFFFFF"/>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86%</w:t>
            </w:r>
          </w:p>
        </w:tc>
        <w:tc>
          <w:tcPr>
            <w:tcW w:w="2340" w:type="dxa"/>
            <w:tcBorders>
              <w:top w:val="single" w:sz="4" w:space="0" w:color="auto"/>
              <w:bottom w:val="single" w:sz="4" w:space="0" w:color="auto"/>
              <w:right w:val="single" w:sz="4" w:space="0" w:color="auto"/>
            </w:tcBorders>
            <w:shd w:val="clear" w:color="auto" w:fill="FFFFFF"/>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N/A</w:t>
            </w:r>
          </w:p>
        </w:tc>
        <w:tc>
          <w:tcPr>
            <w:tcW w:w="2520" w:type="dxa"/>
            <w:tcBorders>
              <w:top w:val="single" w:sz="4" w:space="0" w:color="auto"/>
              <w:bottom w:val="single" w:sz="4" w:space="0" w:color="auto"/>
              <w:right w:val="double" w:sz="4" w:space="0" w:color="auto"/>
            </w:tcBorders>
            <w:shd w:val="clear" w:color="auto" w:fill="FFFFFF"/>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86%</w:t>
            </w:r>
          </w:p>
        </w:tc>
      </w:tr>
      <w:tr w:rsidR="00520137" w:rsidRPr="007214FD" w:rsidTr="00BB214A">
        <w:trPr>
          <w:trHeight w:val="530"/>
        </w:trPr>
        <w:tc>
          <w:tcPr>
            <w:tcW w:w="1080" w:type="dxa"/>
            <w:vMerge/>
            <w:tcBorders>
              <w:top w:val="single" w:sz="4" w:space="0" w:color="auto"/>
              <w:bottom w:val="single" w:sz="4" w:space="0" w:color="auto"/>
            </w:tcBorders>
            <w:shd w:val="clear" w:color="auto" w:fill="FFFFFF"/>
          </w:tcPr>
          <w:p w:rsidR="00520137" w:rsidRPr="007214FD" w:rsidRDefault="00520137" w:rsidP="00BB214A">
            <w:pPr>
              <w:jc w:val="both"/>
              <w:rPr>
                <w:rFonts w:ascii="Calibri" w:hAnsi="Calibri"/>
                <w:b/>
                <w:sz w:val="18"/>
                <w:szCs w:val="18"/>
              </w:rPr>
            </w:pPr>
          </w:p>
        </w:tc>
        <w:tc>
          <w:tcPr>
            <w:tcW w:w="2880" w:type="dxa"/>
            <w:tcBorders>
              <w:top w:val="single" w:sz="4" w:space="0" w:color="auto"/>
              <w:bottom w:val="single" w:sz="4" w:space="0" w:color="auto"/>
            </w:tcBorders>
            <w:shd w:val="clear" w:color="auto" w:fill="FFFFFF"/>
            <w:vAlign w:val="center"/>
          </w:tcPr>
          <w:p w:rsidR="00520137" w:rsidRPr="00306A8B" w:rsidRDefault="00520137" w:rsidP="00BB214A">
            <w:pPr>
              <w:rPr>
                <w:rFonts w:ascii="Calibri" w:hAnsi="Calibri"/>
                <w:sz w:val="18"/>
                <w:szCs w:val="18"/>
              </w:rPr>
            </w:pPr>
            <w:r w:rsidRPr="007214FD">
              <w:rPr>
                <w:rFonts w:ascii="Calibri" w:hAnsi="Calibri"/>
                <w:sz w:val="18"/>
                <w:szCs w:val="18"/>
                <w:lang w:val="en-CA"/>
              </w:rPr>
              <w:t>9.</w:t>
            </w:r>
            <w:r w:rsidRPr="007214FD">
              <w:rPr>
                <w:rFonts w:ascii="Calibri" w:hAnsi="Calibri"/>
                <w:sz w:val="18"/>
                <w:szCs w:val="18"/>
              </w:rPr>
              <w:t xml:space="preserve">   Median time to process an award for damages (in days)</w:t>
            </w:r>
          </w:p>
        </w:tc>
        <w:tc>
          <w:tcPr>
            <w:tcW w:w="1980" w:type="dxa"/>
            <w:tcBorders>
              <w:top w:val="single" w:sz="4" w:space="0" w:color="auto"/>
              <w:bottom w:val="single" w:sz="4" w:space="0" w:color="auto"/>
            </w:tcBorders>
            <w:shd w:val="clear" w:color="auto" w:fill="FFFFFF"/>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4</w:t>
            </w:r>
            <w:r>
              <w:rPr>
                <w:rFonts w:ascii="Calibri" w:hAnsi="Calibri"/>
                <w:sz w:val="20"/>
                <w:szCs w:val="20"/>
              </w:rPr>
              <w:t>75</w:t>
            </w:r>
          </w:p>
        </w:tc>
        <w:tc>
          <w:tcPr>
            <w:tcW w:w="1800" w:type="dxa"/>
            <w:tcBorders>
              <w:top w:val="single" w:sz="4" w:space="0" w:color="auto"/>
              <w:bottom w:val="single" w:sz="4" w:space="0" w:color="auto"/>
            </w:tcBorders>
            <w:shd w:val="clear" w:color="auto" w:fill="D9D9D9" w:themeFill="background1" w:themeFillShade="D9"/>
            <w:vAlign w:val="center"/>
          </w:tcPr>
          <w:p w:rsidR="00520137" w:rsidRPr="007214FD" w:rsidRDefault="00D26430" w:rsidP="00BB214A">
            <w:pPr>
              <w:jc w:val="center"/>
              <w:rPr>
                <w:rFonts w:ascii="Calibri" w:hAnsi="Calibri"/>
                <w:sz w:val="20"/>
                <w:szCs w:val="20"/>
              </w:rPr>
            </w:pPr>
            <w:r>
              <w:rPr>
                <w:rFonts w:ascii="Calibri" w:hAnsi="Calibri"/>
                <w:sz w:val="20"/>
                <w:szCs w:val="20"/>
              </w:rPr>
              <w:t>388</w:t>
            </w:r>
          </w:p>
        </w:tc>
        <w:tc>
          <w:tcPr>
            <w:tcW w:w="1980" w:type="dxa"/>
            <w:tcBorders>
              <w:top w:val="single" w:sz="4" w:space="0" w:color="auto"/>
              <w:bottom w:val="single" w:sz="4" w:space="0" w:color="auto"/>
              <w:right w:val="single" w:sz="4" w:space="0" w:color="auto"/>
            </w:tcBorders>
            <w:shd w:val="clear" w:color="auto" w:fill="FFFFFF"/>
            <w:vAlign w:val="center"/>
          </w:tcPr>
          <w:p w:rsidR="00520137" w:rsidRPr="007214FD" w:rsidRDefault="00520137" w:rsidP="00BB214A">
            <w:pPr>
              <w:jc w:val="center"/>
              <w:rPr>
                <w:rFonts w:ascii="Calibri" w:hAnsi="Calibri"/>
                <w:sz w:val="20"/>
                <w:szCs w:val="20"/>
              </w:rPr>
            </w:pPr>
            <w:r>
              <w:rPr>
                <w:rFonts w:ascii="Calibri" w:hAnsi="Calibri"/>
                <w:sz w:val="20"/>
                <w:szCs w:val="20"/>
              </w:rPr>
              <w:t>TBD</w:t>
            </w:r>
          </w:p>
        </w:tc>
        <w:tc>
          <w:tcPr>
            <w:tcW w:w="2340" w:type="dxa"/>
            <w:tcBorders>
              <w:top w:val="single" w:sz="4" w:space="0" w:color="auto"/>
              <w:bottom w:val="single" w:sz="4" w:space="0" w:color="auto"/>
              <w:right w:val="single" w:sz="4" w:space="0" w:color="auto"/>
            </w:tcBorders>
            <w:shd w:val="clear" w:color="auto" w:fill="FFFFFF"/>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N/A</w:t>
            </w:r>
          </w:p>
        </w:tc>
        <w:tc>
          <w:tcPr>
            <w:tcW w:w="2520" w:type="dxa"/>
            <w:tcBorders>
              <w:top w:val="single" w:sz="4" w:space="0" w:color="auto"/>
              <w:bottom w:val="single" w:sz="4" w:space="0" w:color="auto"/>
              <w:right w:val="double" w:sz="4" w:space="0" w:color="auto"/>
            </w:tcBorders>
            <w:shd w:val="clear" w:color="auto" w:fill="FFFFFF"/>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TBD</w:t>
            </w:r>
          </w:p>
        </w:tc>
      </w:tr>
      <w:tr w:rsidR="00520137" w:rsidRPr="007214FD" w:rsidTr="00BB214A">
        <w:trPr>
          <w:trHeight w:val="263"/>
        </w:trPr>
        <w:tc>
          <w:tcPr>
            <w:tcW w:w="1080" w:type="dxa"/>
            <w:vMerge w:val="restart"/>
            <w:tcBorders>
              <w:top w:val="single" w:sz="4" w:space="0" w:color="auto"/>
            </w:tcBorders>
            <w:shd w:val="clear" w:color="auto" w:fill="FFFFFF"/>
          </w:tcPr>
          <w:p w:rsidR="00520137" w:rsidRPr="007214FD" w:rsidRDefault="00520137" w:rsidP="00BB214A">
            <w:pPr>
              <w:jc w:val="both"/>
              <w:rPr>
                <w:rFonts w:ascii="Calibri" w:hAnsi="Calibri"/>
                <w:b/>
                <w:sz w:val="18"/>
                <w:szCs w:val="18"/>
              </w:rPr>
            </w:pPr>
            <w:r w:rsidRPr="007214FD">
              <w:rPr>
                <w:rFonts w:ascii="Calibri" w:hAnsi="Calibri"/>
                <w:b/>
                <w:sz w:val="18"/>
                <w:szCs w:val="18"/>
              </w:rPr>
              <w:t>Outcome</w:t>
            </w:r>
          </w:p>
        </w:tc>
        <w:tc>
          <w:tcPr>
            <w:tcW w:w="2880" w:type="dxa"/>
            <w:tcBorders>
              <w:top w:val="single" w:sz="4" w:space="0" w:color="auto"/>
              <w:bottom w:val="single" w:sz="4" w:space="0" w:color="auto"/>
            </w:tcBorders>
            <w:shd w:val="clear" w:color="auto" w:fill="FFFFFF"/>
            <w:vAlign w:val="center"/>
          </w:tcPr>
          <w:p w:rsidR="00520137" w:rsidRPr="007214FD" w:rsidRDefault="00520137" w:rsidP="00BB214A">
            <w:pPr>
              <w:rPr>
                <w:rFonts w:ascii="Calibri" w:hAnsi="Calibri"/>
                <w:sz w:val="18"/>
                <w:szCs w:val="18"/>
              </w:rPr>
            </w:pPr>
            <w:r w:rsidRPr="007214FD">
              <w:rPr>
                <w:rFonts w:ascii="Calibri" w:hAnsi="Calibri"/>
                <w:sz w:val="18"/>
                <w:szCs w:val="18"/>
                <w:lang w:val="en-CA"/>
              </w:rPr>
              <w:t>10.</w:t>
            </w:r>
            <w:r w:rsidRPr="007214FD">
              <w:rPr>
                <w:rFonts w:ascii="Calibri" w:hAnsi="Calibri"/>
                <w:sz w:val="18"/>
                <w:szCs w:val="18"/>
              </w:rPr>
              <w:t xml:space="preserve">  Percentage of cases in which </w:t>
            </w:r>
          </w:p>
          <w:p w:rsidR="00520137" w:rsidRPr="007214FD" w:rsidRDefault="00520137" w:rsidP="00BB214A">
            <w:pPr>
              <w:rPr>
                <w:rFonts w:ascii="Calibri" w:hAnsi="Calibri"/>
                <w:sz w:val="18"/>
                <w:szCs w:val="18"/>
              </w:rPr>
            </w:pPr>
            <w:r w:rsidRPr="007214FD">
              <w:rPr>
                <w:rFonts w:ascii="Calibri" w:hAnsi="Calibri"/>
                <w:sz w:val="18"/>
                <w:szCs w:val="18"/>
              </w:rPr>
              <w:t>Judgment awarding compensation is rejected and an election to pursue a civil action is filed</w:t>
            </w:r>
          </w:p>
        </w:tc>
        <w:tc>
          <w:tcPr>
            <w:tcW w:w="1980" w:type="dxa"/>
            <w:tcBorders>
              <w:top w:val="single" w:sz="4" w:space="0" w:color="auto"/>
              <w:bottom w:val="single" w:sz="4" w:space="0" w:color="auto"/>
            </w:tcBorders>
            <w:shd w:val="clear" w:color="auto" w:fill="FFFFFF"/>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0%</w:t>
            </w:r>
          </w:p>
        </w:tc>
        <w:tc>
          <w:tcPr>
            <w:tcW w:w="1800" w:type="dxa"/>
            <w:tcBorders>
              <w:top w:val="single" w:sz="4" w:space="0" w:color="auto"/>
              <w:bottom w:val="single" w:sz="4" w:space="0" w:color="auto"/>
            </w:tcBorders>
            <w:shd w:val="clear" w:color="auto" w:fill="D9D9D9" w:themeFill="background1" w:themeFillShade="D9"/>
            <w:vAlign w:val="center"/>
          </w:tcPr>
          <w:p w:rsidR="00520137" w:rsidRPr="007214FD" w:rsidRDefault="00520137" w:rsidP="00BB214A">
            <w:pPr>
              <w:jc w:val="center"/>
              <w:rPr>
                <w:rFonts w:ascii="Calibri" w:hAnsi="Calibri"/>
                <w:sz w:val="20"/>
                <w:szCs w:val="20"/>
              </w:rPr>
            </w:pPr>
            <w:r w:rsidRPr="00D26430">
              <w:rPr>
                <w:rFonts w:ascii="Calibri" w:hAnsi="Calibri"/>
                <w:sz w:val="20"/>
                <w:szCs w:val="20"/>
              </w:rPr>
              <w:t>0%</w:t>
            </w:r>
          </w:p>
        </w:tc>
        <w:tc>
          <w:tcPr>
            <w:tcW w:w="1980" w:type="dxa"/>
            <w:tcBorders>
              <w:top w:val="single" w:sz="4" w:space="0" w:color="auto"/>
              <w:bottom w:val="single" w:sz="4" w:space="0" w:color="auto"/>
              <w:right w:val="single" w:sz="4" w:space="0" w:color="auto"/>
            </w:tcBorders>
            <w:shd w:val="clear" w:color="auto" w:fill="FFFFFF"/>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0%</w:t>
            </w:r>
          </w:p>
        </w:tc>
        <w:tc>
          <w:tcPr>
            <w:tcW w:w="2340" w:type="dxa"/>
            <w:tcBorders>
              <w:top w:val="single" w:sz="4" w:space="0" w:color="auto"/>
              <w:bottom w:val="single" w:sz="4" w:space="0" w:color="auto"/>
              <w:right w:val="single" w:sz="4" w:space="0" w:color="auto"/>
            </w:tcBorders>
            <w:shd w:val="clear" w:color="auto" w:fill="FFFFFF"/>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N/A</w:t>
            </w:r>
          </w:p>
        </w:tc>
        <w:tc>
          <w:tcPr>
            <w:tcW w:w="2520" w:type="dxa"/>
            <w:tcBorders>
              <w:top w:val="single" w:sz="4" w:space="0" w:color="auto"/>
              <w:bottom w:val="single" w:sz="4" w:space="0" w:color="auto"/>
              <w:right w:val="double" w:sz="4" w:space="0" w:color="auto"/>
            </w:tcBorders>
            <w:shd w:val="clear" w:color="auto" w:fill="FFFFFF"/>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0%</w:t>
            </w:r>
          </w:p>
        </w:tc>
      </w:tr>
      <w:tr w:rsidR="00520137" w:rsidRPr="007214FD" w:rsidTr="00BB214A">
        <w:trPr>
          <w:trHeight w:val="262"/>
        </w:trPr>
        <w:tc>
          <w:tcPr>
            <w:tcW w:w="1080" w:type="dxa"/>
            <w:vMerge/>
            <w:tcBorders>
              <w:bottom w:val="single" w:sz="4" w:space="0" w:color="auto"/>
            </w:tcBorders>
            <w:shd w:val="clear" w:color="auto" w:fill="FFFFFF"/>
          </w:tcPr>
          <w:p w:rsidR="00520137" w:rsidRPr="007214FD" w:rsidRDefault="00520137" w:rsidP="00BB214A">
            <w:pPr>
              <w:jc w:val="both"/>
              <w:rPr>
                <w:rFonts w:ascii="Calibri" w:hAnsi="Calibri"/>
                <w:b/>
                <w:sz w:val="18"/>
                <w:szCs w:val="18"/>
              </w:rPr>
            </w:pPr>
          </w:p>
        </w:tc>
        <w:tc>
          <w:tcPr>
            <w:tcW w:w="2880" w:type="dxa"/>
            <w:tcBorders>
              <w:top w:val="single" w:sz="4" w:space="0" w:color="auto"/>
              <w:bottom w:val="single" w:sz="4" w:space="0" w:color="auto"/>
            </w:tcBorders>
            <w:shd w:val="clear" w:color="auto" w:fill="FFFFFF"/>
            <w:vAlign w:val="center"/>
          </w:tcPr>
          <w:p w:rsidR="00520137" w:rsidRPr="007214FD" w:rsidRDefault="00520137" w:rsidP="00BB214A">
            <w:pPr>
              <w:rPr>
                <w:rFonts w:ascii="Calibri" w:hAnsi="Calibri"/>
                <w:sz w:val="18"/>
                <w:szCs w:val="18"/>
                <w:lang w:val="en-CA"/>
              </w:rPr>
            </w:pPr>
            <w:r w:rsidRPr="007214FD">
              <w:rPr>
                <w:rFonts w:ascii="Calibri" w:hAnsi="Calibri"/>
                <w:sz w:val="18"/>
                <w:szCs w:val="18"/>
                <w:lang w:val="en-CA"/>
              </w:rPr>
              <w:t>11.  Average claim processing time     (in days)</w:t>
            </w:r>
          </w:p>
        </w:tc>
        <w:tc>
          <w:tcPr>
            <w:tcW w:w="1980" w:type="dxa"/>
            <w:tcBorders>
              <w:top w:val="single" w:sz="4" w:space="0" w:color="auto"/>
              <w:bottom w:val="single" w:sz="4" w:space="0" w:color="auto"/>
            </w:tcBorders>
            <w:shd w:val="clear" w:color="auto" w:fill="FFFFFF"/>
            <w:vAlign w:val="center"/>
          </w:tcPr>
          <w:p w:rsidR="00520137" w:rsidRPr="007214FD" w:rsidRDefault="00520137" w:rsidP="00BB214A">
            <w:pPr>
              <w:jc w:val="center"/>
              <w:rPr>
                <w:rFonts w:ascii="Calibri" w:hAnsi="Calibri"/>
                <w:sz w:val="20"/>
                <w:szCs w:val="20"/>
              </w:rPr>
            </w:pPr>
            <w:r>
              <w:rPr>
                <w:rFonts w:ascii="Calibri" w:hAnsi="Calibri"/>
                <w:sz w:val="20"/>
                <w:szCs w:val="20"/>
              </w:rPr>
              <w:t>1,300</w:t>
            </w:r>
          </w:p>
        </w:tc>
        <w:tc>
          <w:tcPr>
            <w:tcW w:w="1800" w:type="dxa"/>
            <w:tcBorders>
              <w:top w:val="single" w:sz="4" w:space="0" w:color="auto"/>
              <w:bottom w:val="single" w:sz="4" w:space="0" w:color="auto"/>
            </w:tcBorders>
            <w:shd w:val="clear" w:color="auto" w:fill="D9D9D9" w:themeFill="background1" w:themeFillShade="D9"/>
            <w:vAlign w:val="center"/>
          </w:tcPr>
          <w:p w:rsidR="00520137" w:rsidRPr="007214FD" w:rsidRDefault="00520137" w:rsidP="00D26430">
            <w:pPr>
              <w:jc w:val="center"/>
              <w:rPr>
                <w:rFonts w:ascii="Calibri" w:hAnsi="Calibri"/>
                <w:sz w:val="20"/>
                <w:szCs w:val="20"/>
              </w:rPr>
            </w:pPr>
            <w:r w:rsidRPr="00D26430">
              <w:rPr>
                <w:rFonts w:ascii="Calibri" w:hAnsi="Calibri"/>
                <w:sz w:val="20"/>
                <w:szCs w:val="20"/>
              </w:rPr>
              <w:t>1,2</w:t>
            </w:r>
            <w:r w:rsidR="00D26430" w:rsidRPr="00D26430">
              <w:rPr>
                <w:rFonts w:ascii="Calibri" w:hAnsi="Calibri"/>
                <w:sz w:val="20"/>
                <w:szCs w:val="20"/>
              </w:rPr>
              <w:t>69</w:t>
            </w:r>
          </w:p>
        </w:tc>
        <w:tc>
          <w:tcPr>
            <w:tcW w:w="1980" w:type="dxa"/>
            <w:tcBorders>
              <w:top w:val="single" w:sz="4" w:space="0" w:color="auto"/>
              <w:bottom w:val="single" w:sz="4" w:space="0" w:color="auto"/>
              <w:right w:val="single" w:sz="4" w:space="0" w:color="auto"/>
            </w:tcBorders>
            <w:shd w:val="clear" w:color="auto" w:fill="FFFFFF"/>
            <w:vAlign w:val="center"/>
          </w:tcPr>
          <w:p w:rsidR="00520137" w:rsidRPr="007214FD" w:rsidRDefault="00520137" w:rsidP="00BB214A">
            <w:pPr>
              <w:jc w:val="center"/>
              <w:rPr>
                <w:rFonts w:ascii="Calibri" w:hAnsi="Calibri"/>
                <w:sz w:val="20"/>
                <w:szCs w:val="20"/>
              </w:rPr>
            </w:pPr>
            <w:r>
              <w:rPr>
                <w:rFonts w:ascii="Calibri" w:hAnsi="Calibri"/>
                <w:sz w:val="20"/>
                <w:szCs w:val="20"/>
              </w:rPr>
              <w:t>TBD</w:t>
            </w:r>
          </w:p>
        </w:tc>
        <w:tc>
          <w:tcPr>
            <w:tcW w:w="2340" w:type="dxa"/>
            <w:tcBorders>
              <w:top w:val="single" w:sz="4" w:space="0" w:color="auto"/>
              <w:bottom w:val="single" w:sz="4" w:space="0" w:color="auto"/>
              <w:right w:val="single" w:sz="4" w:space="0" w:color="auto"/>
            </w:tcBorders>
            <w:shd w:val="clear" w:color="auto" w:fill="FFFFFF"/>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N/A</w:t>
            </w:r>
          </w:p>
        </w:tc>
        <w:tc>
          <w:tcPr>
            <w:tcW w:w="2520" w:type="dxa"/>
            <w:tcBorders>
              <w:top w:val="single" w:sz="4" w:space="0" w:color="auto"/>
              <w:bottom w:val="single" w:sz="4" w:space="0" w:color="auto"/>
              <w:right w:val="double" w:sz="4" w:space="0" w:color="auto"/>
            </w:tcBorders>
            <w:shd w:val="clear" w:color="auto" w:fill="FFFFFF"/>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TBD</w:t>
            </w:r>
          </w:p>
        </w:tc>
      </w:tr>
      <w:tr w:rsidR="00520137" w:rsidRPr="007214FD" w:rsidTr="00BB214A">
        <w:trPr>
          <w:trHeight w:val="647"/>
        </w:trPr>
        <w:tc>
          <w:tcPr>
            <w:tcW w:w="1080" w:type="dxa"/>
            <w:tcBorders>
              <w:top w:val="single" w:sz="4" w:space="0" w:color="auto"/>
              <w:bottom w:val="single" w:sz="4" w:space="0" w:color="auto"/>
            </w:tcBorders>
            <w:shd w:val="clear" w:color="auto" w:fill="FFFFFF"/>
            <w:vAlign w:val="center"/>
          </w:tcPr>
          <w:p w:rsidR="00520137" w:rsidRPr="007214FD" w:rsidRDefault="00520137" w:rsidP="00BB214A">
            <w:pPr>
              <w:jc w:val="both"/>
              <w:rPr>
                <w:rFonts w:ascii="Calibri" w:hAnsi="Calibri"/>
                <w:b/>
                <w:sz w:val="18"/>
                <w:szCs w:val="18"/>
              </w:rPr>
            </w:pPr>
            <w:r w:rsidRPr="007214FD">
              <w:rPr>
                <w:rFonts w:ascii="Calibri" w:hAnsi="Calibri"/>
                <w:b/>
                <w:sz w:val="18"/>
                <w:szCs w:val="18"/>
              </w:rPr>
              <w:t>Efficiency</w:t>
            </w:r>
          </w:p>
        </w:tc>
        <w:tc>
          <w:tcPr>
            <w:tcW w:w="2880" w:type="dxa"/>
            <w:tcBorders>
              <w:top w:val="single" w:sz="4" w:space="0" w:color="auto"/>
              <w:bottom w:val="single" w:sz="4" w:space="0" w:color="auto"/>
            </w:tcBorders>
            <w:shd w:val="clear" w:color="auto" w:fill="FFFFFF"/>
            <w:vAlign w:val="center"/>
          </w:tcPr>
          <w:p w:rsidR="00520137" w:rsidRPr="007214FD" w:rsidRDefault="00520137" w:rsidP="00BB214A">
            <w:pPr>
              <w:numPr>
                <w:ilvl w:val="0"/>
                <w:numId w:val="7"/>
              </w:numPr>
              <w:rPr>
                <w:rFonts w:ascii="Calibri" w:hAnsi="Calibri"/>
                <w:sz w:val="18"/>
                <w:szCs w:val="18"/>
                <w:lang w:val="en-CA"/>
              </w:rPr>
            </w:pPr>
            <w:r w:rsidRPr="007214FD">
              <w:rPr>
                <w:rFonts w:ascii="Calibri" w:hAnsi="Calibri"/>
                <w:sz w:val="18"/>
                <w:szCs w:val="18"/>
                <w:lang w:val="en-CA"/>
              </w:rPr>
              <w:t>Percentage of cases in which</w:t>
            </w:r>
          </w:p>
          <w:p w:rsidR="00520137" w:rsidRPr="007214FD" w:rsidRDefault="00520137" w:rsidP="00BB214A">
            <w:pPr>
              <w:rPr>
                <w:rFonts w:ascii="Calibri" w:hAnsi="Calibri"/>
                <w:sz w:val="18"/>
                <w:szCs w:val="18"/>
                <w:lang w:val="en-CA"/>
              </w:rPr>
            </w:pPr>
            <w:r w:rsidRPr="007214FD">
              <w:rPr>
                <w:rFonts w:ascii="Calibri" w:hAnsi="Calibri"/>
                <w:sz w:val="18"/>
                <w:szCs w:val="18"/>
                <w:lang w:val="en-CA"/>
              </w:rPr>
              <w:t>settlements are completed  within the court-ordered 15 weeks</w:t>
            </w:r>
          </w:p>
        </w:tc>
        <w:tc>
          <w:tcPr>
            <w:tcW w:w="1980" w:type="dxa"/>
            <w:tcBorders>
              <w:top w:val="single" w:sz="4" w:space="0" w:color="auto"/>
              <w:bottom w:val="single" w:sz="4" w:space="0" w:color="auto"/>
            </w:tcBorders>
            <w:shd w:val="clear" w:color="auto" w:fill="FFFFFF"/>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92%</w:t>
            </w:r>
          </w:p>
        </w:tc>
        <w:tc>
          <w:tcPr>
            <w:tcW w:w="1800" w:type="dxa"/>
            <w:tcBorders>
              <w:top w:val="single" w:sz="4" w:space="0" w:color="auto"/>
              <w:bottom w:val="single" w:sz="4" w:space="0" w:color="auto"/>
            </w:tcBorders>
            <w:shd w:val="clear" w:color="auto" w:fill="D9D9D9" w:themeFill="background1" w:themeFillShade="D9"/>
            <w:vAlign w:val="center"/>
          </w:tcPr>
          <w:p w:rsidR="00520137" w:rsidRPr="007214FD" w:rsidRDefault="00520137" w:rsidP="00BB214A">
            <w:pPr>
              <w:jc w:val="center"/>
              <w:rPr>
                <w:rFonts w:ascii="Calibri" w:hAnsi="Calibri"/>
                <w:sz w:val="20"/>
                <w:szCs w:val="20"/>
              </w:rPr>
            </w:pPr>
            <w:r w:rsidRPr="00D26430">
              <w:rPr>
                <w:rFonts w:ascii="Calibri" w:hAnsi="Calibri"/>
                <w:sz w:val="20"/>
                <w:szCs w:val="20"/>
              </w:rPr>
              <w:t>100%</w:t>
            </w:r>
          </w:p>
        </w:tc>
        <w:tc>
          <w:tcPr>
            <w:tcW w:w="1980" w:type="dxa"/>
            <w:tcBorders>
              <w:top w:val="single" w:sz="4" w:space="0" w:color="auto"/>
              <w:bottom w:val="single" w:sz="4" w:space="0" w:color="auto"/>
              <w:right w:val="single" w:sz="4" w:space="0" w:color="auto"/>
            </w:tcBorders>
            <w:shd w:val="clear" w:color="auto" w:fill="FFFFFF"/>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92%</w:t>
            </w:r>
          </w:p>
        </w:tc>
        <w:tc>
          <w:tcPr>
            <w:tcW w:w="2340" w:type="dxa"/>
            <w:tcBorders>
              <w:top w:val="single" w:sz="4" w:space="0" w:color="auto"/>
              <w:bottom w:val="single" w:sz="4" w:space="0" w:color="auto"/>
              <w:right w:val="single" w:sz="4" w:space="0" w:color="auto"/>
            </w:tcBorders>
            <w:shd w:val="clear" w:color="auto" w:fill="FFFFFF"/>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N/A</w:t>
            </w:r>
          </w:p>
        </w:tc>
        <w:tc>
          <w:tcPr>
            <w:tcW w:w="2520" w:type="dxa"/>
            <w:tcBorders>
              <w:top w:val="single" w:sz="4" w:space="0" w:color="auto"/>
              <w:bottom w:val="single" w:sz="4" w:space="0" w:color="auto"/>
              <w:right w:val="double" w:sz="4" w:space="0" w:color="auto"/>
            </w:tcBorders>
            <w:shd w:val="clear" w:color="auto" w:fill="FFFFFF"/>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92%</w:t>
            </w:r>
          </w:p>
        </w:tc>
      </w:tr>
      <w:tr w:rsidR="00520137" w:rsidRPr="007214FD" w:rsidTr="00BB214A">
        <w:trPr>
          <w:trHeight w:val="530"/>
        </w:trPr>
        <w:tc>
          <w:tcPr>
            <w:tcW w:w="1080" w:type="dxa"/>
            <w:tcBorders>
              <w:top w:val="single" w:sz="4" w:space="0" w:color="auto"/>
              <w:bottom w:val="single" w:sz="4" w:space="0" w:color="auto"/>
            </w:tcBorders>
            <w:shd w:val="clear" w:color="auto" w:fill="FFFFFF"/>
            <w:vAlign w:val="center"/>
          </w:tcPr>
          <w:p w:rsidR="00520137" w:rsidRPr="007214FD" w:rsidRDefault="00520137" w:rsidP="00BB214A">
            <w:pPr>
              <w:jc w:val="both"/>
              <w:rPr>
                <w:rFonts w:ascii="Calibri" w:hAnsi="Calibri"/>
                <w:b/>
                <w:sz w:val="18"/>
                <w:szCs w:val="18"/>
              </w:rPr>
            </w:pPr>
          </w:p>
        </w:tc>
        <w:tc>
          <w:tcPr>
            <w:tcW w:w="13500" w:type="dxa"/>
            <w:gridSpan w:val="6"/>
            <w:tcBorders>
              <w:top w:val="single" w:sz="4" w:space="0" w:color="auto"/>
              <w:bottom w:val="single" w:sz="4" w:space="0" w:color="auto"/>
            </w:tcBorders>
            <w:shd w:val="clear" w:color="auto" w:fill="auto"/>
            <w:vAlign w:val="center"/>
          </w:tcPr>
          <w:p w:rsidR="00520137" w:rsidRPr="00632D42" w:rsidRDefault="00520137" w:rsidP="00BB214A">
            <w:pPr>
              <w:rPr>
                <w:rFonts w:ascii="Calibri" w:hAnsi="Calibri"/>
                <w:b/>
                <w:color w:val="632423"/>
                <w:sz w:val="20"/>
                <w:szCs w:val="20"/>
              </w:rPr>
            </w:pPr>
            <w:r w:rsidRPr="00632D42">
              <w:rPr>
                <w:rFonts w:ascii="Calibri" w:hAnsi="Calibri"/>
                <w:b/>
                <w:color w:val="632423"/>
                <w:sz w:val="20"/>
                <w:szCs w:val="20"/>
                <w:lang w:val="en-CA"/>
              </w:rPr>
              <w:t xml:space="preserve">Radiation Exposure Compensation Program </w:t>
            </w:r>
          </w:p>
        </w:tc>
      </w:tr>
      <w:tr w:rsidR="00520137" w:rsidRPr="007214FD" w:rsidTr="00BB214A">
        <w:trPr>
          <w:trHeight w:val="539"/>
        </w:trPr>
        <w:tc>
          <w:tcPr>
            <w:tcW w:w="1080" w:type="dxa"/>
            <w:vMerge w:val="restart"/>
            <w:tcBorders>
              <w:top w:val="single" w:sz="4" w:space="0" w:color="auto"/>
              <w:right w:val="single" w:sz="4" w:space="0" w:color="auto"/>
            </w:tcBorders>
            <w:shd w:val="clear" w:color="auto" w:fill="FFFFFF"/>
          </w:tcPr>
          <w:p w:rsidR="00520137" w:rsidRPr="007214FD" w:rsidRDefault="00520137" w:rsidP="00BB214A">
            <w:pPr>
              <w:jc w:val="both"/>
              <w:rPr>
                <w:rFonts w:ascii="Calibri" w:hAnsi="Calibri"/>
                <w:b/>
                <w:sz w:val="18"/>
                <w:szCs w:val="18"/>
              </w:rPr>
            </w:pPr>
            <w:r w:rsidRPr="007214FD">
              <w:rPr>
                <w:rFonts w:ascii="Calibri" w:hAnsi="Calibri"/>
                <w:b/>
                <w:sz w:val="18"/>
                <w:szCs w:val="18"/>
              </w:rPr>
              <w:t>Output</w:t>
            </w:r>
          </w:p>
          <w:p w:rsidR="00520137" w:rsidRPr="007214FD" w:rsidRDefault="00520137" w:rsidP="00BB214A">
            <w:pPr>
              <w:jc w:val="both"/>
              <w:rPr>
                <w:rFonts w:ascii="Calibri" w:hAnsi="Calibri"/>
                <w:b/>
                <w:sz w:val="18"/>
                <w:szCs w:val="18"/>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520137" w:rsidRPr="007214FD" w:rsidRDefault="00520137" w:rsidP="00BB214A">
            <w:pPr>
              <w:rPr>
                <w:rFonts w:ascii="Calibri" w:hAnsi="Calibri"/>
                <w:sz w:val="18"/>
                <w:szCs w:val="18"/>
              </w:rPr>
            </w:pPr>
            <w:r w:rsidRPr="007214FD">
              <w:rPr>
                <w:rFonts w:ascii="Calibri" w:hAnsi="Calibri"/>
                <w:sz w:val="18"/>
                <w:szCs w:val="18"/>
              </w:rPr>
              <w:t xml:space="preserve"> 13.   Reduce backlog of pending </w:t>
            </w:r>
          </w:p>
          <w:p w:rsidR="00520137" w:rsidRPr="007214FD" w:rsidRDefault="00520137" w:rsidP="00BB214A">
            <w:pPr>
              <w:rPr>
                <w:rFonts w:ascii="Calibri" w:hAnsi="Calibri"/>
                <w:sz w:val="18"/>
                <w:szCs w:val="18"/>
              </w:rPr>
            </w:pPr>
            <w:r w:rsidRPr="007214FD">
              <w:rPr>
                <w:rFonts w:ascii="Calibri" w:hAnsi="Calibri"/>
                <w:sz w:val="18"/>
                <w:szCs w:val="18"/>
              </w:rPr>
              <w:t xml:space="preserve">  claims by 60% by FY 2011</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 xml:space="preserve">404 </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0137" w:rsidRPr="007214FD" w:rsidRDefault="00520137" w:rsidP="00BB214A">
            <w:pPr>
              <w:jc w:val="center"/>
              <w:rPr>
                <w:rFonts w:ascii="Calibri" w:hAnsi="Calibri"/>
                <w:sz w:val="20"/>
                <w:szCs w:val="20"/>
              </w:rPr>
            </w:pPr>
            <w:r>
              <w:rPr>
                <w:rFonts w:ascii="Calibri" w:hAnsi="Calibri"/>
                <w:sz w:val="20"/>
                <w:szCs w:val="20"/>
              </w:rPr>
              <w:t>459</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520137" w:rsidRPr="007214FD" w:rsidRDefault="00520137" w:rsidP="00BB214A">
            <w:pPr>
              <w:jc w:val="center"/>
              <w:rPr>
                <w:rFonts w:ascii="Calibri" w:hAnsi="Calibri"/>
                <w:sz w:val="20"/>
                <w:szCs w:val="20"/>
              </w:rPr>
            </w:pPr>
            <w:r>
              <w:rPr>
                <w:rFonts w:ascii="Calibri" w:hAnsi="Calibri"/>
                <w:sz w:val="20"/>
                <w:szCs w:val="20"/>
              </w:rPr>
              <w:t>350</w:t>
            </w:r>
          </w:p>
        </w:tc>
        <w:tc>
          <w:tcPr>
            <w:tcW w:w="2340" w:type="dxa"/>
            <w:tcBorders>
              <w:top w:val="single" w:sz="4" w:space="0" w:color="auto"/>
              <w:bottom w:val="single" w:sz="4" w:space="0" w:color="auto"/>
              <w:right w:val="single" w:sz="4" w:space="0" w:color="auto"/>
            </w:tcBorders>
            <w:shd w:val="clear" w:color="auto" w:fill="FFFFFF"/>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N/A</w:t>
            </w:r>
          </w:p>
        </w:tc>
        <w:tc>
          <w:tcPr>
            <w:tcW w:w="2520" w:type="dxa"/>
            <w:tcBorders>
              <w:top w:val="single" w:sz="4" w:space="0" w:color="auto"/>
              <w:bottom w:val="single" w:sz="4" w:space="0" w:color="auto"/>
              <w:right w:val="double" w:sz="4" w:space="0" w:color="auto"/>
            </w:tcBorders>
            <w:shd w:val="clear" w:color="auto" w:fill="FFFFFF"/>
            <w:vAlign w:val="center"/>
          </w:tcPr>
          <w:p w:rsidR="00520137" w:rsidRPr="007214FD" w:rsidRDefault="00520137" w:rsidP="00BB214A">
            <w:pPr>
              <w:jc w:val="center"/>
              <w:rPr>
                <w:rFonts w:ascii="Calibri" w:hAnsi="Calibri"/>
                <w:sz w:val="20"/>
                <w:szCs w:val="20"/>
              </w:rPr>
            </w:pPr>
            <w:r>
              <w:rPr>
                <w:rFonts w:ascii="Calibri" w:hAnsi="Calibri"/>
                <w:sz w:val="20"/>
                <w:szCs w:val="20"/>
              </w:rPr>
              <w:t>N/A</w:t>
            </w:r>
          </w:p>
        </w:tc>
      </w:tr>
      <w:tr w:rsidR="00520137" w:rsidRPr="007214FD" w:rsidTr="00BB214A">
        <w:trPr>
          <w:trHeight w:val="431"/>
        </w:trPr>
        <w:tc>
          <w:tcPr>
            <w:tcW w:w="1080" w:type="dxa"/>
            <w:vMerge/>
            <w:tcBorders>
              <w:right w:val="single" w:sz="4" w:space="0" w:color="auto"/>
            </w:tcBorders>
            <w:shd w:val="clear" w:color="auto" w:fill="FFFFFF"/>
            <w:vAlign w:val="center"/>
          </w:tcPr>
          <w:p w:rsidR="00520137" w:rsidRPr="007214FD" w:rsidRDefault="00520137" w:rsidP="00BB214A">
            <w:pPr>
              <w:jc w:val="both"/>
              <w:rPr>
                <w:rFonts w:ascii="Calibri" w:hAnsi="Calibri"/>
                <w:b/>
                <w:sz w:val="18"/>
                <w:szCs w:val="18"/>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520137" w:rsidRPr="007214FD" w:rsidRDefault="00520137" w:rsidP="00BB214A">
            <w:pPr>
              <w:numPr>
                <w:ilvl w:val="0"/>
                <w:numId w:val="5"/>
              </w:numPr>
              <w:rPr>
                <w:rFonts w:ascii="Calibri" w:hAnsi="Calibri"/>
                <w:sz w:val="18"/>
                <w:szCs w:val="18"/>
                <w:lang w:val="en-CA"/>
              </w:rPr>
            </w:pPr>
            <w:r w:rsidRPr="007214FD">
              <w:rPr>
                <w:rFonts w:ascii="Calibri" w:hAnsi="Calibri"/>
                <w:sz w:val="18"/>
                <w:szCs w:val="18"/>
                <w:lang w:val="en-CA"/>
              </w:rPr>
              <w:t xml:space="preserve">Reduce average claim      </w:t>
            </w:r>
          </w:p>
          <w:p w:rsidR="00520137" w:rsidRPr="007214FD" w:rsidRDefault="00520137" w:rsidP="00BB214A">
            <w:pPr>
              <w:rPr>
                <w:rFonts w:ascii="Calibri" w:hAnsi="Calibri"/>
                <w:sz w:val="18"/>
                <w:szCs w:val="18"/>
              </w:rPr>
            </w:pPr>
            <w:r w:rsidRPr="007214FD">
              <w:rPr>
                <w:rFonts w:ascii="Calibri" w:hAnsi="Calibri"/>
                <w:sz w:val="18"/>
                <w:szCs w:val="18"/>
                <w:lang w:val="en-CA"/>
              </w:rPr>
              <w:t xml:space="preserve">  processing time to 200 days </w:t>
            </w:r>
            <w:r w:rsidRPr="007214FD">
              <w:rPr>
                <w:rFonts w:ascii="Calibri" w:hAnsi="Calibri"/>
                <w:sz w:val="18"/>
                <w:szCs w:val="18"/>
              </w:rPr>
              <w:t xml:space="preserve">by FY   </w:t>
            </w:r>
          </w:p>
          <w:p w:rsidR="00520137" w:rsidRPr="007214FD" w:rsidRDefault="00520137" w:rsidP="00BB214A">
            <w:pPr>
              <w:rPr>
                <w:rFonts w:ascii="Calibri" w:hAnsi="Calibri"/>
                <w:sz w:val="18"/>
                <w:szCs w:val="18"/>
                <w:lang w:val="en-CA"/>
              </w:rPr>
            </w:pPr>
            <w:r w:rsidRPr="007214FD">
              <w:rPr>
                <w:rFonts w:ascii="Calibri" w:hAnsi="Calibri"/>
                <w:sz w:val="18"/>
                <w:szCs w:val="18"/>
              </w:rPr>
              <w:t xml:space="preserve">  2011</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219</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0137" w:rsidRPr="007214FD" w:rsidRDefault="00520137" w:rsidP="00BB214A">
            <w:pPr>
              <w:jc w:val="center"/>
              <w:rPr>
                <w:rFonts w:ascii="Calibri" w:hAnsi="Calibri"/>
                <w:sz w:val="20"/>
                <w:szCs w:val="20"/>
              </w:rPr>
            </w:pPr>
            <w:r>
              <w:rPr>
                <w:rFonts w:ascii="Calibri" w:hAnsi="Calibri"/>
                <w:sz w:val="20"/>
                <w:szCs w:val="20"/>
              </w:rPr>
              <w:t>100</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520137" w:rsidRPr="007214FD" w:rsidRDefault="00520137" w:rsidP="00BB214A">
            <w:pPr>
              <w:jc w:val="center"/>
              <w:rPr>
                <w:rFonts w:ascii="Calibri" w:hAnsi="Calibri"/>
                <w:sz w:val="20"/>
                <w:szCs w:val="20"/>
              </w:rPr>
            </w:pPr>
            <w:r>
              <w:rPr>
                <w:rFonts w:ascii="Calibri" w:hAnsi="Calibri"/>
                <w:sz w:val="20"/>
                <w:szCs w:val="20"/>
              </w:rPr>
              <w:t>200</w:t>
            </w:r>
          </w:p>
        </w:tc>
        <w:tc>
          <w:tcPr>
            <w:tcW w:w="2340" w:type="dxa"/>
            <w:tcBorders>
              <w:top w:val="single" w:sz="4" w:space="0" w:color="auto"/>
              <w:bottom w:val="single" w:sz="4" w:space="0" w:color="auto"/>
              <w:right w:val="single" w:sz="4" w:space="0" w:color="auto"/>
            </w:tcBorders>
            <w:shd w:val="clear" w:color="auto" w:fill="FFFFFF"/>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N/A</w:t>
            </w:r>
          </w:p>
        </w:tc>
        <w:tc>
          <w:tcPr>
            <w:tcW w:w="2520" w:type="dxa"/>
            <w:tcBorders>
              <w:top w:val="single" w:sz="4" w:space="0" w:color="auto"/>
              <w:bottom w:val="single" w:sz="4" w:space="0" w:color="auto"/>
              <w:right w:val="double" w:sz="4" w:space="0" w:color="auto"/>
            </w:tcBorders>
            <w:shd w:val="clear" w:color="auto" w:fill="FFFFFF"/>
            <w:vAlign w:val="center"/>
          </w:tcPr>
          <w:p w:rsidR="00520137" w:rsidRPr="007214FD" w:rsidRDefault="00520137" w:rsidP="00BB214A">
            <w:pPr>
              <w:jc w:val="center"/>
              <w:rPr>
                <w:rFonts w:ascii="Calibri" w:hAnsi="Calibri"/>
                <w:sz w:val="20"/>
                <w:szCs w:val="20"/>
              </w:rPr>
            </w:pPr>
            <w:r>
              <w:rPr>
                <w:rFonts w:ascii="Calibri" w:hAnsi="Calibri"/>
                <w:sz w:val="20"/>
                <w:szCs w:val="20"/>
              </w:rPr>
              <w:t>N/A</w:t>
            </w:r>
          </w:p>
        </w:tc>
      </w:tr>
      <w:tr w:rsidR="00520137" w:rsidRPr="007214FD" w:rsidTr="00BB214A">
        <w:trPr>
          <w:trHeight w:val="710"/>
        </w:trPr>
        <w:tc>
          <w:tcPr>
            <w:tcW w:w="1080" w:type="dxa"/>
            <w:vMerge/>
            <w:tcBorders>
              <w:right w:val="single" w:sz="4" w:space="0" w:color="auto"/>
            </w:tcBorders>
            <w:shd w:val="clear" w:color="auto" w:fill="FFFFFF"/>
            <w:vAlign w:val="center"/>
          </w:tcPr>
          <w:p w:rsidR="00520137" w:rsidRPr="007214FD" w:rsidRDefault="00520137" w:rsidP="00BB214A">
            <w:pPr>
              <w:jc w:val="both"/>
              <w:rPr>
                <w:rFonts w:ascii="Calibri" w:hAnsi="Calibri"/>
                <w:b/>
                <w:sz w:val="18"/>
                <w:szCs w:val="18"/>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520137" w:rsidRPr="007214FD" w:rsidRDefault="00520137" w:rsidP="00BB214A">
            <w:pPr>
              <w:numPr>
                <w:ilvl w:val="0"/>
                <w:numId w:val="5"/>
              </w:numPr>
              <w:rPr>
                <w:rFonts w:ascii="Calibri" w:hAnsi="Calibri"/>
                <w:sz w:val="18"/>
                <w:szCs w:val="18"/>
              </w:rPr>
            </w:pPr>
            <w:r w:rsidRPr="007214FD">
              <w:rPr>
                <w:rFonts w:ascii="Calibri" w:hAnsi="Calibri"/>
                <w:sz w:val="18"/>
                <w:szCs w:val="18"/>
              </w:rPr>
              <w:t xml:space="preserve">Percentage of claims paid </w:t>
            </w:r>
          </w:p>
          <w:p w:rsidR="00520137" w:rsidRPr="007214FD" w:rsidRDefault="00520137" w:rsidP="00BB214A">
            <w:pPr>
              <w:rPr>
                <w:rFonts w:ascii="Calibri" w:hAnsi="Calibri"/>
                <w:sz w:val="18"/>
                <w:szCs w:val="18"/>
              </w:rPr>
            </w:pPr>
            <w:r w:rsidRPr="007214FD">
              <w:rPr>
                <w:rFonts w:ascii="Calibri" w:hAnsi="Calibri"/>
                <w:sz w:val="18"/>
                <w:szCs w:val="18"/>
              </w:rPr>
              <w:t xml:space="preserve">  within six weeks of Program   </w:t>
            </w:r>
          </w:p>
          <w:p w:rsidR="00520137" w:rsidRPr="007214FD" w:rsidRDefault="00520137" w:rsidP="00BB214A">
            <w:pPr>
              <w:rPr>
                <w:rFonts w:ascii="Calibri" w:hAnsi="Calibri"/>
                <w:sz w:val="18"/>
                <w:szCs w:val="18"/>
              </w:rPr>
            </w:pPr>
            <w:r w:rsidRPr="007214FD">
              <w:rPr>
                <w:rFonts w:ascii="Calibri" w:hAnsi="Calibri"/>
                <w:sz w:val="18"/>
                <w:szCs w:val="18"/>
              </w:rPr>
              <w:t xml:space="preserve">  receipt of acceptance form</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90%</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0137" w:rsidRPr="007214FD" w:rsidRDefault="00520137" w:rsidP="00BB214A">
            <w:pPr>
              <w:jc w:val="center"/>
              <w:rPr>
                <w:rFonts w:ascii="Calibri" w:hAnsi="Calibri"/>
                <w:sz w:val="20"/>
                <w:szCs w:val="20"/>
              </w:rPr>
            </w:pPr>
            <w:r w:rsidRPr="00485F93">
              <w:rPr>
                <w:rFonts w:ascii="Calibri" w:hAnsi="Calibri"/>
                <w:sz w:val="20"/>
                <w:szCs w:val="20"/>
              </w:rPr>
              <w:t>90%</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520137" w:rsidRPr="007214FD" w:rsidRDefault="00520137" w:rsidP="00BB214A">
            <w:pPr>
              <w:jc w:val="center"/>
              <w:rPr>
                <w:rFonts w:ascii="Calibri" w:hAnsi="Calibri"/>
                <w:sz w:val="20"/>
                <w:szCs w:val="20"/>
              </w:rPr>
            </w:pPr>
            <w:r>
              <w:rPr>
                <w:rFonts w:ascii="Calibri" w:hAnsi="Calibri"/>
                <w:sz w:val="20"/>
                <w:szCs w:val="20"/>
              </w:rPr>
              <w:t>TBD</w:t>
            </w:r>
          </w:p>
        </w:tc>
        <w:tc>
          <w:tcPr>
            <w:tcW w:w="2340" w:type="dxa"/>
            <w:tcBorders>
              <w:top w:val="single" w:sz="4" w:space="0" w:color="auto"/>
              <w:bottom w:val="single" w:sz="4" w:space="0" w:color="auto"/>
              <w:right w:val="single" w:sz="4" w:space="0" w:color="auto"/>
            </w:tcBorders>
            <w:shd w:val="clear" w:color="auto" w:fill="FFFFFF"/>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N/A</w:t>
            </w:r>
          </w:p>
        </w:tc>
        <w:tc>
          <w:tcPr>
            <w:tcW w:w="2520" w:type="dxa"/>
            <w:tcBorders>
              <w:top w:val="single" w:sz="4" w:space="0" w:color="auto"/>
              <w:bottom w:val="single" w:sz="4" w:space="0" w:color="auto"/>
              <w:right w:val="double" w:sz="4" w:space="0" w:color="auto"/>
            </w:tcBorders>
            <w:shd w:val="clear" w:color="auto" w:fill="FFFFFF"/>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TBD</w:t>
            </w:r>
          </w:p>
        </w:tc>
      </w:tr>
      <w:tr w:rsidR="00520137" w:rsidRPr="007214FD" w:rsidTr="00BB214A">
        <w:trPr>
          <w:trHeight w:val="665"/>
        </w:trPr>
        <w:tc>
          <w:tcPr>
            <w:tcW w:w="1080" w:type="dxa"/>
            <w:vMerge/>
            <w:tcBorders>
              <w:right w:val="single" w:sz="4" w:space="0" w:color="auto"/>
            </w:tcBorders>
            <w:shd w:val="clear" w:color="auto" w:fill="FFFFFF"/>
            <w:vAlign w:val="center"/>
          </w:tcPr>
          <w:p w:rsidR="00520137" w:rsidRPr="007214FD" w:rsidRDefault="00520137" w:rsidP="00BB214A">
            <w:pPr>
              <w:jc w:val="both"/>
              <w:rPr>
                <w:rFonts w:ascii="Calibri" w:hAnsi="Calibri"/>
                <w:b/>
                <w:sz w:val="18"/>
                <w:szCs w:val="18"/>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520137" w:rsidRPr="007214FD" w:rsidRDefault="00520137" w:rsidP="00BB214A">
            <w:pPr>
              <w:rPr>
                <w:rFonts w:ascii="Calibri" w:hAnsi="Calibri"/>
                <w:sz w:val="18"/>
                <w:szCs w:val="18"/>
              </w:rPr>
            </w:pPr>
            <w:r w:rsidRPr="007214FD">
              <w:rPr>
                <w:rFonts w:ascii="Calibri" w:hAnsi="Calibri"/>
                <w:sz w:val="18"/>
                <w:szCs w:val="18"/>
              </w:rPr>
              <w:t xml:space="preserve"> 16.  Percentage of claims appeals</w:t>
            </w:r>
          </w:p>
          <w:p w:rsidR="00520137" w:rsidRPr="007214FD" w:rsidRDefault="00520137" w:rsidP="00BB214A">
            <w:pPr>
              <w:rPr>
                <w:rFonts w:ascii="Calibri" w:hAnsi="Calibri"/>
                <w:sz w:val="18"/>
                <w:szCs w:val="18"/>
              </w:rPr>
            </w:pPr>
            <w:r w:rsidRPr="007214FD">
              <w:rPr>
                <w:rFonts w:ascii="Calibri" w:hAnsi="Calibri"/>
                <w:sz w:val="18"/>
                <w:szCs w:val="18"/>
              </w:rPr>
              <w:t xml:space="preserve">  adjudicated within 90 days of </w:t>
            </w:r>
          </w:p>
          <w:p w:rsidR="00520137" w:rsidRPr="007214FD" w:rsidRDefault="00520137" w:rsidP="00BB214A">
            <w:pPr>
              <w:rPr>
                <w:rFonts w:ascii="Calibri" w:hAnsi="Calibri"/>
                <w:sz w:val="18"/>
                <w:szCs w:val="18"/>
              </w:rPr>
            </w:pPr>
            <w:r w:rsidRPr="007214FD">
              <w:rPr>
                <w:rFonts w:ascii="Calibri" w:hAnsi="Calibri"/>
                <w:sz w:val="18"/>
                <w:szCs w:val="18"/>
              </w:rPr>
              <w:t xml:space="preserve">  filing administrative appeal</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95%</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0137" w:rsidRPr="007214FD" w:rsidRDefault="00520137" w:rsidP="00BB214A">
            <w:pPr>
              <w:jc w:val="center"/>
              <w:rPr>
                <w:rFonts w:ascii="Calibri" w:hAnsi="Calibri"/>
                <w:sz w:val="20"/>
                <w:szCs w:val="20"/>
              </w:rPr>
            </w:pPr>
            <w:r w:rsidRPr="00485F93">
              <w:rPr>
                <w:rFonts w:ascii="Calibri" w:hAnsi="Calibri"/>
                <w:sz w:val="20"/>
                <w:szCs w:val="20"/>
              </w:rPr>
              <w:t>100%</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520137" w:rsidRPr="007214FD" w:rsidRDefault="00520137" w:rsidP="00BB214A">
            <w:pPr>
              <w:jc w:val="center"/>
              <w:rPr>
                <w:rFonts w:ascii="Calibri" w:hAnsi="Calibri"/>
                <w:sz w:val="20"/>
                <w:szCs w:val="20"/>
              </w:rPr>
            </w:pPr>
            <w:r>
              <w:rPr>
                <w:rFonts w:ascii="Calibri" w:hAnsi="Calibri"/>
                <w:sz w:val="20"/>
                <w:szCs w:val="20"/>
              </w:rPr>
              <w:t>TBD</w:t>
            </w:r>
          </w:p>
        </w:tc>
        <w:tc>
          <w:tcPr>
            <w:tcW w:w="2340" w:type="dxa"/>
            <w:tcBorders>
              <w:top w:val="single" w:sz="4" w:space="0" w:color="auto"/>
              <w:bottom w:val="single" w:sz="4" w:space="0" w:color="auto"/>
              <w:right w:val="single" w:sz="4" w:space="0" w:color="auto"/>
            </w:tcBorders>
            <w:shd w:val="clear" w:color="auto" w:fill="FFFFFF"/>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N/A</w:t>
            </w:r>
          </w:p>
        </w:tc>
        <w:tc>
          <w:tcPr>
            <w:tcW w:w="2520" w:type="dxa"/>
            <w:tcBorders>
              <w:top w:val="single" w:sz="4" w:space="0" w:color="auto"/>
              <w:bottom w:val="single" w:sz="4" w:space="0" w:color="auto"/>
              <w:right w:val="double" w:sz="4" w:space="0" w:color="auto"/>
            </w:tcBorders>
            <w:shd w:val="clear" w:color="auto" w:fill="FFFFFF"/>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TBD</w:t>
            </w:r>
          </w:p>
        </w:tc>
      </w:tr>
      <w:tr w:rsidR="00520137" w:rsidRPr="007214FD" w:rsidTr="00BB214A">
        <w:trPr>
          <w:trHeight w:val="710"/>
        </w:trPr>
        <w:tc>
          <w:tcPr>
            <w:tcW w:w="1080" w:type="dxa"/>
            <w:tcBorders>
              <w:bottom w:val="double" w:sz="4" w:space="0" w:color="auto"/>
              <w:right w:val="single" w:sz="4" w:space="0" w:color="auto"/>
            </w:tcBorders>
            <w:shd w:val="clear" w:color="auto" w:fill="FFFFFF"/>
            <w:vAlign w:val="center"/>
          </w:tcPr>
          <w:p w:rsidR="00520137" w:rsidRPr="007214FD" w:rsidRDefault="00520137" w:rsidP="00BB214A">
            <w:pPr>
              <w:jc w:val="both"/>
              <w:rPr>
                <w:rFonts w:ascii="Calibri" w:hAnsi="Calibri"/>
                <w:b/>
                <w:sz w:val="18"/>
                <w:szCs w:val="18"/>
              </w:rPr>
            </w:pPr>
            <w:r w:rsidRPr="007214FD">
              <w:rPr>
                <w:rFonts w:ascii="Calibri" w:hAnsi="Calibri"/>
                <w:b/>
                <w:sz w:val="18"/>
                <w:szCs w:val="18"/>
              </w:rPr>
              <w:t>Efficiency</w:t>
            </w:r>
          </w:p>
        </w:tc>
        <w:tc>
          <w:tcPr>
            <w:tcW w:w="2880" w:type="dxa"/>
            <w:tcBorders>
              <w:top w:val="single" w:sz="4" w:space="0" w:color="auto"/>
              <w:left w:val="single" w:sz="4" w:space="0" w:color="auto"/>
              <w:bottom w:val="double" w:sz="4" w:space="0" w:color="auto"/>
              <w:right w:val="single" w:sz="4" w:space="0" w:color="auto"/>
            </w:tcBorders>
            <w:shd w:val="clear" w:color="auto" w:fill="FFFFFF"/>
            <w:vAlign w:val="center"/>
          </w:tcPr>
          <w:p w:rsidR="00520137" w:rsidRPr="007214FD" w:rsidRDefault="00520137" w:rsidP="00BB214A">
            <w:pPr>
              <w:rPr>
                <w:rFonts w:ascii="Calibri" w:hAnsi="Calibri"/>
                <w:sz w:val="18"/>
                <w:szCs w:val="18"/>
              </w:rPr>
            </w:pPr>
            <w:r w:rsidRPr="007214FD">
              <w:rPr>
                <w:rFonts w:ascii="Calibri" w:hAnsi="Calibri"/>
                <w:sz w:val="18"/>
                <w:szCs w:val="18"/>
              </w:rPr>
              <w:t xml:space="preserve"> 17.  Percentage of claims </w:t>
            </w:r>
          </w:p>
          <w:p w:rsidR="00520137" w:rsidRPr="007214FD" w:rsidRDefault="00520137" w:rsidP="00BB214A">
            <w:pPr>
              <w:rPr>
                <w:rFonts w:ascii="Calibri" w:hAnsi="Calibri"/>
                <w:sz w:val="18"/>
                <w:szCs w:val="18"/>
              </w:rPr>
            </w:pPr>
            <w:r w:rsidRPr="007214FD">
              <w:rPr>
                <w:rFonts w:ascii="Calibri" w:hAnsi="Calibri"/>
                <w:sz w:val="18"/>
                <w:szCs w:val="18"/>
              </w:rPr>
              <w:t xml:space="preserve">  adjudicated within 12 months     </w:t>
            </w:r>
          </w:p>
          <w:p w:rsidR="00520137" w:rsidRPr="007214FD" w:rsidRDefault="00520137" w:rsidP="00BB214A">
            <w:pPr>
              <w:rPr>
                <w:rFonts w:ascii="Calibri" w:hAnsi="Calibri"/>
                <w:sz w:val="18"/>
                <w:szCs w:val="18"/>
                <w:lang w:val="en-CA"/>
              </w:rPr>
            </w:pPr>
            <w:r w:rsidRPr="007214FD">
              <w:rPr>
                <w:rFonts w:ascii="Calibri" w:hAnsi="Calibri"/>
                <w:sz w:val="18"/>
                <w:szCs w:val="18"/>
              </w:rPr>
              <w:t xml:space="preserve">  or less (RECA)</w:t>
            </w:r>
          </w:p>
        </w:tc>
        <w:tc>
          <w:tcPr>
            <w:tcW w:w="1980" w:type="dxa"/>
            <w:tcBorders>
              <w:top w:val="single" w:sz="4" w:space="0" w:color="auto"/>
              <w:left w:val="single" w:sz="4" w:space="0" w:color="auto"/>
              <w:bottom w:val="double" w:sz="4" w:space="0" w:color="auto"/>
              <w:right w:val="single" w:sz="4" w:space="0" w:color="auto"/>
            </w:tcBorders>
            <w:shd w:val="clear" w:color="auto" w:fill="FFFFFF"/>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80%</w:t>
            </w:r>
          </w:p>
        </w:tc>
        <w:tc>
          <w:tcPr>
            <w:tcW w:w="180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520137" w:rsidRPr="007214FD" w:rsidRDefault="00520137" w:rsidP="00BB214A">
            <w:pPr>
              <w:jc w:val="center"/>
              <w:rPr>
                <w:rFonts w:ascii="Calibri" w:hAnsi="Calibri"/>
                <w:sz w:val="20"/>
                <w:szCs w:val="20"/>
              </w:rPr>
            </w:pPr>
            <w:r w:rsidRPr="00A117EA">
              <w:rPr>
                <w:rFonts w:ascii="Calibri" w:hAnsi="Calibri"/>
                <w:sz w:val="20"/>
                <w:szCs w:val="20"/>
              </w:rPr>
              <w:t>96%</w:t>
            </w:r>
          </w:p>
        </w:tc>
        <w:tc>
          <w:tcPr>
            <w:tcW w:w="1980" w:type="dxa"/>
            <w:tcBorders>
              <w:top w:val="single" w:sz="4" w:space="0" w:color="auto"/>
              <w:left w:val="single" w:sz="4" w:space="0" w:color="auto"/>
              <w:bottom w:val="double" w:sz="4" w:space="0" w:color="auto"/>
              <w:right w:val="single" w:sz="4" w:space="0" w:color="auto"/>
            </w:tcBorders>
            <w:shd w:val="clear" w:color="auto" w:fill="FFFFFF"/>
            <w:vAlign w:val="center"/>
          </w:tcPr>
          <w:p w:rsidR="00520137" w:rsidRPr="007214FD" w:rsidRDefault="00520137" w:rsidP="00BB214A">
            <w:pPr>
              <w:jc w:val="center"/>
              <w:rPr>
                <w:rFonts w:ascii="Calibri" w:hAnsi="Calibri"/>
                <w:sz w:val="20"/>
                <w:szCs w:val="20"/>
              </w:rPr>
            </w:pPr>
            <w:r>
              <w:rPr>
                <w:rFonts w:ascii="Calibri" w:hAnsi="Calibri"/>
                <w:sz w:val="20"/>
                <w:szCs w:val="20"/>
              </w:rPr>
              <w:t>TBD</w:t>
            </w:r>
          </w:p>
        </w:tc>
        <w:tc>
          <w:tcPr>
            <w:tcW w:w="2340" w:type="dxa"/>
            <w:tcBorders>
              <w:top w:val="single" w:sz="4" w:space="0" w:color="auto"/>
              <w:left w:val="single" w:sz="4" w:space="0" w:color="auto"/>
              <w:bottom w:val="double" w:sz="4" w:space="0" w:color="auto"/>
              <w:right w:val="single" w:sz="4" w:space="0" w:color="auto"/>
            </w:tcBorders>
            <w:shd w:val="clear" w:color="auto" w:fill="FFFFFF"/>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N/A</w:t>
            </w:r>
          </w:p>
        </w:tc>
        <w:tc>
          <w:tcPr>
            <w:tcW w:w="2520" w:type="dxa"/>
            <w:tcBorders>
              <w:top w:val="single" w:sz="4" w:space="0" w:color="auto"/>
              <w:left w:val="single" w:sz="4" w:space="0" w:color="auto"/>
              <w:bottom w:val="double" w:sz="4" w:space="0" w:color="auto"/>
              <w:right w:val="double" w:sz="4" w:space="0" w:color="auto"/>
            </w:tcBorders>
            <w:shd w:val="clear" w:color="auto" w:fill="FFFFFF"/>
            <w:vAlign w:val="center"/>
          </w:tcPr>
          <w:p w:rsidR="00520137" w:rsidRPr="007214FD" w:rsidRDefault="00520137" w:rsidP="00BB214A">
            <w:pPr>
              <w:jc w:val="center"/>
              <w:rPr>
                <w:rFonts w:ascii="Calibri" w:hAnsi="Calibri"/>
                <w:sz w:val="20"/>
                <w:szCs w:val="20"/>
                <w:highlight w:val="yellow"/>
              </w:rPr>
            </w:pPr>
            <w:r w:rsidRPr="007214FD">
              <w:rPr>
                <w:rFonts w:ascii="Calibri" w:hAnsi="Calibri"/>
                <w:sz w:val="20"/>
                <w:szCs w:val="20"/>
              </w:rPr>
              <w:t>TBD</w:t>
            </w:r>
          </w:p>
        </w:tc>
      </w:tr>
    </w:tbl>
    <w:p w:rsidR="00520137" w:rsidRPr="007214FD" w:rsidRDefault="00520137" w:rsidP="00520137">
      <w:pPr>
        <w:rPr>
          <w:rFonts w:ascii="Calibri" w:hAnsi="Calibri"/>
          <w:sz w:val="8"/>
          <w:szCs w:val="8"/>
        </w:rPr>
      </w:pPr>
    </w:p>
    <w:p w:rsidR="00520137" w:rsidRPr="007214FD" w:rsidRDefault="00520137" w:rsidP="00520137">
      <w:pPr>
        <w:rPr>
          <w:rFonts w:ascii="Calibri" w:hAnsi="Calibri"/>
          <w:sz w:val="8"/>
          <w:szCs w:val="8"/>
        </w:rPr>
      </w:pPr>
    </w:p>
    <w:p w:rsidR="00520137" w:rsidRPr="007214FD" w:rsidRDefault="00520137" w:rsidP="00520137">
      <w:pPr>
        <w:rPr>
          <w:rFonts w:ascii="Calibri" w:hAnsi="Calibri"/>
          <w:sz w:val="8"/>
          <w:szCs w:val="8"/>
        </w:rPr>
      </w:pPr>
    </w:p>
    <w:p w:rsidR="00520137" w:rsidRPr="007214FD" w:rsidRDefault="00520137" w:rsidP="00520137">
      <w:pPr>
        <w:rPr>
          <w:rFonts w:ascii="Calibri" w:hAnsi="Calibri"/>
          <w:sz w:val="8"/>
          <w:szCs w:val="8"/>
        </w:rPr>
      </w:pPr>
    </w:p>
    <w:p w:rsidR="00520137" w:rsidRDefault="00520137" w:rsidP="00520137"/>
    <w:p w:rsidR="00520137" w:rsidRDefault="00520137" w:rsidP="00520137"/>
    <w:tbl>
      <w:tblPr>
        <w:tblpPr w:leftFromText="180" w:rightFromText="180" w:vertAnchor="page" w:horzAnchor="margin" w:tblpXSpec="center" w:tblpY="961"/>
        <w:tblW w:w="143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4328"/>
      </w:tblGrid>
      <w:tr w:rsidR="00B87EAF" w:rsidRPr="007214FD" w:rsidTr="00B87EAF">
        <w:trPr>
          <w:trHeight w:val="339"/>
        </w:trPr>
        <w:tc>
          <w:tcPr>
            <w:tcW w:w="14328" w:type="dxa"/>
            <w:tcBorders>
              <w:top w:val="double" w:sz="4" w:space="0" w:color="auto"/>
            </w:tcBorders>
            <w:vAlign w:val="center"/>
          </w:tcPr>
          <w:p w:rsidR="00B87EAF" w:rsidRPr="007214FD" w:rsidRDefault="00B408CF" w:rsidP="00B87EAF">
            <w:pPr>
              <w:jc w:val="both"/>
              <w:rPr>
                <w:rFonts w:ascii="Calibri" w:hAnsi="Calibri"/>
                <w:sz w:val="20"/>
                <w:szCs w:val="20"/>
              </w:rPr>
            </w:pPr>
            <w:r w:rsidRPr="007214FD">
              <w:rPr>
                <w:rFonts w:ascii="Calibri" w:hAnsi="Calibri"/>
                <w:sz w:val="20"/>
                <w:szCs w:val="20"/>
                <w:lang w:val="en-CA"/>
              </w:rPr>
              <w:fldChar w:fldCharType="begin"/>
            </w:r>
            <w:r w:rsidR="00B87EAF" w:rsidRPr="007214FD">
              <w:rPr>
                <w:rFonts w:ascii="Calibri" w:hAnsi="Calibri"/>
                <w:sz w:val="20"/>
                <w:szCs w:val="20"/>
                <w:lang w:val="en-CA"/>
              </w:rPr>
              <w:instrText xml:space="preserve"> SEQ CHAPTER \h \r 1</w:instrText>
            </w:r>
            <w:r w:rsidRPr="007214FD">
              <w:rPr>
                <w:rFonts w:ascii="Calibri" w:hAnsi="Calibri"/>
                <w:sz w:val="20"/>
                <w:szCs w:val="20"/>
                <w:lang w:val="en-CA"/>
              </w:rPr>
              <w:fldChar w:fldCharType="end"/>
            </w:r>
            <w:r w:rsidR="00B87EAF" w:rsidRPr="007214FD">
              <w:rPr>
                <w:rFonts w:ascii="Calibri" w:hAnsi="Calibri"/>
                <w:b/>
                <w:bCs/>
                <w:sz w:val="20"/>
                <w:szCs w:val="20"/>
              </w:rPr>
              <w:t>DATA DEFINITION, VALIDATION, VERIFICATION, AND LIMITATIONS</w:t>
            </w:r>
          </w:p>
        </w:tc>
      </w:tr>
      <w:tr w:rsidR="00B87EAF" w:rsidRPr="007214FD" w:rsidTr="00B87EAF">
        <w:trPr>
          <w:trHeight w:val="1320"/>
        </w:trPr>
        <w:tc>
          <w:tcPr>
            <w:tcW w:w="14328" w:type="dxa"/>
            <w:vAlign w:val="center"/>
          </w:tcPr>
          <w:p w:rsidR="00B87EAF" w:rsidRPr="007214FD" w:rsidRDefault="00B408CF" w:rsidP="00B87EAF">
            <w:pPr>
              <w:numPr>
                <w:ilvl w:val="0"/>
                <w:numId w:val="1"/>
              </w:numPr>
              <w:tabs>
                <w:tab w:val="clear" w:pos="720"/>
                <w:tab w:val="num" w:pos="360"/>
              </w:tabs>
              <w:ind w:left="360"/>
              <w:jc w:val="both"/>
              <w:rPr>
                <w:rFonts w:ascii="Calibri" w:hAnsi="Calibri"/>
                <w:sz w:val="20"/>
                <w:szCs w:val="20"/>
              </w:rPr>
            </w:pPr>
            <w:r w:rsidRPr="007214FD">
              <w:rPr>
                <w:rFonts w:ascii="Calibri" w:hAnsi="Calibri"/>
                <w:sz w:val="20"/>
                <w:szCs w:val="20"/>
                <w:lang w:val="en-CA"/>
              </w:rPr>
              <w:fldChar w:fldCharType="begin"/>
            </w:r>
            <w:r w:rsidR="00B87EAF" w:rsidRPr="007214FD">
              <w:rPr>
                <w:rFonts w:ascii="Calibri" w:hAnsi="Calibri"/>
                <w:sz w:val="20"/>
                <w:szCs w:val="20"/>
                <w:lang w:val="en-CA"/>
              </w:rPr>
              <w:instrText xml:space="preserve"> SEQ CHAPTER \h \r 1</w:instrText>
            </w:r>
            <w:r w:rsidRPr="007214FD">
              <w:rPr>
                <w:rFonts w:ascii="Calibri" w:hAnsi="Calibri"/>
                <w:sz w:val="20"/>
                <w:szCs w:val="20"/>
                <w:lang w:val="en-CA"/>
              </w:rPr>
              <w:fldChar w:fldCharType="end"/>
            </w:r>
            <w:r w:rsidR="00B87EAF" w:rsidRPr="007214FD">
              <w:rPr>
                <w:rFonts w:ascii="Calibri" w:hAnsi="Calibri"/>
                <w:b/>
                <w:bCs/>
                <w:sz w:val="20"/>
                <w:szCs w:val="20"/>
              </w:rPr>
              <w:t>All Workload and Performance Indicators:</w:t>
            </w:r>
            <w:r w:rsidR="00B87EAF" w:rsidRPr="007214FD">
              <w:rPr>
                <w:rFonts w:ascii="Calibri" w:hAnsi="Calibri"/>
                <w:sz w:val="20"/>
                <w:szCs w:val="20"/>
              </w:rPr>
              <w:t xml:space="preserve">  The data source for all indicators is CASES, the Civil Division’s fully automated case management system.  Quality assurance efforts include:  regular interviews with attorneys to review data listings for each case; input screens programmed to preclude the entry of incorrect data; exception reports which list data that are questionable or inconsistent; attorney manager review of numerous monthly reports for data completeness and accuracy; and verification of representative data samples by an independent contractor.  Despite these measures, some data limitations do exist.  Most significantly, incomplete data can cause the system to under-report case terminations and attorney time.  Some performance successes can be attributed to litigation where the U.S. Attorneys’ Offices were involved.</w:t>
            </w:r>
          </w:p>
          <w:p w:rsidR="00B87EAF" w:rsidRPr="007214FD" w:rsidRDefault="00B408CF" w:rsidP="00B87EAF">
            <w:pPr>
              <w:numPr>
                <w:ilvl w:val="0"/>
                <w:numId w:val="1"/>
              </w:numPr>
              <w:tabs>
                <w:tab w:val="clear" w:pos="720"/>
                <w:tab w:val="num" w:pos="360"/>
              </w:tabs>
              <w:ind w:left="360"/>
              <w:jc w:val="both"/>
              <w:rPr>
                <w:rFonts w:ascii="Calibri" w:hAnsi="Calibri"/>
              </w:rPr>
            </w:pPr>
            <w:r w:rsidRPr="007214FD">
              <w:rPr>
                <w:rFonts w:ascii="Calibri" w:hAnsi="Calibri"/>
                <w:sz w:val="20"/>
                <w:szCs w:val="20"/>
                <w:lang w:val="en-CA"/>
              </w:rPr>
              <w:fldChar w:fldCharType="begin"/>
            </w:r>
            <w:r w:rsidR="00B87EAF" w:rsidRPr="007214FD">
              <w:rPr>
                <w:rFonts w:ascii="Calibri" w:hAnsi="Calibri"/>
                <w:sz w:val="20"/>
                <w:szCs w:val="20"/>
                <w:lang w:val="en-CA"/>
              </w:rPr>
              <w:instrText xml:space="preserve"> SEQ CHAPTER \h \r 1</w:instrText>
            </w:r>
            <w:r w:rsidRPr="007214FD">
              <w:rPr>
                <w:rFonts w:ascii="Calibri" w:hAnsi="Calibri"/>
                <w:sz w:val="20"/>
                <w:szCs w:val="20"/>
                <w:lang w:val="en-CA"/>
              </w:rPr>
              <w:fldChar w:fldCharType="end"/>
            </w:r>
            <w:r w:rsidR="00B87EAF" w:rsidRPr="007214FD">
              <w:rPr>
                <w:rFonts w:ascii="Calibri" w:hAnsi="Calibri"/>
                <w:b/>
                <w:bCs/>
                <w:sz w:val="20"/>
                <w:szCs w:val="20"/>
              </w:rPr>
              <w:t>Performance Indicators 2, 5, and 6:</w:t>
            </w:r>
            <w:r w:rsidR="00B87EAF" w:rsidRPr="007214FD">
              <w:rPr>
                <w:rFonts w:ascii="Calibri" w:hAnsi="Calibri"/>
                <w:sz w:val="20"/>
                <w:szCs w:val="20"/>
              </w:rPr>
              <w:t xml:space="preserve">   Favorable resolutions include court judgments in favor of the Government, as well as settlements.</w:t>
            </w:r>
          </w:p>
          <w:p w:rsidR="00B87EAF" w:rsidRPr="007214FD" w:rsidRDefault="00B87EAF" w:rsidP="00B87EAF">
            <w:pPr>
              <w:numPr>
                <w:ilvl w:val="0"/>
                <w:numId w:val="1"/>
              </w:numPr>
              <w:tabs>
                <w:tab w:val="clear" w:pos="720"/>
                <w:tab w:val="num" w:pos="360"/>
              </w:tabs>
              <w:ind w:left="360"/>
              <w:jc w:val="both"/>
              <w:rPr>
                <w:rFonts w:ascii="Calibri" w:hAnsi="Calibri"/>
              </w:rPr>
            </w:pPr>
            <w:r w:rsidRPr="007214FD">
              <w:rPr>
                <w:rFonts w:ascii="Calibri" w:hAnsi="Calibri"/>
                <w:b/>
                <w:bCs/>
                <w:sz w:val="20"/>
                <w:szCs w:val="20"/>
              </w:rPr>
              <w:t>All Workload and Performance Indicators:</w:t>
            </w:r>
            <w:r w:rsidRPr="007214FD">
              <w:rPr>
                <w:rFonts w:ascii="Calibri" w:hAnsi="Calibri"/>
                <w:sz w:val="20"/>
                <w:szCs w:val="20"/>
              </w:rPr>
              <w:t xml:space="preserve">  </w:t>
            </w:r>
            <w:r w:rsidRPr="007214FD">
              <w:rPr>
                <w:rFonts w:ascii="Calibri" w:hAnsi="Calibri"/>
                <w:sz w:val="20"/>
                <w:szCs w:val="20"/>
                <w:lang w:val="en-CA"/>
              </w:rPr>
              <w:t>All workload actuals and workload estimates exclude nearly 500,000 Hurricane Katrina administrative claims, which could all become individually active cases by FY 2011, and approximately</w:t>
            </w:r>
            <w:r>
              <w:rPr>
                <w:rFonts w:ascii="Calibri" w:hAnsi="Calibri"/>
                <w:sz w:val="20"/>
                <w:szCs w:val="20"/>
                <w:lang w:val="en-CA"/>
              </w:rPr>
              <w:t xml:space="preserve"> </w:t>
            </w:r>
            <w:r w:rsidRPr="007214FD">
              <w:rPr>
                <w:rFonts w:ascii="Calibri" w:hAnsi="Calibri"/>
                <w:sz w:val="20"/>
                <w:szCs w:val="20"/>
                <w:lang w:val="en-CA"/>
              </w:rPr>
              <w:t>100,000 FEMA: Hurricane Katrina/Rita Trailer-related administrative claims.  These claims have been removed to avoid skewing the data.</w:t>
            </w:r>
          </w:p>
        </w:tc>
      </w:tr>
      <w:tr w:rsidR="00B87EAF" w:rsidRPr="007214FD" w:rsidTr="00B87EAF">
        <w:trPr>
          <w:trHeight w:val="120"/>
        </w:trPr>
        <w:tc>
          <w:tcPr>
            <w:tcW w:w="14328" w:type="dxa"/>
            <w:vAlign w:val="center"/>
          </w:tcPr>
          <w:p w:rsidR="00B87EAF" w:rsidRPr="007214FD" w:rsidRDefault="00B87EAF" w:rsidP="00B87EAF">
            <w:pPr>
              <w:jc w:val="both"/>
              <w:rPr>
                <w:rFonts w:ascii="Calibri" w:hAnsi="Calibri"/>
                <w:b/>
                <w:bCs/>
                <w:sz w:val="20"/>
                <w:szCs w:val="20"/>
              </w:rPr>
            </w:pPr>
            <w:r w:rsidRPr="007214FD">
              <w:rPr>
                <w:rFonts w:ascii="Calibri" w:hAnsi="Calibri"/>
                <w:b/>
                <w:bCs/>
                <w:sz w:val="20"/>
                <w:szCs w:val="20"/>
              </w:rPr>
              <w:t>ISSUES AFFEC</w:t>
            </w:r>
            <w:r>
              <w:rPr>
                <w:rFonts w:ascii="Calibri" w:hAnsi="Calibri"/>
                <w:b/>
                <w:bCs/>
                <w:sz w:val="20"/>
                <w:szCs w:val="20"/>
              </w:rPr>
              <w:t>TING SELECTION OF FY 2011 AND FY 2012</w:t>
            </w:r>
            <w:r w:rsidRPr="007214FD">
              <w:rPr>
                <w:rFonts w:ascii="Calibri" w:hAnsi="Calibri"/>
                <w:b/>
                <w:bCs/>
                <w:sz w:val="20"/>
                <w:szCs w:val="20"/>
              </w:rPr>
              <w:t xml:space="preserve"> ESTIMATES</w:t>
            </w:r>
          </w:p>
        </w:tc>
      </w:tr>
      <w:tr w:rsidR="00B87EAF" w:rsidRPr="007214FD" w:rsidTr="00B87EAF">
        <w:trPr>
          <w:trHeight w:val="368"/>
        </w:trPr>
        <w:tc>
          <w:tcPr>
            <w:tcW w:w="14328" w:type="dxa"/>
          </w:tcPr>
          <w:p w:rsidR="00B87EAF" w:rsidRPr="007214FD" w:rsidRDefault="00B87EAF" w:rsidP="00B87EAF">
            <w:pPr>
              <w:numPr>
                <w:ilvl w:val="0"/>
                <w:numId w:val="2"/>
              </w:numPr>
              <w:tabs>
                <w:tab w:val="clear" w:pos="720"/>
                <w:tab w:val="num" w:pos="360"/>
              </w:tabs>
              <w:ind w:left="360"/>
              <w:jc w:val="both"/>
              <w:rPr>
                <w:rFonts w:ascii="Calibri" w:hAnsi="Calibri"/>
                <w:sz w:val="20"/>
                <w:szCs w:val="20"/>
              </w:rPr>
            </w:pPr>
            <w:r w:rsidRPr="007214FD">
              <w:rPr>
                <w:rFonts w:ascii="Calibri" w:hAnsi="Calibri"/>
                <w:b/>
                <w:bCs/>
                <w:sz w:val="20"/>
                <w:szCs w:val="20"/>
              </w:rPr>
              <w:t xml:space="preserve">Performance Indicators 2 and 3:  </w:t>
            </w:r>
            <w:r w:rsidRPr="007214FD">
              <w:rPr>
                <w:rFonts w:ascii="Calibri" w:hAnsi="Calibri"/>
                <w:sz w:val="20"/>
                <w:szCs w:val="20"/>
              </w:rPr>
              <w:t>Vaccine Injury Compensation Program cases are excluded from these measures.</w:t>
            </w:r>
          </w:p>
        </w:tc>
      </w:tr>
    </w:tbl>
    <w:p w:rsidR="00520137" w:rsidRDefault="00520137" w:rsidP="00520137"/>
    <w:p w:rsidR="00520137" w:rsidRDefault="00520137" w:rsidP="00520137"/>
    <w:p w:rsidR="00520137" w:rsidRDefault="00520137" w:rsidP="00520137"/>
    <w:p w:rsidR="00520137" w:rsidRDefault="00520137" w:rsidP="00520137"/>
    <w:p w:rsidR="00520137" w:rsidRDefault="00520137" w:rsidP="00520137"/>
    <w:p w:rsidR="00520137" w:rsidRDefault="00520137" w:rsidP="00520137"/>
    <w:p w:rsidR="00520137" w:rsidRDefault="00520137" w:rsidP="00520137"/>
    <w:p w:rsidR="00520137" w:rsidRDefault="00520137" w:rsidP="00520137"/>
    <w:p w:rsidR="00520137" w:rsidRDefault="00520137" w:rsidP="00520137"/>
    <w:p w:rsidR="00520137" w:rsidRDefault="00520137" w:rsidP="00520137"/>
    <w:p w:rsidR="00520137" w:rsidRDefault="00520137" w:rsidP="00520137"/>
    <w:p w:rsidR="00520137" w:rsidRDefault="00520137" w:rsidP="00520137"/>
    <w:p w:rsidR="00520137" w:rsidRDefault="00520137" w:rsidP="00520137"/>
    <w:p w:rsidR="00520137" w:rsidRDefault="00520137" w:rsidP="00520137"/>
    <w:p w:rsidR="00520137" w:rsidRDefault="00520137" w:rsidP="00520137"/>
    <w:p w:rsidR="00520137" w:rsidRDefault="00520137" w:rsidP="00520137"/>
    <w:p w:rsidR="00520137" w:rsidRDefault="00520137" w:rsidP="00520137"/>
    <w:p w:rsidR="00520137" w:rsidRDefault="00520137" w:rsidP="00520137"/>
    <w:p w:rsidR="00520137" w:rsidRDefault="00520137" w:rsidP="00520137"/>
    <w:p w:rsidR="00306A8B" w:rsidRDefault="00306A8B" w:rsidP="00520137"/>
    <w:p w:rsidR="00306A8B" w:rsidRDefault="00306A8B" w:rsidP="00520137"/>
    <w:p w:rsidR="00520137" w:rsidRDefault="00520137" w:rsidP="00520137"/>
    <w:p w:rsidR="00520137" w:rsidRPr="00A96EF3" w:rsidRDefault="00520137" w:rsidP="00520137"/>
    <w:p w:rsidR="00520137" w:rsidRDefault="00520137" w:rsidP="00520137">
      <w:pPr>
        <w:jc w:val="both"/>
        <w:rPr>
          <w:rFonts w:ascii="Calibri" w:hAnsi="Calibri"/>
        </w:rPr>
      </w:pPr>
    </w:p>
    <w:tbl>
      <w:tblPr>
        <w:tblStyle w:val="TableGrid"/>
        <w:tblW w:w="14040" w:type="dxa"/>
        <w:tblInd w:w="-702" w:type="dxa"/>
        <w:tblLayout w:type="fixed"/>
        <w:tblLook w:val="04A0" w:firstRow="1" w:lastRow="0" w:firstColumn="1" w:lastColumn="0" w:noHBand="0" w:noVBand="1"/>
      </w:tblPr>
      <w:tblGrid>
        <w:gridCol w:w="1010"/>
        <w:gridCol w:w="2230"/>
        <w:gridCol w:w="900"/>
        <w:gridCol w:w="900"/>
        <w:gridCol w:w="900"/>
        <w:gridCol w:w="900"/>
        <w:gridCol w:w="900"/>
        <w:gridCol w:w="900"/>
        <w:gridCol w:w="900"/>
        <w:gridCol w:w="900"/>
        <w:gridCol w:w="900"/>
        <w:gridCol w:w="900"/>
        <w:gridCol w:w="900"/>
        <w:gridCol w:w="900"/>
      </w:tblGrid>
      <w:tr w:rsidR="00520137" w:rsidTr="00BB214A">
        <w:trPr>
          <w:cantSplit/>
          <w:tblHeader/>
        </w:trPr>
        <w:tc>
          <w:tcPr>
            <w:tcW w:w="14040" w:type="dxa"/>
            <w:gridSpan w:val="14"/>
            <w:shd w:val="clear" w:color="auto" w:fill="632423" w:themeFill="accent2" w:themeFillShade="80"/>
          </w:tcPr>
          <w:p w:rsidR="00520137" w:rsidRPr="004A6952" w:rsidRDefault="00520137" w:rsidP="00BB214A">
            <w:pPr>
              <w:jc w:val="center"/>
              <w:rPr>
                <w:rFonts w:ascii="Calibri" w:hAnsi="Calibri"/>
                <w:b/>
                <w:color w:val="D9D9D9" w:themeColor="background1" w:themeShade="D9"/>
                <w:sz w:val="28"/>
                <w:szCs w:val="28"/>
              </w:rPr>
            </w:pPr>
            <w:r w:rsidRPr="004A6952">
              <w:rPr>
                <w:rFonts w:ascii="Calibri" w:hAnsi="Calibri"/>
                <w:b/>
                <w:color w:val="D9D9D9" w:themeColor="background1" w:themeShade="D9"/>
                <w:sz w:val="28"/>
                <w:szCs w:val="28"/>
              </w:rPr>
              <w:t>Performance Measure Table: Legal Representation</w:t>
            </w:r>
          </w:p>
        </w:tc>
      </w:tr>
      <w:tr w:rsidR="00520137" w:rsidTr="00BB214A">
        <w:trPr>
          <w:cantSplit/>
          <w:tblHeader/>
        </w:trPr>
        <w:tc>
          <w:tcPr>
            <w:tcW w:w="3240" w:type="dxa"/>
            <w:gridSpan w:val="2"/>
            <w:vMerge w:val="restart"/>
            <w:vAlign w:val="center"/>
          </w:tcPr>
          <w:p w:rsidR="00520137" w:rsidRPr="004A6952" w:rsidRDefault="00520137" w:rsidP="00BB214A">
            <w:pPr>
              <w:jc w:val="center"/>
              <w:rPr>
                <w:rFonts w:ascii="Calibri" w:hAnsi="Calibri"/>
                <w:b/>
                <w:color w:val="632423" w:themeColor="accent2" w:themeShade="80"/>
              </w:rPr>
            </w:pPr>
            <w:r>
              <w:rPr>
                <w:rFonts w:ascii="Calibri" w:hAnsi="Calibri"/>
              </w:rPr>
              <w:br w:type="page"/>
            </w:r>
            <w:r w:rsidRPr="004A6952">
              <w:rPr>
                <w:rFonts w:ascii="Calibri" w:hAnsi="Calibri"/>
                <w:b/>
                <w:color w:val="632423" w:themeColor="accent2" w:themeShade="80"/>
              </w:rPr>
              <w:t>Performance Report and Performance Plan Targets</w:t>
            </w:r>
          </w:p>
        </w:tc>
        <w:tc>
          <w:tcPr>
            <w:tcW w:w="900" w:type="dxa"/>
          </w:tcPr>
          <w:p w:rsidR="00520137" w:rsidRPr="00C613E5" w:rsidRDefault="00520137" w:rsidP="00BB214A">
            <w:pPr>
              <w:jc w:val="center"/>
              <w:rPr>
                <w:rFonts w:ascii="Calibri" w:hAnsi="Calibri"/>
                <w:b/>
                <w:sz w:val="22"/>
                <w:szCs w:val="22"/>
              </w:rPr>
            </w:pPr>
            <w:r w:rsidRPr="00C613E5">
              <w:rPr>
                <w:rFonts w:ascii="Calibri" w:hAnsi="Calibri"/>
                <w:b/>
                <w:sz w:val="22"/>
                <w:szCs w:val="22"/>
              </w:rPr>
              <w:t>FY 2002</w:t>
            </w:r>
          </w:p>
        </w:tc>
        <w:tc>
          <w:tcPr>
            <w:tcW w:w="900" w:type="dxa"/>
          </w:tcPr>
          <w:p w:rsidR="00520137" w:rsidRPr="00C613E5" w:rsidRDefault="00520137" w:rsidP="00BB214A">
            <w:pPr>
              <w:jc w:val="center"/>
              <w:rPr>
                <w:rFonts w:ascii="Calibri" w:hAnsi="Calibri"/>
                <w:b/>
              </w:rPr>
            </w:pPr>
            <w:r w:rsidRPr="00C613E5">
              <w:rPr>
                <w:rFonts w:ascii="Calibri" w:hAnsi="Calibri"/>
                <w:b/>
                <w:sz w:val="22"/>
                <w:szCs w:val="22"/>
              </w:rPr>
              <w:t>FY 2003</w:t>
            </w:r>
          </w:p>
        </w:tc>
        <w:tc>
          <w:tcPr>
            <w:tcW w:w="900" w:type="dxa"/>
          </w:tcPr>
          <w:p w:rsidR="00520137" w:rsidRPr="00C613E5" w:rsidRDefault="00520137" w:rsidP="00BB214A">
            <w:pPr>
              <w:jc w:val="center"/>
              <w:rPr>
                <w:rFonts w:ascii="Calibri" w:hAnsi="Calibri"/>
                <w:b/>
              </w:rPr>
            </w:pPr>
            <w:r w:rsidRPr="00C613E5">
              <w:rPr>
                <w:rFonts w:ascii="Calibri" w:hAnsi="Calibri"/>
                <w:b/>
                <w:sz w:val="22"/>
                <w:szCs w:val="22"/>
              </w:rPr>
              <w:t>FY 2004</w:t>
            </w:r>
          </w:p>
        </w:tc>
        <w:tc>
          <w:tcPr>
            <w:tcW w:w="900" w:type="dxa"/>
          </w:tcPr>
          <w:p w:rsidR="00520137" w:rsidRPr="00C613E5" w:rsidRDefault="00520137" w:rsidP="00BB214A">
            <w:pPr>
              <w:jc w:val="center"/>
              <w:rPr>
                <w:rFonts w:ascii="Calibri" w:hAnsi="Calibri"/>
                <w:b/>
              </w:rPr>
            </w:pPr>
            <w:r w:rsidRPr="00C613E5">
              <w:rPr>
                <w:rFonts w:ascii="Calibri" w:hAnsi="Calibri"/>
                <w:b/>
                <w:sz w:val="22"/>
                <w:szCs w:val="22"/>
              </w:rPr>
              <w:t>FY 2005</w:t>
            </w:r>
          </w:p>
        </w:tc>
        <w:tc>
          <w:tcPr>
            <w:tcW w:w="900" w:type="dxa"/>
          </w:tcPr>
          <w:p w:rsidR="00520137" w:rsidRPr="00C613E5" w:rsidRDefault="00520137" w:rsidP="00BB214A">
            <w:pPr>
              <w:jc w:val="center"/>
              <w:rPr>
                <w:rFonts w:ascii="Calibri" w:hAnsi="Calibri"/>
                <w:b/>
              </w:rPr>
            </w:pPr>
            <w:r w:rsidRPr="00C613E5">
              <w:rPr>
                <w:rFonts w:ascii="Calibri" w:hAnsi="Calibri"/>
                <w:b/>
                <w:sz w:val="22"/>
                <w:szCs w:val="22"/>
              </w:rPr>
              <w:t>FY 2006</w:t>
            </w:r>
          </w:p>
        </w:tc>
        <w:tc>
          <w:tcPr>
            <w:tcW w:w="900" w:type="dxa"/>
          </w:tcPr>
          <w:p w:rsidR="00520137" w:rsidRPr="00C613E5" w:rsidRDefault="00520137" w:rsidP="00BB214A">
            <w:pPr>
              <w:jc w:val="center"/>
              <w:rPr>
                <w:rFonts w:ascii="Calibri" w:hAnsi="Calibri"/>
                <w:b/>
              </w:rPr>
            </w:pPr>
            <w:r w:rsidRPr="00C613E5">
              <w:rPr>
                <w:rFonts w:ascii="Calibri" w:hAnsi="Calibri"/>
                <w:b/>
                <w:sz w:val="22"/>
                <w:szCs w:val="22"/>
              </w:rPr>
              <w:t>FY 2007</w:t>
            </w:r>
          </w:p>
        </w:tc>
        <w:tc>
          <w:tcPr>
            <w:tcW w:w="900" w:type="dxa"/>
          </w:tcPr>
          <w:p w:rsidR="00520137" w:rsidRPr="00C613E5" w:rsidRDefault="00520137" w:rsidP="00BB214A">
            <w:pPr>
              <w:jc w:val="center"/>
              <w:rPr>
                <w:rFonts w:ascii="Calibri" w:hAnsi="Calibri"/>
                <w:b/>
              </w:rPr>
            </w:pPr>
            <w:r w:rsidRPr="00C613E5">
              <w:rPr>
                <w:rFonts w:ascii="Calibri" w:hAnsi="Calibri"/>
                <w:b/>
                <w:sz w:val="22"/>
                <w:szCs w:val="22"/>
              </w:rPr>
              <w:t>FY 2008</w:t>
            </w:r>
          </w:p>
        </w:tc>
        <w:tc>
          <w:tcPr>
            <w:tcW w:w="900" w:type="dxa"/>
          </w:tcPr>
          <w:p w:rsidR="00520137" w:rsidRPr="00C613E5" w:rsidRDefault="00520137" w:rsidP="00BB214A">
            <w:pPr>
              <w:jc w:val="center"/>
              <w:rPr>
                <w:rFonts w:ascii="Calibri" w:hAnsi="Calibri"/>
                <w:b/>
              </w:rPr>
            </w:pPr>
            <w:r w:rsidRPr="00C613E5">
              <w:rPr>
                <w:rFonts w:ascii="Calibri" w:hAnsi="Calibri"/>
                <w:b/>
                <w:sz w:val="22"/>
                <w:szCs w:val="22"/>
              </w:rPr>
              <w:t>FY 2009</w:t>
            </w:r>
          </w:p>
        </w:tc>
        <w:tc>
          <w:tcPr>
            <w:tcW w:w="1800" w:type="dxa"/>
            <w:gridSpan w:val="2"/>
            <w:vAlign w:val="center"/>
          </w:tcPr>
          <w:p w:rsidR="00520137" w:rsidRPr="00C613E5" w:rsidRDefault="00520137" w:rsidP="00BB214A">
            <w:pPr>
              <w:jc w:val="center"/>
              <w:rPr>
                <w:rFonts w:ascii="Calibri" w:hAnsi="Calibri"/>
                <w:b/>
              </w:rPr>
            </w:pPr>
            <w:r w:rsidRPr="00C613E5">
              <w:rPr>
                <w:rFonts w:ascii="Calibri" w:hAnsi="Calibri"/>
                <w:b/>
                <w:sz w:val="22"/>
                <w:szCs w:val="22"/>
              </w:rPr>
              <w:t>FY 2010</w:t>
            </w:r>
          </w:p>
        </w:tc>
        <w:tc>
          <w:tcPr>
            <w:tcW w:w="900" w:type="dxa"/>
          </w:tcPr>
          <w:p w:rsidR="00520137" w:rsidRPr="00C613E5" w:rsidRDefault="00520137" w:rsidP="00BB214A">
            <w:pPr>
              <w:jc w:val="center"/>
              <w:rPr>
                <w:rFonts w:ascii="Calibri" w:hAnsi="Calibri"/>
                <w:b/>
              </w:rPr>
            </w:pPr>
            <w:r w:rsidRPr="00C613E5">
              <w:rPr>
                <w:rFonts w:ascii="Calibri" w:hAnsi="Calibri"/>
                <w:b/>
                <w:sz w:val="22"/>
                <w:szCs w:val="22"/>
              </w:rPr>
              <w:t>FY 2011</w:t>
            </w:r>
          </w:p>
        </w:tc>
        <w:tc>
          <w:tcPr>
            <w:tcW w:w="900" w:type="dxa"/>
          </w:tcPr>
          <w:p w:rsidR="00520137" w:rsidRPr="00C613E5" w:rsidRDefault="00520137" w:rsidP="00BB214A">
            <w:pPr>
              <w:jc w:val="center"/>
              <w:rPr>
                <w:rFonts w:ascii="Calibri" w:hAnsi="Calibri"/>
                <w:b/>
              </w:rPr>
            </w:pPr>
            <w:r w:rsidRPr="00C613E5">
              <w:rPr>
                <w:rFonts w:ascii="Calibri" w:hAnsi="Calibri"/>
                <w:b/>
                <w:sz w:val="22"/>
                <w:szCs w:val="22"/>
              </w:rPr>
              <w:t>FY 2012</w:t>
            </w:r>
          </w:p>
        </w:tc>
      </w:tr>
      <w:tr w:rsidR="00520137" w:rsidTr="00BB214A">
        <w:trPr>
          <w:cantSplit/>
          <w:tblHeader/>
        </w:trPr>
        <w:tc>
          <w:tcPr>
            <w:tcW w:w="3240" w:type="dxa"/>
            <w:gridSpan w:val="2"/>
            <w:vMerge/>
          </w:tcPr>
          <w:p w:rsidR="00520137" w:rsidRDefault="00520137" w:rsidP="00BB214A">
            <w:pPr>
              <w:jc w:val="both"/>
              <w:rPr>
                <w:rFonts w:ascii="Calibri" w:hAnsi="Calibri"/>
              </w:rPr>
            </w:pPr>
          </w:p>
        </w:tc>
        <w:tc>
          <w:tcPr>
            <w:tcW w:w="900" w:type="dxa"/>
          </w:tcPr>
          <w:p w:rsidR="00520137" w:rsidRPr="00C613E5" w:rsidRDefault="00520137" w:rsidP="00BB214A">
            <w:pPr>
              <w:jc w:val="both"/>
              <w:rPr>
                <w:rFonts w:ascii="Calibri" w:hAnsi="Calibri"/>
                <w:b/>
              </w:rPr>
            </w:pPr>
            <w:r w:rsidRPr="00C613E5">
              <w:rPr>
                <w:rFonts w:ascii="Calibri" w:hAnsi="Calibri"/>
                <w:b/>
              </w:rPr>
              <w:t>Actual</w:t>
            </w:r>
          </w:p>
        </w:tc>
        <w:tc>
          <w:tcPr>
            <w:tcW w:w="900" w:type="dxa"/>
          </w:tcPr>
          <w:p w:rsidR="00520137" w:rsidRDefault="00520137" w:rsidP="00BB214A">
            <w:pPr>
              <w:jc w:val="both"/>
              <w:rPr>
                <w:rFonts w:ascii="Calibri" w:hAnsi="Calibri"/>
              </w:rPr>
            </w:pPr>
            <w:r w:rsidRPr="00C613E5">
              <w:rPr>
                <w:rFonts w:ascii="Calibri" w:hAnsi="Calibri"/>
                <w:b/>
              </w:rPr>
              <w:t>Actual</w:t>
            </w:r>
          </w:p>
        </w:tc>
        <w:tc>
          <w:tcPr>
            <w:tcW w:w="900" w:type="dxa"/>
          </w:tcPr>
          <w:p w:rsidR="00520137" w:rsidRDefault="00520137" w:rsidP="00BB214A">
            <w:pPr>
              <w:jc w:val="both"/>
              <w:rPr>
                <w:rFonts w:ascii="Calibri" w:hAnsi="Calibri"/>
              </w:rPr>
            </w:pPr>
            <w:r w:rsidRPr="00C613E5">
              <w:rPr>
                <w:rFonts w:ascii="Calibri" w:hAnsi="Calibri"/>
                <w:b/>
              </w:rPr>
              <w:t>Actual</w:t>
            </w:r>
          </w:p>
        </w:tc>
        <w:tc>
          <w:tcPr>
            <w:tcW w:w="900" w:type="dxa"/>
          </w:tcPr>
          <w:p w:rsidR="00520137" w:rsidRDefault="00520137" w:rsidP="00BB214A">
            <w:pPr>
              <w:jc w:val="both"/>
              <w:rPr>
                <w:rFonts w:ascii="Calibri" w:hAnsi="Calibri"/>
              </w:rPr>
            </w:pPr>
            <w:r w:rsidRPr="00C613E5">
              <w:rPr>
                <w:rFonts w:ascii="Calibri" w:hAnsi="Calibri"/>
                <w:b/>
              </w:rPr>
              <w:t>Actual</w:t>
            </w:r>
          </w:p>
        </w:tc>
        <w:tc>
          <w:tcPr>
            <w:tcW w:w="900" w:type="dxa"/>
          </w:tcPr>
          <w:p w:rsidR="00520137" w:rsidRDefault="00520137" w:rsidP="00BB214A">
            <w:pPr>
              <w:jc w:val="both"/>
              <w:rPr>
                <w:rFonts w:ascii="Calibri" w:hAnsi="Calibri"/>
              </w:rPr>
            </w:pPr>
            <w:r w:rsidRPr="00C613E5">
              <w:rPr>
                <w:rFonts w:ascii="Calibri" w:hAnsi="Calibri"/>
                <w:b/>
              </w:rPr>
              <w:t>Actual</w:t>
            </w:r>
          </w:p>
        </w:tc>
        <w:tc>
          <w:tcPr>
            <w:tcW w:w="900" w:type="dxa"/>
          </w:tcPr>
          <w:p w:rsidR="00520137" w:rsidRDefault="00520137" w:rsidP="00BB214A">
            <w:pPr>
              <w:jc w:val="both"/>
              <w:rPr>
                <w:rFonts w:ascii="Calibri" w:hAnsi="Calibri"/>
              </w:rPr>
            </w:pPr>
            <w:r w:rsidRPr="00C613E5">
              <w:rPr>
                <w:rFonts w:ascii="Calibri" w:hAnsi="Calibri"/>
                <w:b/>
              </w:rPr>
              <w:t>Actual</w:t>
            </w:r>
          </w:p>
        </w:tc>
        <w:tc>
          <w:tcPr>
            <w:tcW w:w="900" w:type="dxa"/>
          </w:tcPr>
          <w:p w:rsidR="00520137" w:rsidRDefault="00520137" w:rsidP="00BB214A">
            <w:pPr>
              <w:jc w:val="both"/>
              <w:rPr>
                <w:rFonts w:ascii="Calibri" w:hAnsi="Calibri"/>
              </w:rPr>
            </w:pPr>
            <w:r w:rsidRPr="00C613E5">
              <w:rPr>
                <w:rFonts w:ascii="Calibri" w:hAnsi="Calibri"/>
                <w:b/>
              </w:rPr>
              <w:t>Actual</w:t>
            </w:r>
          </w:p>
        </w:tc>
        <w:tc>
          <w:tcPr>
            <w:tcW w:w="900" w:type="dxa"/>
          </w:tcPr>
          <w:p w:rsidR="00520137" w:rsidRDefault="00520137" w:rsidP="00BB214A">
            <w:pPr>
              <w:jc w:val="both"/>
              <w:rPr>
                <w:rFonts w:ascii="Calibri" w:hAnsi="Calibri"/>
              </w:rPr>
            </w:pPr>
            <w:r w:rsidRPr="00C613E5">
              <w:rPr>
                <w:rFonts w:ascii="Calibri" w:hAnsi="Calibri"/>
                <w:b/>
              </w:rPr>
              <w:t>Actual</w:t>
            </w:r>
          </w:p>
        </w:tc>
        <w:tc>
          <w:tcPr>
            <w:tcW w:w="900" w:type="dxa"/>
          </w:tcPr>
          <w:p w:rsidR="00520137" w:rsidRDefault="00520137" w:rsidP="00BB214A">
            <w:pPr>
              <w:jc w:val="both"/>
              <w:rPr>
                <w:rFonts w:ascii="Calibri" w:hAnsi="Calibri"/>
              </w:rPr>
            </w:pPr>
            <w:r>
              <w:rPr>
                <w:rFonts w:ascii="Calibri" w:hAnsi="Calibri"/>
                <w:b/>
              </w:rPr>
              <w:t>Target</w:t>
            </w:r>
          </w:p>
        </w:tc>
        <w:tc>
          <w:tcPr>
            <w:tcW w:w="900" w:type="dxa"/>
            <w:tcBorders>
              <w:bottom w:val="single" w:sz="4" w:space="0" w:color="auto"/>
            </w:tcBorders>
          </w:tcPr>
          <w:p w:rsidR="00520137" w:rsidRDefault="00520137" w:rsidP="00BB214A">
            <w:pPr>
              <w:jc w:val="both"/>
              <w:rPr>
                <w:rFonts w:ascii="Calibri" w:hAnsi="Calibri"/>
              </w:rPr>
            </w:pPr>
            <w:r w:rsidRPr="00C613E5">
              <w:rPr>
                <w:rFonts w:ascii="Calibri" w:hAnsi="Calibri"/>
                <w:b/>
              </w:rPr>
              <w:t>Actual</w:t>
            </w:r>
          </w:p>
        </w:tc>
        <w:tc>
          <w:tcPr>
            <w:tcW w:w="900" w:type="dxa"/>
          </w:tcPr>
          <w:p w:rsidR="00520137" w:rsidRDefault="00520137" w:rsidP="00BB214A">
            <w:pPr>
              <w:jc w:val="both"/>
              <w:rPr>
                <w:rFonts w:ascii="Calibri" w:hAnsi="Calibri"/>
              </w:rPr>
            </w:pPr>
            <w:r>
              <w:rPr>
                <w:rFonts w:ascii="Calibri" w:hAnsi="Calibri"/>
                <w:b/>
              </w:rPr>
              <w:t>Target</w:t>
            </w:r>
          </w:p>
        </w:tc>
        <w:tc>
          <w:tcPr>
            <w:tcW w:w="900" w:type="dxa"/>
          </w:tcPr>
          <w:p w:rsidR="00520137" w:rsidRDefault="00520137" w:rsidP="00BB214A">
            <w:pPr>
              <w:jc w:val="both"/>
              <w:rPr>
                <w:rFonts w:ascii="Calibri" w:hAnsi="Calibri"/>
              </w:rPr>
            </w:pPr>
            <w:r>
              <w:rPr>
                <w:rFonts w:ascii="Calibri" w:hAnsi="Calibri"/>
                <w:b/>
              </w:rPr>
              <w:t>Target</w:t>
            </w:r>
          </w:p>
        </w:tc>
      </w:tr>
      <w:tr w:rsidR="00520137" w:rsidTr="00BB214A">
        <w:trPr>
          <w:cantSplit/>
        </w:trPr>
        <w:tc>
          <w:tcPr>
            <w:tcW w:w="1010" w:type="dxa"/>
          </w:tcPr>
          <w:p w:rsidR="00520137" w:rsidRPr="004A6952" w:rsidRDefault="00520137" w:rsidP="00BB214A">
            <w:pPr>
              <w:jc w:val="both"/>
              <w:rPr>
                <w:rFonts w:ascii="Calibri" w:hAnsi="Calibri"/>
                <w:b/>
                <w:sz w:val="20"/>
                <w:szCs w:val="20"/>
              </w:rPr>
            </w:pPr>
            <w:r w:rsidRPr="004A6952">
              <w:rPr>
                <w:rFonts w:ascii="Calibri" w:hAnsi="Calibri"/>
                <w:b/>
                <w:sz w:val="20"/>
                <w:szCs w:val="20"/>
              </w:rPr>
              <w:t>Output</w:t>
            </w:r>
          </w:p>
        </w:tc>
        <w:tc>
          <w:tcPr>
            <w:tcW w:w="2230" w:type="dxa"/>
          </w:tcPr>
          <w:p w:rsidR="00520137" w:rsidRPr="00C613E5" w:rsidRDefault="00520137" w:rsidP="00BB214A">
            <w:pPr>
              <w:rPr>
                <w:rFonts w:ascii="Calibri" w:hAnsi="Calibri"/>
                <w:sz w:val="18"/>
                <w:szCs w:val="18"/>
              </w:rPr>
            </w:pPr>
            <w:r w:rsidRPr="00C613E5">
              <w:rPr>
                <w:rFonts w:ascii="Calibri" w:hAnsi="Calibri"/>
                <w:sz w:val="18"/>
                <w:szCs w:val="18"/>
              </w:rPr>
              <w:t>Number of cases terminated during the year</w:t>
            </w:r>
          </w:p>
        </w:tc>
        <w:tc>
          <w:tcPr>
            <w:tcW w:w="900" w:type="dxa"/>
          </w:tcPr>
          <w:p w:rsidR="00520137" w:rsidRPr="007214FD" w:rsidRDefault="00520137" w:rsidP="00BB214A">
            <w:pPr>
              <w:jc w:val="center"/>
              <w:rPr>
                <w:rFonts w:ascii="Calibri" w:hAnsi="Calibri"/>
                <w:sz w:val="8"/>
                <w:szCs w:val="8"/>
              </w:rPr>
            </w:pPr>
          </w:p>
          <w:p w:rsidR="00520137" w:rsidRPr="007214FD" w:rsidRDefault="00520137" w:rsidP="00BB214A">
            <w:pPr>
              <w:jc w:val="center"/>
              <w:rPr>
                <w:rFonts w:ascii="Calibri" w:hAnsi="Calibri"/>
                <w:sz w:val="20"/>
                <w:szCs w:val="20"/>
              </w:rPr>
            </w:pPr>
            <w:r w:rsidRPr="007214FD">
              <w:rPr>
                <w:rFonts w:ascii="Calibri" w:hAnsi="Calibri"/>
                <w:sz w:val="20"/>
                <w:szCs w:val="20"/>
              </w:rPr>
              <w:t>12,231</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12,154</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15,101</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15,727</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15,435</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17,147</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22,939</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16,554</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1</w:t>
            </w:r>
            <w:r>
              <w:rPr>
                <w:rFonts w:ascii="Calibri" w:hAnsi="Calibri"/>
                <w:sz w:val="20"/>
                <w:szCs w:val="20"/>
              </w:rPr>
              <w:t>4,889</w:t>
            </w:r>
          </w:p>
        </w:tc>
        <w:tc>
          <w:tcPr>
            <w:tcW w:w="900" w:type="dxa"/>
            <w:shd w:val="clear" w:color="auto" w:fill="D9D9D9" w:themeFill="background1" w:themeFillShade="D9"/>
            <w:vAlign w:val="center"/>
          </w:tcPr>
          <w:p w:rsidR="00520137" w:rsidRPr="00EC3560" w:rsidRDefault="00447681" w:rsidP="00BB214A">
            <w:pPr>
              <w:jc w:val="center"/>
              <w:rPr>
                <w:rFonts w:ascii="Calibri" w:hAnsi="Calibri"/>
                <w:sz w:val="20"/>
                <w:szCs w:val="20"/>
              </w:rPr>
            </w:pPr>
            <w:r>
              <w:rPr>
                <w:rFonts w:ascii="Calibri" w:hAnsi="Calibri"/>
                <w:sz w:val="20"/>
                <w:szCs w:val="20"/>
              </w:rPr>
              <w:t>15,711</w:t>
            </w:r>
          </w:p>
        </w:tc>
        <w:tc>
          <w:tcPr>
            <w:tcW w:w="900" w:type="dxa"/>
            <w:vAlign w:val="center"/>
          </w:tcPr>
          <w:p w:rsidR="00520137" w:rsidRPr="00447681" w:rsidRDefault="00447681" w:rsidP="00BB214A">
            <w:pPr>
              <w:jc w:val="center"/>
              <w:rPr>
                <w:rFonts w:ascii="Calibri" w:hAnsi="Calibri"/>
                <w:sz w:val="20"/>
                <w:szCs w:val="20"/>
              </w:rPr>
            </w:pPr>
            <w:r w:rsidRPr="00447681">
              <w:rPr>
                <w:rFonts w:ascii="Calibri" w:hAnsi="Calibri"/>
                <w:sz w:val="20"/>
                <w:szCs w:val="20"/>
              </w:rPr>
              <w:t>18,063</w:t>
            </w:r>
          </w:p>
        </w:tc>
        <w:tc>
          <w:tcPr>
            <w:tcW w:w="900" w:type="dxa"/>
            <w:vAlign w:val="center"/>
          </w:tcPr>
          <w:p w:rsidR="00520137" w:rsidRPr="00447681" w:rsidRDefault="00447681" w:rsidP="00BB214A">
            <w:pPr>
              <w:jc w:val="center"/>
              <w:rPr>
                <w:rFonts w:ascii="Calibri" w:hAnsi="Calibri"/>
                <w:sz w:val="20"/>
                <w:szCs w:val="20"/>
              </w:rPr>
            </w:pPr>
            <w:r w:rsidRPr="00447681">
              <w:rPr>
                <w:rFonts w:ascii="Calibri" w:hAnsi="Calibri"/>
                <w:sz w:val="20"/>
                <w:szCs w:val="20"/>
              </w:rPr>
              <w:t>13,710</w:t>
            </w:r>
          </w:p>
        </w:tc>
      </w:tr>
      <w:tr w:rsidR="00520137" w:rsidTr="00BB214A">
        <w:trPr>
          <w:cantSplit/>
        </w:trPr>
        <w:tc>
          <w:tcPr>
            <w:tcW w:w="14040" w:type="dxa"/>
            <w:gridSpan w:val="14"/>
          </w:tcPr>
          <w:p w:rsidR="00520137" w:rsidRPr="004A6952" w:rsidRDefault="00520137" w:rsidP="00BB214A">
            <w:pPr>
              <w:jc w:val="both"/>
              <w:rPr>
                <w:rFonts w:ascii="Calibri" w:hAnsi="Calibri"/>
                <w:color w:val="632423" w:themeColor="accent2" w:themeShade="80"/>
              </w:rPr>
            </w:pPr>
            <w:r w:rsidRPr="004A6952">
              <w:rPr>
                <w:rFonts w:ascii="Calibri" w:hAnsi="Calibri"/>
                <w:b/>
                <w:color w:val="632423" w:themeColor="accent2" w:themeShade="80"/>
                <w:sz w:val="26"/>
                <w:szCs w:val="26"/>
              </w:rPr>
              <w:t>Civil Division Performance Measures</w:t>
            </w:r>
            <w:r w:rsidRPr="004A6952">
              <w:rPr>
                <w:rFonts w:ascii="Calibri" w:hAnsi="Calibri"/>
                <w:color w:val="632423" w:themeColor="accent2" w:themeShade="80"/>
              </w:rPr>
              <w:t xml:space="preserve"> (Excludes VICP and RECA)</w:t>
            </w:r>
          </w:p>
        </w:tc>
      </w:tr>
      <w:tr w:rsidR="00520137" w:rsidTr="00BB214A">
        <w:trPr>
          <w:cantSplit/>
        </w:trPr>
        <w:tc>
          <w:tcPr>
            <w:tcW w:w="1010" w:type="dxa"/>
            <w:vMerge w:val="restart"/>
          </w:tcPr>
          <w:p w:rsidR="00520137" w:rsidRPr="004A6952" w:rsidRDefault="00520137" w:rsidP="00BB214A">
            <w:pPr>
              <w:jc w:val="both"/>
              <w:rPr>
                <w:rFonts w:ascii="Calibri" w:hAnsi="Calibri"/>
                <w:b/>
                <w:sz w:val="20"/>
                <w:szCs w:val="20"/>
              </w:rPr>
            </w:pPr>
            <w:r w:rsidRPr="004A6952">
              <w:rPr>
                <w:rFonts w:ascii="Calibri" w:hAnsi="Calibri"/>
                <w:b/>
                <w:sz w:val="20"/>
                <w:szCs w:val="20"/>
              </w:rPr>
              <w:t>Outcome</w:t>
            </w:r>
          </w:p>
        </w:tc>
        <w:tc>
          <w:tcPr>
            <w:tcW w:w="2230" w:type="dxa"/>
          </w:tcPr>
          <w:p w:rsidR="00520137" w:rsidRPr="00C613E5" w:rsidRDefault="00520137" w:rsidP="00BB214A">
            <w:pPr>
              <w:rPr>
                <w:rFonts w:ascii="Calibri" w:hAnsi="Calibri"/>
                <w:sz w:val="18"/>
                <w:szCs w:val="18"/>
              </w:rPr>
            </w:pPr>
            <w:r w:rsidRPr="00C613E5">
              <w:rPr>
                <w:rFonts w:ascii="Calibri" w:hAnsi="Calibri"/>
                <w:sz w:val="18"/>
                <w:szCs w:val="18"/>
              </w:rPr>
              <w:t>Percent of cases favorably resolved</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93%</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94%</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93%</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90%</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93%</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89%</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91%</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93%</w:t>
            </w:r>
          </w:p>
        </w:tc>
        <w:tc>
          <w:tcPr>
            <w:tcW w:w="900" w:type="dxa"/>
            <w:vAlign w:val="center"/>
          </w:tcPr>
          <w:p w:rsidR="00520137" w:rsidRDefault="00520137" w:rsidP="00BB214A">
            <w:pPr>
              <w:jc w:val="center"/>
              <w:rPr>
                <w:rFonts w:ascii="Calibri" w:hAnsi="Calibri"/>
              </w:rPr>
            </w:pPr>
            <w:r>
              <w:rPr>
                <w:rFonts w:ascii="Calibri" w:hAnsi="Calibri"/>
                <w:sz w:val="20"/>
                <w:szCs w:val="20"/>
              </w:rPr>
              <w:t>80</w:t>
            </w:r>
            <w:r w:rsidRPr="007214FD">
              <w:rPr>
                <w:rFonts w:ascii="Calibri" w:hAnsi="Calibri"/>
                <w:sz w:val="20"/>
                <w:szCs w:val="20"/>
              </w:rPr>
              <w:t>%</w:t>
            </w:r>
          </w:p>
        </w:tc>
        <w:tc>
          <w:tcPr>
            <w:tcW w:w="900" w:type="dxa"/>
            <w:shd w:val="clear" w:color="auto" w:fill="D9D9D9" w:themeFill="background1" w:themeFillShade="D9"/>
            <w:vAlign w:val="center"/>
          </w:tcPr>
          <w:p w:rsidR="00520137" w:rsidRPr="00EC3560" w:rsidRDefault="00520137" w:rsidP="00BB214A">
            <w:pPr>
              <w:jc w:val="center"/>
              <w:rPr>
                <w:rFonts w:ascii="Calibri" w:hAnsi="Calibri"/>
                <w:sz w:val="20"/>
                <w:szCs w:val="20"/>
              </w:rPr>
            </w:pPr>
            <w:r w:rsidRPr="00D26430">
              <w:rPr>
                <w:rFonts w:ascii="Calibri" w:hAnsi="Calibri"/>
                <w:sz w:val="20"/>
                <w:szCs w:val="20"/>
              </w:rPr>
              <w:t>92%</w:t>
            </w:r>
          </w:p>
        </w:tc>
        <w:tc>
          <w:tcPr>
            <w:tcW w:w="900" w:type="dxa"/>
            <w:vAlign w:val="center"/>
          </w:tcPr>
          <w:p w:rsidR="00520137" w:rsidRDefault="00520137" w:rsidP="00BB214A">
            <w:pPr>
              <w:jc w:val="center"/>
              <w:rPr>
                <w:rFonts w:ascii="Calibri" w:hAnsi="Calibri"/>
              </w:rPr>
            </w:pPr>
            <w:r>
              <w:rPr>
                <w:rFonts w:ascii="Calibri" w:hAnsi="Calibri"/>
                <w:sz w:val="20"/>
                <w:szCs w:val="20"/>
              </w:rPr>
              <w:t>80</w:t>
            </w:r>
            <w:r w:rsidRPr="007214FD">
              <w:rPr>
                <w:rFonts w:ascii="Calibri" w:hAnsi="Calibri"/>
                <w:sz w:val="20"/>
                <w:szCs w:val="20"/>
              </w:rPr>
              <w:t>%</w:t>
            </w:r>
          </w:p>
        </w:tc>
        <w:tc>
          <w:tcPr>
            <w:tcW w:w="900" w:type="dxa"/>
            <w:vAlign w:val="center"/>
          </w:tcPr>
          <w:p w:rsidR="00520137" w:rsidRDefault="00520137" w:rsidP="00BB214A">
            <w:pPr>
              <w:jc w:val="center"/>
              <w:rPr>
                <w:rFonts w:ascii="Calibri" w:hAnsi="Calibri"/>
              </w:rPr>
            </w:pPr>
            <w:r>
              <w:rPr>
                <w:rFonts w:ascii="Calibri" w:hAnsi="Calibri"/>
                <w:sz w:val="20"/>
                <w:szCs w:val="20"/>
              </w:rPr>
              <w:t>80</w:t>
            </w:r>
            <w:r w:rsidRPr="007214FD">
              <w:rPr>
                <w:rFonts w:ascii="Calibri" w:hAnsi="Calibri"/>
                <w:sz w:val="20"/>
                <w:szCs w:val="20"/>
              </w:rPr>
              <w:t>%</w:t>
            </w:r>
          </w:p>
        </w:tc>
      </w:tr>
      <w:tr w:rsidR="00520137" w:rsidTr="00BB214A">
        <w:trPr>
          <w:cantSplit/>
        </w:trPr>
        <w:tc>
          <w:tcPr>
            <w:tcW w:w="1010" w:type="dxa"/>
            <w:vMerge/>
          </w:tcPr>
          <w:p w:rsidR="00520137" w:rsidRDefault="00520137" w:rsidP="00BB214A">
            <w:pPr>
              <w:jc w:val="both"/>
              <w:rPr>
                <w:rFonts w:ascii="Calibri" w:hAnsi="Calibri"/>
              </w:rPr>
            </w:pPr>
          </w:p>
        </w:tc>
        <w:tc>
          <w:tcPr>
            <w:tcW w:w="2230" w:type="dxa"/>
          </w:tcPr>
          <w:p w:rsidR="00520137" w:rsidRPr="00C613E5" w:rsidRDefault="00520137" w:rsidP="00BB214A">
            <w:pPr>
              <w:rPr>
                <w:rFonts w:ascii="Calibri" w:hAnsi="Calibri"/>
                <w:sz w:val="18"/>
                <w:szCs w:val="18"/>
              </w:rPr>
            </w:pPr>
            <w:r w:rsidRPr="00C613E5">
              <w:rPr>
                <w:rFonts w:ascii="Calibri" w:hAnsi="Calibri"/>
                <w:sz w:val="18"/>
                <w:szCs w:val="18"/>
              </w:rPr>
              <w:t>Percent of defensive cases in which at least 85 percent of the claim is defeated</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86%</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89%</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90%</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90%</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91%</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91%</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90%</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88%</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80%</w:t>
            </w:r>
          </w:p>
        </w:tc>
        <w:tc>
          <w:tcPr>
            <w:tcW w:w="900" w:type="dxa"/>
            <w:shd w:val="clear" w:color="auto" w:fill="D9D9D9" w:themeFill="background1" w:themeFillShade="D9"/>
            <w:vAlign w:val="center"/>
          </w:tcPr>
          <w:p w:rsidR="00520137" w:rsidRPr="00EC3560" w:rsidRDefault="00520137" w:rsidP="00BB214A">
            <w:pPr>
              <w:jc w:val="center"/>
              <w:rPr>
                <w:rFonts w:ascii="Calibri" w:hAnsi="Calibri"/>
                <w:sz w:val="20"/>
                <w:szCs w:val="20"/>
              </w:rPr>
            </w:pPr>
            <w:r w:rsidRPr="005E069C">
              <w:rPr>
                <w:rFonts w:ascii="Calibri" w:hAnsi="Calibri"/>
                <w:sz w:val="20"/>
                <w:szCs w:val="20"/>
              </w:rPr>
              <w:t>85%</w:t>
            </w:r>
          </w:p>
        </w:tc>
        <w:tc>
          <w:tcPr>
            <w:tcW w:w="900" w:type="dxa"/>
            <w:vAlign w:val="center"/>
          </w:tcPr>
          <w:p w:rsidR="00520137" w:rsidRDefault="00520137" w:rsidP="00BB214A">
            <w:pPr>
              <w:jc w:val="center"/>
              <w:rPr>
                <w:rFonts w:ascii="Calibri" w:hAnsi="Calibri"/>
              </w:rPr>
            </w:pPr>
            <w:r w:rsidRPr="007214FD">
              <w:rPr>
                <w:rFonts w:ascii="Calibri" w:hAnsi="Calibri"/>
                <w:sz w:val="20"/>
                <w:szCs w:val="20"/>
              </w:rPr>
              <w:t>80%</w:t>
            </w:r>
          </w:p>
        </w:tc>
        <w:tc>
          <w:tcPr>
            <w:tcW w:w="900" w:type="dxa"/>
            <w:vAlign w:val="center"/>
          </w:tcPr>
          <w:p w:rsidR="00520137" w:rsidRDefault="00520137" w:rsidP="00BB214A">
            <w:pPr>
              <w:jc w:val="center"/>
              <w:rPr>
                <w:rFonts w:ascii="Calibri" w:hAnsi="Calibri"/>
              </w:rPr>
            </w:pPr>
            <w:r w:rsidRPr="007214FD">
              <w:rPr>
                <w:rFonts w:ascii="Calibri" w:hAnsi="Calibri"/>
                <w:sz w:val="20"/>
                <w:szCs w:val="20"/>
              </w:rPr>
              <w:t>80%</w:t>
            </w:r>
          </w:p>
        </w:tc>
      </w:tr>
      <w:tr w:rsidR="00520137" w:rsidTr="00BB214A">
        <w:trPr>
          <w:cantSplit/>
        </w:trPr>
        <w:tc>
          <w:tcPr>
            <w:tcW w:w="1010" w:type="dxa"/>
            <w:vMerge/>
          </w:tcPr>
          <w:p w:rsidR="00520137" w:rsidRDefault="00520137" w:rsidP="00BB214A">
            <w:pPr>
              <w:jc w:val="both"/>
              <w:rPr>
                <w:rFonts w:ascii="Calibri" w:hAnsi="Calibri"/>
              </w:rPr>
            </w:pPr>
          </w:p>
        </w:tc>
        <w:tc>
          <w:tcPr>
            <w:tcW w:w="2230" w:type="dxa"/>
          </w:tcPr>
          <w:p w:rsidR="00520137" w:rsidRPr="00C613E5" w:rsidRDefault="00520137" w:rsidP="00BB214A">
            <w:pPr>
              <w:rPr>
                <w:rFonts w:ascii="Calibri" w:hAnsi="Calibri"/>
                <w:sz w:val="18"/>
                <w:szCs w:val="18"/>
              </w:rPr>
            </w:pPr>
            <w:r w:rsidRPr="00C613E5">
              <w:rPr>
                <w:rFonts w:ascii="Calibri" w:hAnsi="Calibri"/>
                <w:sz w:val="18"/>
                <w:szCs w:val="18"/>
              </w:rPr>
              <w:t>Percent of affirmative cases in which at least 85 percent of the claim is recovered</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64%</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66%</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65%</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72%</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72%</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68%</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64%</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63%</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60%</w:t>
            </w:r>
          </w:p>
        </w:tc>
        <w:tc>
          <w:tcPr>
            <w:tcW w:w="900" w:type="dxa"/>
            <w:shd w:val="clear" w:color="auto" w:fill="D9D9D9" w:themeFill="background1" w:themeFillShade="D9"/>
            <w:vAlign w:val="center"/>
          </w:tcPr>
          <w:p w:rsidR="00520137" w:rsidRPr="007214FD" w:rsidRDefault="00520137" w:rsidP="00BB214A">
            <w:pPr>
              <w:jc w:val="center"/>
              <w:rPr>
                <w:rFonts w:ascii="Calibri" w:hAnsi="Calibri"/>
                <w:sz w:val="20"/>
                <w:szCs w:val="20"/>
              </w:rPr>
            </w:pPr>
            <w:r w:rsidRPr="005E069C">
              <w:rPr>
                <w:rFonts w:ascii="Calibri" w:hAnsi="Calibri"/>
                <w:sz w:val="20"/>
                <w:szCs w:val="20"/>
              </w:rPr>
              <w:t>74%</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60%</w:t>
            </w:r>
          </w:p>
        </w:tc>
        <w:tc>
          <w:tcPr>
            <w:tcW w:w="900" w:type="dxa"/>
            <w:vAlign w:val="center"/>
          </w:tcPr>
          <w:p w:rsidR="00520137" w:rsidRDefault="00520137" w:rsidP="00BB214A">
            <w:pPr>
              <w:jc w:val="center"/>
              <w:rPr>
                <w:rFonts w:ascii="Calibri" w:hAnsi="Calibri"/>
              </w:rPr>
            </w:pPr>
            <w:r w:rsidRPr="007214FD">
              <w:rPr>
                <w:rFonts w:ascii="Calibri" w:hAnsi="Calibri"/>
                <w:sz w:val="20"/>
                <w:szCs w:val="20"/>
              </w:rPr>
              <w:t>60%</w:t>
            </w:r>
          </w:p>
        </w:tc>
      </w:tr>
      <w:tr w:rsidR="00520137" w:rsidTr="00BB214A">
        <w:trPr>
          <w:cantSplit/>
        </w:trPr>
        <w:tc>
          <w:tcPr>
            <w:tcW w:w="1010" w:type="dxa"/>
            <w:vMerge/>
          </w:tcPr>
          <w:p w:rsidR="00520137" w:rsidRDefault="00520137" w:rsidP="00BB214A">
            <w:pPr>
              <w:jc w:val="both"/>
              <w:rPr>
                <w:rFonts w:ascii="Calibri" w:hAnsi="Calibri"/>
              </w:rPr>
            </w:pPr>
          </w:p>
        </w:tc>
        <w:tc>
          <w:tcPr>
            <w:tcW w:w="2230" w:type="dxa"/>
          </w:tcPr>
          <w:p w:rsidR="00520137" w:rsidRPr="00C613E5" w:rsidRDefault="00520137" w:rsidP="00BB214A">
            <w:pPr>
              <w:rPr>
                <w:rFonts w:ascii="Calibri" w:hAnsi="Calibri"/>
                <w:sz w:val="18"/>
                <w:szCs w:val="18"/>
              </w:rPr>
            </w:pPr>
            <w:r w:rsidRPr="00C613E5">
              <w:rPr>
                <w:rFonts w:ascii="Calibri" w:hAnsi="Calibri"/>
                <w:sz w:val="18"/>
                <w:szCs w:val="18"/>
              </w:rPr>
              <w:t>Percent of favorable resolutions in non-monetary trial cases</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85%</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86%</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84%</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89%</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92%</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86%</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90%</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90%</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80%</w:t>
            </w:r>
          </w:p>
        </w:tc>
        <w:tc>
          <w:tcPr>
            <w:tcW w:w="900" w:type="dxa"/>
            <w:shd w:val="clear" w:color="auto" w:fill="D9D9D9" w:themeFill="background1" w:themeFillShade="D9"/>
            <w:vAlign w:val="center"/>
          </w:tcPr>
          <w:p w:rsidR="00520137" w:rsidRPr="007214FD" w:rsidRDefault="00520137" w:rsidP="00BB214A">
            <w:pPr>
              <w:jc w:val="center"/>
              <w:rPr>
                <w:rFonts w:ascii="Calibri" w:hAnsi="Calibri"/>
                <w:sz w:val="20"/>
                <w:szCs w:val="20"/>
              </w:rPr>
            </w:pPr>
            <w:r w:rsidRPr="005E069C">
              <w:rPr>
                <w:rFonts w:ascii="Calibri" w:hAnsi="Calibri"/>
                <w:sz w:val="20"/>
                <w:szCs w:val="20"/>
              </w:rPr>
              <w:t>93%</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80%</w:t>
            </w:r>
          </w:p>
        </w:tc>
        <w:tc>
          <w:tcPr>
            <w:tcW w:w="900" w:type="dxa"/>
            <w:vAlign w:val="center"/>
          </w:tcPr>
          <w:p w:rsidR="00520137" w:rsidRDefault="00520137" w:rsidP="00BB214A">
            <w:pPr>
              <w:jc w:val="center"/>
              <w:rPr>
                <w:rFonts w:ascii="Calibri" w:hAnsi="Calibri"/>
              </w:rPr>
            </w:pPr>
            <w:r w:rsidRPr="007214FD">
              <w:rPr>
                <w:rFonts w:ascii="Calibri" w:hAnsi="Calibri"/>
                <w:sz w:val="20"/>
                <w:szCs w:val="20"/>
              </w:rPr>
              <w:t>80%</w:t>
            </w:r>
          </w:p>
        </w:tc>
      </w:tr>
      <w:tr w:rsidR="00520137" w:rsidTr="00BB214A">
        <w:trPr>
          <w:cantSplit/>
        </w:trPr>
        <w:tc>
          <w:tcPr>
            <w:tcW w:w="1010" w:type="dxa"/>
            <w:vMerge/>
          </w:tcPr>
          <w:p w:rsidR="00520137" w:rsidRDefault="00520137" w:rsidP="00BB214A">
            <w:pPr>
              <w:jc w:val="both"/>
              <w:rPr>
                <w:rFonts w:ascii="Calibri" w:hAnsi="Calibri"/>
              </w:rPr>
            </w:pPr>
          </w:p>
        </w:tc>
        <w:tc>
          <w:tcPr>
            <w:tcW w:w="2230" w:type="dxa"/>
          </w:tcPr>
          <w:p w:rsidR="00520137" w:rsidRPr="00C613E5" w:rsidRDefault="00520137" w:rsidP="00BB214A">
            <w:pPr>
              <w:rPr>
                <w:rFonts w:ascii="Calibri" w:hAnsi="Calibri"/>
                <w:sz w:val="18"/>
                <w:szCs w:val="18"/>
              </w:rPr>
            </w:pPr>
            <w:r w:rsidRPr="00C613E5">
              <w:rPr>
                <w:rFonts w:ascii="Calibri" w:hAnsi="Calibri"/>
                <w:sz w:val="18"/>
                <w:szCs w:val="18"/>
              </w:rPr>
              <w:t>Percent of favorable resolutions in non-monetary appellate cases</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89%</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92%</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93%</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91%</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87%</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87%</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90%</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92%</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85%</w:t>
            </w:r>
          </w:p>
        </w:tc>
        <w:tc>
          <w:tcPr>
            <w:tcW w:w="900" w:type="dxa"/>
            <w:shd w:val="clear" w:color="auto" w:fill="D9D9D9" w:themeFill="background1" w:themeFillShade="D9"/>
            <w:vAlign w:val="center"/>
          </w:tcPr>
          <w:p w:rsidR="00520137" w:rsidRPr="007214FD" w:rsidRDefault="00520137" w:rsidP="00BB214A">
            <w:pPr>
              <w:jc w:val="center"/>
              <w:rPr>
                <w:rFonts w:ascii="Calibri" w:hAnsi="Calibri"/>
                <w:sz w:val="20"/>
                <w:szCs w:val="20"/>
              </w:rPr>
            </w:pPr>
            <w:r w:rsidRPr="005E069C">
              <w:rPr>
                <w:rFonts w:ascii="Calibri" w:hAnsi="Calibri"/>
                <w:sz w:val="20"/>
                <w:szCs w:val="20"/>
              </w:rPr>
              <w:t>92%</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85%</w:t>
            </w:r>
          </w:p>
        </w:tc>
        <w:tc>
          <w:tcPr>
            <w:tcW w:w="900" w:type="dxa"/>
            <w:vAlign w:val="center"/>
          </w:tcPr>
          <w:p w:rsidR="00520137" w:rsidRDefault="00520137" w:rsidP="00BB214A">
            <w:pPr>
              <w:jc w:val="center"/>
              <w:rPr>
                <w:rFonts w:ascii="Calibri" w:hAnsi="Calibri"/>
              </w:rPr>
            </w:pPr>
            <w:r w:rsidRPr="007214FD">
              <w:rPr>
                <w:rFonts w:ascii="Calibri" w:hAnsi="Calibri"/>
                <w:sz w:val="20"/>
                <w:szCs w:val="20"/>
              </w:rPr>
              <w:t>85%</w:t>
            </w:r>
          </w:p>
        </w:tc>
      </w:tr>
      <w:tr w:rsidR="00520137" w:rsidTr="00BB214A">
        <w:trPr>
          <w:cantSplit/>
        </w:trPr>
        <w:tc>
          <w:tcPr>
            <w:tcW w:w="1010" w:type="dxa"/>
            <w:tcBorders>
              <w:bottom w:val="single" w:sz="4" w:space="0" w:color="auto"/>
            </w:tcBorders>
          </w:tcPr>
          <w:p w:rsidR="00520137" w:rsidRPr="004A6952" w:rsidRDefault="00520137" w:rsidP="00BB214A">
            <w:pPr>
              <w:jc w:val="both"/>
              <w:rPr>
                <w:rFonts w:ascii="Calibri" w:hAnsi="Calibri"/>
                <w:b/>
                <w:sz w:val="20"/>
                <w:szCs w:val="20"/>
              </w:rPr>
            </w:pPr>
            <w:r w:rsidRPr="004A6952">
              <w:rPr>
                <w:rFonts w:ascii="Calibri" w:hAnsi="Calibri"/>
                <w:b/>
                <w:sz w:val="20"/>
                <w:szCs w:val="20"/>
              </w:rPr>
              <w:t>Efficiency</w:t>
            </w:r>
          </w:p>
        </w:tc>
        <w:tc>
          <w:tcPr>
            <w:tcW w:w="2230" w:type="dxa"/>
            <w:tcBorders>
              <w:bottom w:val="single" w:sz="4" w:space="0" w:color="auto"/>
            </w:tcBorders>
          </w:tcPr>
          <w:p w:rsidR="00520137" w:rsidRPr="00C613E5" w:rsidRDefault="00520137" w:rsidP="00BB214A">
            <w:pPr>
              <w:rPr>
                <w:rFonts w:ascii="Calibri" w:hAnsi="Calibri"/>
                <w:sz w:val="18"/>
                <w:szCs w:val="18"/>
              </w:rPr>
            </w:pPr>
            <w:r w:rsidRPr="00C613E5">
              <w:rPr>
                <w:rFonts w:ascii="Calibri" w:hAnsi="Calibri"/>
                <w:sz w:val="18"/>
                <w:szCs w:val="18"/>
              </w:rPr>
              <w:t>Ratio of dollars defeated and recovered to dollars obligated for litigation</w:t>
            </w:r>
          </w:p>
        </w:tc>
        <w:tc>
          <w:tcPr>
            <w:tcW w:w="900" w:type="dxa"/>
            <w:tcBorders>
              <w:bottom w:val="single" w:sz="4" w:space="0" w:color="auto"/>
            </w:tcBorders>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$79</w:t>
            </w:r>
          </w:p>
        </w:tc>
        <w:tc>
          <w:tcPr>
            <w:tcW w:w="900" w:type="dxa"/>
            <w:tcBorders>
              <w:bottom w:val="single" w:sz="4" w:space="0" w:color="auto"/>
            </w:tcBorders>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$64</w:t>
            </w:r>
          </w:p>
        </w:tc>
        <w:tc>
          <w:tcPr>
            <w:tcW w:w="900" w:type="dxa"/>
            <w:tcBorders>
              <w:bottom w:val="single" w:sz="4" w:space="0" w:color="auto"/>
            </w:tcBorders>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$67</w:t>
            </w:r>
          </w:p>
        </w:tc>
        <w:tc>
          <w:tcPr>
            <w:tcW w:w="900" w:type="dxa"/>
            <w:tcBorders>
              <w:bottom w:val="single" w:sz="4" w:space="0" w:color="auto"/>
            </w:tcBorders>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$60</w:t>
            </w:r>
          </w:p>
        </w:tc>
        <w:tc>
          <w:tcPr>
            <w:tcW w:w="900" w:type="dxa"/>
            <w:tcBorders>
              <w:bottom w:val="single" w:sz="4" w:space="0" w:color="auto"/>
            </w:tcBorders>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$60</w:t>
            </w:r>
          </w:p>
        </w:tc>
        <w:tc>
          <w:tcPr>
            <w:tcW w:w="900" w:type="dxa"/>
            <w:tcBorders>
              <w:bottom w:val="single" w:sz="4" w:space="0" w:color="auto"/>
            </w:tcBorders>
            <w:vAlign w:val="center"/>
          </w:tcPr>
          <w:p w:rsidR="00520137" w:rsidRPr="007214FD" w:rsidRDefault="00520137" w:rsidP="00BB214A">
            <w:pPr>
              <w:jc w:val="center"/>
              <w:rPr>
                <w:rFonts w:ascii="Calibri" w:hAnsi="Calibri"/>
                <w:sz w:val="20"/>
                <w:szCs w:val="20"/>
                <w:highlight w:val="yellow"/>
              </w:rPr>
            </w:pPr>
            <w:r w:rsidRPr="007214FD">
              <w:rPr>
                <w:rFonts w:ascii="Calibri" w:hAnsi="Calibri"/>
                <w:sz w:val="20"/>
                <w:szCs w:val="20"/>
              </w:rPr>
              <w:t>$49</w:t>
            </w:r>
          </w:p>
        </w:tc>
        <w:tc>
          <w:tcPr>
            <w:tcW w:w="900" w:type="dxa"/>
            <w:tcBorders>
              <w:bottom w:val="single" w:sz="4" w:space="0" w:color="auto"/>
            </w:tcBorders>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$37</w:t>
            </w:r>
          </w:p>
        </w:tc>
        <w:tc>
          <w:tcPr>
            <w:tcW w:w="900" w:type="dxa"/>
            <w:tcBorders>
              <w:bottom w:val="single" w:sz="4" w:space="0" w:color="auto"/>
            </w:tcBorders>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$70</w:t>
            </w:r>
          </w:p>
        </w:tc>
        <w:tc>
          <w:tcPr>
            <w:tcW w:w="900" w:type="dxa"/>
            <w:tcBorders>
              <w:bottom w:val="single" w:sz="4" w:space="0" w:color="auto"/>
            </w:tcBorders>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$4</w:t>
            </w:r>
            <w:r>
              <w:rPr>
                <w:rFonts w:ascii="Calibri" w:hAnsi="Calibri"/>
                <w:sz w:val="20"/>
                <w:szCs w:val="20"/>
              </w:rPr>
              <w:t>4</w:t>
            </w:r>
          </w:p>
        </w:tc>
        <w:tc>
          <w:tcPr>
            <w:tcW w:w="900" w:type="dxa"/>
            <w:tcBorders>
              <w:bottom w:val="single" w:sz="4" w:space="0" w:color="auto"/>
            </w:tcBorders>
            <w:shd w:val="clear" w:color="auto" w:fill="D9D9D9" w:themeFill="background1" w:themeFillShade="D9"/>
            <w:vAlign w:val="center"/>
          </w:tcPr>
          <w:p w:rsidR="00520137" w:rsidRPr="007214FD" w:rsidRDefault="00520137" w:rsidP="00BB214A">
            <w:pPr>
              <w:jc w:val="center"/>
              <w:rPr>
                <w:rFonts w:ascii="Calibri" w:hAnsi="Calibri"/>
                <w:sz w:val="20"/>
                <w:szCs w:val="20"/>
              </w:rPr>
            </w:pPr>
            <w:r w:rsidRPr="005E069C">
              <w:rPr>
                <w:rFonts w:ascii="Calibri" w:hAnsi="Calibri"/>
                <w:sz w:val="20"/>
                <w:szCs w:val="20"/>
              </w:rPr>
              <w:t>$48</w:t>
            </w:r>
          </w:p>
        </w:tc>
        <w:tc>
          <w:tcPr>
            <w:tcW w:w="900" w:type="dxa"/>
            <w:tcBorders>
              <w:bottom w:val="single" w:sz="4" w:space="0" w:color="auto"/>
            </w:tcBorders>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$4</w:t>
            </w:r>
            <w:r>
              <w:rPr>
                <w:rFonts w:ascii="Calibri" w:hAnsi="Calibri"/>
                <w:sz w:val="20"/>
                <w:szCs w:val="20"/>
              </w:rPr>
              <w:t>5</w:t>
            </w:r>
          </w:p>
        </w:tc>
        <w:tc>
          <w:tcPr>
            <w:tcW w:w="900" w:type="dxa"/>
            <w:tcBorders>
              <w:bottom w:val="single" w:sz="4" w:space="0" w:color="auto"/>
            </w:tcBorders>
            <w:vAlign w:val="center"/>
          </w:tcPr>
          <w:p w:rsidR="00520137" w:rsidRDefault="00520137" w:rsidP="00BB214A">
            <w:pPr>
              <w:jc w:val="center"/>
              <w:rPr>
                <w:rFonts w:ascii="Calibri" w:hAnsi="Calibri"/>
              </w:rPr>
            </w:pPr>
            <w:r w:rsidRPr="007214FD">
              <w:rPr>
                <w:rFonts w:ascii="Calibri" w:hAnsi="Calibri"/>
                <w:sz w:val="20"/>
                <w:szCs w:val="20"/>
              </w:rPr>
              <w:t>$4</w:t>
            </w:r>
            <w:r>
              <w:rPr>
                <w:rFonts w:ascii="Calibri" w:hAnsi="Calibri"/>
                <w:sz w:val="20"/>
                <w:szCs w:val="20"/>
              </w:rPr>
              <w:t>6</w:t>
            </w:r>
          </w:p>
        </w:tc>
      </w:tr>
      <w:tr w:rsidR="00520137" w:rsidTr="00BB214A">
        <w:trPr>
          <w:cantSplit/>
        </w:trPr>
        <w:tc>
          <w:tcPr>
            <w:tcW w:w="14040" w:type="dxa"/>
            <w:gridSpan w:val="14"/>
            <w:shd w:val="clear" w:color="auto" w:fill="auto"/>
          </w:tcPr>
          <w:p w:rsidR="00520137" w:rsidRPr="004A6952" w:rsidRDefault="00520137" w:rsidP="00BB214A">
            <w:pPr>
              <w:jc w:val="both"/>
              <w:rPr>
                <w:rFonts w:ascii="Calibri" w:hAnsi="Calibri"/>
                <w:b/>
                <w:color w:val="632423" w:themeColor="accent2" w:themeShade="80"/>
                <w:sz w:val="26"/>
                <w:szCs w:val="26"/>
              </w:rPr>
            </w:pPr>
            <w:r w:rsidRPr="004A6952">
              <w:rPr>
                <w:rFonts w:ascii="Calibri" w:hAnsi="Calibri"/>
                <w:b/>
                <w:color w:val="632423" w:themeColor="accent2" w:themeShade="80"/>
                <w:sz w:val="26"/>
                <w:szCs w:val="26"/>
              </w:rPr>
              <w:t>Vaccine Injury Compensation Program</w:t>
            </w:r>
          </w:p>
        </w:tc>
      </w:tr>
      <w:tr w:rsidR="00520137" w:rsidTr="00BB214A">
        <w:trPr>
          <w:cantSplit/>
        </w:trPr>
        <w:tc>
          <w:tcPr>
            <w:tcW w:w="1010" w:type="dxa"/>
            <w:vMerge w:val="restart"/>
          </w:tcPr>
          <w:p w:rsidR="00520137" w:rsidRPr="004A6952" w:rsidRDefault="00520137" w:rsidP="00BB214A">
            <w:pPr>
              <w:jc w:val="both"/>
              <w:rPr>
                <w:rFonts w:ascii="Calibri" w:hAnsi="Calibri"/>
                <w:b/>
                <w:sz w:val="20"/>
                <w:szCs w:val="20"/>
              </w:rPr>
            </w:pPr>
            <w:r w:rsidRPr="004A6952">
              <w:rPr>
                <w:rFonts w:ascii="Calibri" w:hAnsi="Calibri"/>
                <w:b/>
                <w:sz w:val="20"/>
                <w:szCs w:val="20"/>
              </w:rPr>
              <w:t>Outcome</w:t>
            </w:r>
          </w:p>
        </w:tc>
        <w:tc>
          <w:tcPr>
            <w:tcW w:w="2230" w:type="dxa"/>
          </w:tcPr>
          <w:p w:rsidR="00520137" w:rsidRDefault="00520137" w:rsidP="00BB214A">
            <w:pPr>
              <w:rPr>
                <w:rFonts w:ascii="Calibri" w:hAnsi="Calibri"/>
              </w:rPr>
            </w:pPr>
            <w:r w:rsidRPr="007214FD">
              <w:rPr>
                <w:rFonts w:ascii="Calibri" w:hAnsi="Calibri"/>
                <w:sz w:val="18"/>
                <w:szCs w:val="18"/>
              </w:rPr>
              <w:t>Percentage of cases where the</w:t>
            </w:r>
            <w:r>
              <w:rPr>
                <w:rFonts w:ascii="Calibri" w:hAnsi="Calibri"/>
                <w:sz w:val="18"/>
                <w:szCs w:val="18"/>
              </w:rPr>
              <w:t xml:space="preserve"> </w:t>
            </w:r>
            <w:r w:rsidRPr="007214FD">
              <w:rPr>
                <w:rFonts w:ascii="Calibri" w:hAnsi="Calibri"/>
                <w:sz w:val="18"/>
                <w:szCs w:val="18"/>
              </w:rPr>
              <w:t>deadline for filing the Government’s response to petitioner’s complaint  (the Rule (4b) report) is met once the case has been deemed complete</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N/A</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N/A</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75%</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84%</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82%</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83%</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95%</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94%</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86%</w:t>
            </w:r>
          </w:p>
        </w:tc>
        <w:tc>
          <w:tcPr>
            <w:tcW w:w="900" w:type="dxa"/>
            <w:shd w:val="clear" w:color="auto" w:fill="D9D9D9" w:themeFill="background1" w:themeFillShade="D9"/>
            <w:vAlign w:val="center"/>
          </w:tcPr>
          <w:p w:rsidR="00520137" w:rsidRPr="007214FD" w:rsidRDefault="00520137" w:rsidP="00D26430">
            <w:pPr>
              <w:jc w:val="center"/>
              <w:rPr>
                <w:rFonts w:ascii="Calibri" w:hAnsi="Calibri"/>
                <w:sz w:val="20"/>
                <w:szCs w:val="20"/>
              </w:rPr>
            </w:pPr>
            <w:r w:rsidRPr="00D26430">
              <w:rPr>
                <w:rFonts w:ascii="Calibri" w:hAnsi="Calibri"/>
                <w:sz w:val="20"/>
                <w:szCs w:val="20"/>
              </w:rPr>
              <w:t>9</w:t>
            </w:r>
            <w:r w:rsidR="00D26430" w:rsidRPr="00D26430">
              <w:rPr>
                <w:rFonts w:ascii="Calibri" w:hAnsi="Calibri"/>
                <w:sz w:val="20"/>
                <w:szCs w:val="20"/>
              </w:rPr>
              <w:t>6</w:t>
            </w:r>
            <w:r w:rsidRPr="00D26430">
              <w:rPr>
                <w:rFonts w:ascii="Calibri" w:hAnsi="Calibri"/>
                <w:sz w:val="20"/>
                <w:szCs w:val="20"/>
              </w:rPr>
              <w:t>%</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86%</w:t>
            </w:r>
          </w:p>
        </w:tc>
        <w:tc>
          <w:tcPr>
            <w:tcW w:w="900" w:type="dxa"/>
            <w:vAlign w:val="center"/>
          </w:tcPr>
          <w:p w:rsidR="00520137" w:rsidRDefault="00520137" w:rsidP="00BB214A">
            <w:pPr>
              <w:jc w:val="center"/>
              <w:rPr>
                <w:rFonts w:ascii="Calibri" w:hAnsi="Calibri"/>
              </w:rPr>
            </w:pPr>
            <w:r w:rsidRPr="007214FD">
              <w:rPr>
                <w:rFonts w:ascii="Calibri" w:hAnsi="Calibri"/>
                <w:sz w:val="20"/>
                <w:szCs w:val="20"/>
              </w:rPr>
              <w:t>86%</w:t>
            </w:r>
          </w:p>
        </w:tc>
      </w:tr>
      <w:tr w:rsidR="00520137" w:rsidTr="00BB214A">
        <w:trPr>
          <w:cantSplit/>
        </w:trPr>
        <w:tc>
          <w:tcPr>
            <w:tcW w:w="1010" w:type="dxa"/>
            <w:vMerge/>
          </w:tcPr>
          <w:p w:rsidR="00520137" w:rsidRDefault="00520137" w:rsidP="00BB214A">
            <w:pPr>
              <w:jc w:val="both"/>
              <w:rPr>
                <w:rFonts w:ascii="Calibri" w:hAnsi="Calibri"/>
              </w:rPr>
            </w:pPr>
          </w:p>
        </w:tc>
        <w:tc>
          <w:tcPr>
            <w:tcW w:w="2230" w:type="dxa"/>
          </w:tcPr>
          <w:p w:rsidR="00520137" w:rsidRDefault="00520137" w:rsidP="00BB214A">
            <w:pPr>
              <w:rPr>
                <w:rFonts w:ascii="Calibri" w:hAnsi="Calibri"/>
              </w:rPr>
            </w:pPr>
            <w:r w:rsidRPr="007214FD">
              <w:rPr>
                <w:rFonts w:ascii="Calibri" w:hAnsi="Calibri"/>
                <w:sz w:val="18"/>
                <w:szCs w:val="18"/>
              </w:rPr>
              <w:t>Median time to process an award for damages (in days)</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533</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564.5</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529.5</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484</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335</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483</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445</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637</w:t>
            </w:r>
          </w:p>
        </w:tc>
        <w:tc>
          <w:tcPr>
            <w:tcW w:w="900" w:type="dxa"/>
            <w:vAlign w:val="center"/>
          </w:tcPr>
          <w:p w:rsidR="00520137" w:rsidRPr="007214FD" w:rsidRDefault="00520137" w:rsidP="00BB214A">
            <w:pPr>
              <w:jc w:val="center"/>
              <w:rPr>
                <w:rFonts w:ascii="Calibri" w:hAnsi="Calibri"/>
                <w:sz w:val="20"/>
                <w:szCs w:val="20"/>
              </w:rPr>
            </w:pPr>
            <w:r>
              <w:rPr>
                <w:rFonts w:ascii="Calibri" w:hAnsi="Calibri"/>
                <w:sz w:val="20"/>
                <w:szCs w:val="20"/>
              </w:rPr>
              <w:t>47</w:t>
            </w:r>
            <w:r w:rsidRPr="007214FD">
              <w:rPr>
                <w:rFonts w:ascii="Calibri" w:hAnsi="Calibri"/>
                <w:sz w:val="20"/>
                <w:szCs w:val="20"/>
              </w:rPr>
              <w:t>5</w:t>
            </w:r>
          </w:p>
        </w:tc>
        <w:tc>
          <w:tcPr>
            <w:tcW w:w="900" w:type="dxa"/>
            <w:shd w:val="clear" w:color="auto" w:fill="D9D9D9" w:themeFill="background1" w:themeFillShade="D9"/>
            <w:vAlign w:val="center"/>
          </w:tcPr>
          <w:p w:rsidR="00520137" w:rsidRPr="007214FD" w:rsidRDefault="00D26430" w:rsidP="00BB214A">
            <w:pPr>
              <w:jc w:val="center"/>
              <w:rPr>
                <w:rFonts w:ascii="Calibri" w:hAnsi="Calibri"/>
                <w:sz w:val="20"/>
                <w:szCs w:val="20"/>
              </w:rPr>
            </w:pPr>
            <w:r>
              <w:rPr>
                <w:rFonts w:ascii="Calibri" w:hAnsi="Calibri"/>
                <w:sz w:val="20"/>
                <w:szCs w:val="20"/>
              </w:rPr>
              <w:t>388</w:t>
            </w:r>
          </w:p>
        </w:tc>
        <w:tc>
          <w:tcPr>
            <w:tcW w:w="900" w:type="dxa"/>
            <w:vAlign w:val="center"/>
          </w:tcPr>
          <w:p w:rsidR="00520137" w:rsidRPr="007214FD" w:rsidRDefault="00520137" w:rsidP="00BB214A">
            <w:pPr>
              <w:jc w:val="center"/>
              <w:rPr>
                <w:rFonts w:ascii="Calibri" w:hAnsi="Calibri"/>
                <w:sz w:val="20"/>
                <w:szCs w:val="20"/>
              </w:rPr>
            </w:pPr>
            <w:r>
              <w:rPr>
                <w:rFonts w:ascii="Calibri" w:hAnsi="Calibri"/>
                <w:sz w:val="20"/>
                <w:szCs w:val="20"/>
              </w:rPr>
              <w:t>TBD</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TBD</w:t>
            </w:r>
          </w:p>
        </w:tc>
      </w:tr>
      <w:tr w:rsidR="00520137" w:rsidTr="00BB214A">
        <w:trPr>
          <w:cantSplit/>
        </w:trPr>
        <w:tc>
          <w:tcPr>
            <w:tcW w:w="1010" w:type="dxa"/>
            <w:vMerge/>
          </w:tcPr>
          <w:p w:rsidR="00520137" w:rsidRDefault="00520137" w:rsidP="00BB214A">
            <w:pPr>
              <w:jc w:val="both"/>
              <w:rPr>
                <w:rFonts w:ascii="Calibri" w:hAnsi="Calibri"/>
              </w:rPr>
            </w:pPr>
          </w:p>
        </w:tc>
        <w:tc>
          <w:tcPr>
            <w:tcW w:w="2230" w:type="dxa"/>
          </w:tcPr>
          <w:p w:rsidR="00520137" w:rsidRDefault="00520137" w:rsidP="00BB214A">
            <w:pPr>
              <w:rPr>
                <w:rFonts w:ascii="Calibri" w:hAnsi="Calibri"/>
              </w:rPr>
            </w:pPr>
            <w:r w:rsidRPr="007214FD">
              <w:rPr>
                <w:rFonts w:ascii="Calibri" w:hAnsi="Calibri"/>
                <w:sz w:val="18"/>
                <w:szCs w:val="18"/>
              </w:rPr>
              <w:t>Percentage of cases in which  judgment awarding compensation is rejected and an election to pursue a civil action is filed</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0%</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1.5%</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0%</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0%</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0%</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0%</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0%</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0%</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0%</w:t>
            </w:r>
          </w:p>
        </w:tc>
        <w:tc>
          <w:tcPr>
            <w:tcW w:w="900" w:type="dxa"/>
            <w:shd w:val="clear" w:color="auto" w:fill="D9D9D9" w:themeFill="background1" w:themeFillShade="D9"/>
            <w:vAlign w:val="center"/>
          </w:tcPr>
          <w:p w:rsidR="00520137" w:rsidRPr="00D26430" w:rsidRDefault="00520137" w:rsidP="00BB214A">
            <w:pPr>
              <w:jc w:val="center"/>
              <w:rPr>
                <w:rFonts w:ascii="Calibri" w:hAnsi="Calibri"/>
                <w:sz w:val="20"/>
                <w:szCs w:val="20"/>
              </w:rPr>
            </w:pPr>
            <w:r w:rsidRPr="00D26430">
              <w:rPr>
                <w:rFonts w:ascii="Calibri" w:hAnsi="Calibri"/>
                <w:sz w:val="20"/>
                <w:szCs w:val="20"/>
              </w:rPr>
              <w:t>0%</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0%</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0%</w:t>
            </w:r>
          </w:p>
        </w:tc>
      </w:tr>
      <w:tr w:rsidR="00520137" w:rsidTr="00BB214A">
        <w:trPr>
          <w:cantSplit/>
        </w:trPr>
        <w:tc>
          <w:tcPr>
            <w:tcW w:w="1010" w:type="dxa"/>
          </w:tcPr>
          <w:p w:rsidR="00520137" w:rsidRDefault="00520137" w:rsidP="00BB214A">
            <w:pPr>
              <w:jc w:val="both"/>
              <w:rPr>
                <w:rFonts w:ascii="Calibri" w:hAnsi="Calibri"/>
              </w:rPr>
            </w:pPr>
          </w:p>
        </w:tc>
        <w:tc>
          <w:tcPr>
            <w:tcW w:w="2230" w:type="dxa"/>
          </w:tcPr>
          <w:p w:rsidR="00520137" w:rsidRDefault="00520137" w:rsidP="00BB214A">
            <w:pPr>
              <w:rPr>
                <w:rFonts w:ascii="Calibri" w:hAnsi="Calibri"/>
              </w:rPr>
            </w:pPr>
            <w:r w:rsidRPr="007214FD">
              <w:rPr>
                <w:rFonts w:ascii="Calibri" w:hAnsi="Calibri"/>
                <w:sz w:val="18"/>
                <w:szCs w:val="18"/>
                <w:lang w:val="en-CA"/>
              </w:rPr>
              <w:t>Average claim processing time (in days)</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995</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1,021</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738</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894</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834</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1,337</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1,280</w:t>
            </w:r>
          </w:p>
        </w:tc>
        <w:tc>
          <w:tcPr>
            <w:tcW w:w="900" w:type="dxa"/>
            <w:vAlign w:val="center"/>
          </w:tcPr>
          <w:p w:rsidR="00520137" w:rsidRDefault="00520137" w:rsidP="00BB214A">
            <w:pPr>
              <w:jc w:val="center"/>
              <w:rPr>
                <w:rFonts w:ascii="Calibri" w:hAnsi="Calibri"/>
              </w:rPr>
            </w:pPr>
            <w:r w:rsidRPr="007214FD">
              <w:rPr>
                <w:rFonts w:ascii="Calibri" w:hAnsi="Calibri"/>
                <w:sz w:val="20"/>
                <w:szCs w:val="20"/>
              </w:rPr>
              <w:t>1,2</w:t>
            </w:r>
            <w:r>
              <w:rPr>
                <w:rFonts w:ascii="Calibri" w:hAnsi="Calibri"/>
                <w:sz w:val="20"/>
                <w:szCs w:val="20"/>
              </w:rPr>
              <w:t>69</w:t>
            </w:r>
          </w:p>
        </w:tc>
        <w:tc>
          <w:tcPr>
            <w:tcW w:w="900" w:type="dxa"/>
            <w:vAlign w:val="center"/>
          </w:tcPr>
          <w:p w:rsidR="00520137" w:rsidRDefault="00520137" w:rsidP="00BB214A">
            <w:pPr>
              <w:jc w:val="center"/>
              <w:rPr>
                <w:rFonts w:ascii="Calibri" w:hAnsi="Calibri"/>
              </w:rPr>
            </w:pPr>
            <w:r w:rsidRPr="007214FD">
              <w:rPr>
                <w:rFonts w:ascii="Calibri" w:hAnsi="Calibri"/>
                <w:sz w:val="20"/>
                <w:szCs w:val="20"/>
              </w:rPr>
              <w:t>1,</w:t>
            </w:r>
            <w:r>
              <w:rPr>
                <w:rFonts w:ascii="Calibri" w:hAnsi="Calibri"/>
                <w:sz w:val="20"/>
                <w:szCs w:val="20"/>
              </w:rPr>
              <w:t>300</w:t>
            </w:r>
          </w:p>
        </w:tc>
        <w:tc>
          <w:tcPr>
            <w:tcW w:w="900" w:type="dxa"/>
            <w:shd w:val="clear" w:color="auto" w:fill="D9D9D9" w:themeFill="background1" w:themeFillShade="D9"/>
            <w:vAlign w:val="center"/>
          </w:tcPr>
          <w:p w:rsidR="00520137" w:rsidRPr="00D26430" w:rsidRDefault="00520137" w:rsidP="00D26430">
            <w:pPr>
              <w:jc w:val="center"/>
              <w:rPr>
                <w:rFonts w:ascii="Calibri" w:hAnsi="Calibri"/>
                <w:sz w:val="20"/>
                <w:szCs w:val="20"/>
              </w:rPr>
            </w:pPr>
            <w:r w:rsidRPr="00D26430">
              <w:rPr>
                <w:rFonts w:ascii="Calibri" w:hAnsi="Calibri"/>
                <w:sz w:val="20"/>
                <w:szCs w:val="20"/>
              </w:rPr>
              <w:t>1,2</w:t>
            </w:r>
            <w:r w:rsidR="00D26430" w:rsidRPr="00D26430">
              <w:rPr>
                <w:rFonts w:ascii="Calibri" w:hAnsi="Calibri"/>
                <w:sz w:val="20"/>
                <w:szCs w:val="20"/>
              </w:rPr>
              <w:t>69</w:t>
            </w:r>
          </w:p>
        </w:tc>
        <w:tc>
          <w:tcPr>
            <w:tcW w:w="900" w:type="dxa"/>
            <w:vAlign w:val="center"/>
          </w:tcPr>
          <w:p w:rsidR="00520137" w:rsidRDefault="00520137" w:rsidP="00BB214A">
            <w:pPr>
              <w:jc w:val="center"/>
              <w:rPr>
                <w:rFonts w:ascii="Calibri" w:hAnsi="Calibri"/>
              </w:rPr>
            </w:pPr>
            <w:r>
              <w:rPr>
                <w:rFonts w:ascii="Calibri" w:hAnsi="Calibri"/>
                <w:sz w:val="20"/>
                <w:szCs w:val="20"/>
              </w:rPr>
              <w:t>TBD</w:t>
            </w:r>
          </w:p>
        </w:tc>
        <w:tc>
          <w:tcPr>
            <w:tcW w:w="900" w:type="dxa"/>
            <w:vAlign w:val="center"/>
          </w:tcPr>
          <w:p w:rsidR="00520137" w:rsidRDefault="00520137" w:rsidP="00BB214A">
            <w:pPr>
              <w:jc w:val="center"/>
              <w:rPr>
                <w:rFonts w:ascii="Calibri" w:hAnsi="Calibri"/>
              </w:rPr>
            </w:pPr>
            <w:r>
              <w:rPr>
                <w:rFonts w:ascii="Calibri" w:hAnsi="Calibri"/>
                <w:sz w:val="20"/>
                <w:szCs w:val="20"/>
              </w:rPr>
              <w:t>TBD</w:t>
            </w:r>
          </w:p>
        </w:tc>
      </w:tr>
      <w:tr w:rsidR="00520137" w:rsidTr="00BB214A">
        <w:trPr>
          <w:cantSplit/>
        </w:trPr>
        <w:tc>
          <w:tcPr>
            <w:tcW w:w="1010" w:type="dxa"/>
            <w:tcBorders>
              <w:bottom w:val="single" w:sz="4" w:space="0" w:color="auto"/>
            </w:tcBorders>
          </w:tcPr>
          <w:p w:rsidR="00520137" w:rsidRPr="004A6952" w:rsidRDefault="00520137" w:rsidP="00BB214A">
            <w:pPr>
              <w:jc w:val="both"/>
              <w:rPr>
                <w:rFonts w:ascii="Calibri" w:hAnsi="Calibri"/>
                <w:b/>
                <w:sz w:val="20"/>
                <w:szCs w:val="20"/>
              </w:rPr>
            </w:pPr>
            <w:r w:rsidRPr="004A6952">
              <w:rPr>
                <w:rFonts w:ascii="Calibri" w:hAnsi="Calibri"/>
                <w:b/>
                <w:sz w:val="20"/>
                <w:szCs w:val="20"/>
              </w:rPr>
              <w:t>Efficiency</w:t>
            </w:r>
          </w:p>
        </w:tc>
        <w:tc>
          <w:tcPr>
            <w:tcW w:w="2230" w:type="dxa"/>
            <w:tcBorders>
              <w:bottom w:val="single" w:sz="4" w:space="0" w:color="auto"/>
            </w:tcBorders>
          </w:tcPr>
          <w:p w:rsidR="00520137" w:rsidRDefault="00520137" w:rsidP="00BB214A">
            <w:pPr>
              <w:rPr>
                <w:rFonts w:ascii="Calibri" w:hAnsi="Calibri"/>
              </w:rPr>
            </w:pPr>
            <w:r w:rsidRPr="007214FD">
              <w:rPr>
                <w:rFonts w:ascii="Calibri" w:hAnsi="Calibri"/>
                <w:sz w:val="18"/>
                <w:szCs w:val="18"/>
                <w:lang w:val="en-CA"/>
              </w:rPr>
              <w:t>Percentage of cases in which settlements are completed within  the court-ordered 15 weeks</w:t>
            </w:r>
          </w:p>
        </w:tc>
        <w:tc>
          <w:tcPr>
            <w:tcW w:w="900" w:type="dxa"/>
            <w:tcBorders>
              <w:bottom w:val="single" w:sz="4" w:space="0" w:color="auto"/>
            </w:tcBorders>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80%</w:t>
            </w:r>
          </w:p>
        </w:tc>
        <w:tc>
          <w:tcPr>
            <w:tcW w:w="900" w:type="dxa"/>
            <w:tcBorders>
              <w:bottom w:val="single" w:sz="4" w:space="0" w:color="auto"/>
            </w:tcBorders>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92%</w:t>
            </w:r>
          </w:p>
        </w:tc>
        <w:tc>
          <w:tcPr>
            <w:tcW w:w="900" w:type="dxa"/>
            <w:tcBorders>
              <w:bottom w:val="single" w:sz="4" w:space="0" w:color="auto"/>
            </w:tcBorders>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80%</w:t>
            </w:r>
          </w:p>
        </w:tc>
        <w:tc>
          <w:tcPr>
            <w:tcW w:w="900" w:type="dxa"/>
            <w:tcBorders>
              <w:bottom w:val="single" w:sz="4" w:space="0" w:color="auto"/>
            </w:tcBorders>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95%</w:t>
            </w:r>
          </w:p>
        </w:tc>
        <w:tc>
          <w:tcPr>
            <w:tcW w:w="900" w:type="dxa"/>
            <w:tcBorders>
              <w:bottom w:val="single" w:sz="4" w:space="0" w:color="auto"/>
            </w:tcBorders>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98%</w:t>
            </w:r>
          </w:p>
        </w:tc>
        <w:tc>
          <w:tcPr>
            <w:tcW w:w="900" w:type="dxa"/>
            <w:tcBorders>
              <w:bottom w:val="single" w:sz="4" w:space="0" w:color="auto"/>
            </w:tcBorders>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96%</w:t>
            </w:r>
          </w:p>
        </w:tc>
        <w:tc>
          <w:tcPr>
            <w:tcW w:w="900" w:type="dxa"/>
            <w:tcBorders>
              <w:bottom w:val="single" w:sz="4" w:space="0" w:color="auto"/>
            </w:tcBorders>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100%</w:t>
            </w:r>
          </w:p>
        </w:tc>
        <w:tc>
          <w:tcPr>
            <w:tcW w:w="900" w:type="dxa"/>
            <w:tcBorders>
              <w:bottom w:val="single" w:sz="4" w:space="0" w:color="auto"/>
            </w:tcBorders>
            <w:vAlign w:val="center"/>
          </w:tcPr>
          <w:p w:rsidR="00520137" w:rsidRDefault="00520137" w:rsidP="00BB214A">
            <w:pPr>
              <w:jc w:val="center"/>
              <w:rPr>
                <w:rFonts w:ascii="Calibri" w:hAnsi="Calibri"/>
              </w:rPr>
            </w:pPr>
            <w:r w:rsidRPr="007214FD">
              <w:rPr>
                <w:rFonts w:ascii="Calibri" w:hAnsi="Calibri"/>
                <w:sz w:val="20"/>
                <w:szCs w:val="20"/>
              </w:rPr>
              <w:t>100%</w:t>
            </w:r>
          </w:p>
        </w:tc>
        <w:tc>
          <w:tcPr>
            <w:tcW w:w="900" w:type="dxa"/>
            <w:tcBorders>
              <w:bottom w:val="single" w:sz="4" w:space="0" w:color="auto"/>
            </w:tcBorders>
            <w:vAlign w:val="center"/>
          </w:tcPr>
          <w:p w:rsidR="00520137" w:rsidRDefault="00520137" w:rsidP="00BB214A">
            <w:pPr>
              <w:jc w:val="center"/>
              <w:rPr>
                <w:rFonts w:ascii="Calibri" w:hAnsi="Calibri"/>
              </w:rPr>
            </w:pPr>
            <w:r>
              <w:rPr>
                <w:rFonts w:ascii="Calibri" w:hAnsi="Calibri"/>
                <w:sz w:val="20"/>
                <w:szCs w:val="20"/>
              </w:rPr>
              <w:t>92</w:t>
            </w:r>
            <w:r w:rsidRPr="007214FD">
              <w:rPr>
                <w:rFonts w:ascii="Calibri" w:hAnsi="Calibri"/>
                <w:sz w:val="20"/>
                <w:szCs w:val="20"/>
              </w:rPr>
              <w:t>%</w:t>
            </w:r>
          </w:p>
        </w:tc>
        <w:tc>
          <w:tcPr>
            <w:tcW w:w="900" w:type="dxa"/>
            <w:tcBorders>
              <w:bottom w:val="single" w:sz="4" w:space="0" w:color="auto"/>
            </w:tcBorders>
            <w:shd w:val="clear" w:color="auto" w:fill="D9D9D9" w:themeFill="background1" w:themeFillShade="D9"/>
            <w:vAlign w:val="center"/>
          </w:tcPr>
          <w:p w:rsidR="00520137" w:rsidRPr="00EC3560" w:rsidRDefault="00520137" w:rsidP="00BB214A">
            <w:pPr>
              <w:jc w:val="center"/>
              <w:rPr>
                <w:rFonts w:ascii="Calibri" w:hAnsi="Calibri"/>
                <w:sz w:val="20"/>
                <w:szCs w:val="20"/>
              </w:rPr>
            </w:pPr>
            <w:r w:rsidRPr="008F2396">
              <w:rPr>
                <w:rFonts w:ascii="Calibri" w:hAnsi="Calibri"/>
                <w:sz w:val="20"/>
                <w:szCs w:val="20"/>
              </w:rPr>
              <w:t>100%</w:t>
            </w:r>
          </w:p>
        </w:tc>
        <w:tc>
          <w:tcPr>
            <w:tcW w:w="900" w:type="dxa"/>
            <w:tcBorders>
              <w:bottom w:val="single" w:sz="4" w:space="0" w:color="auto"/>
            </w:tcBorders>
            <w:vAlign w:val="center"/>
          </w:tcPr>
          <w:p w:rsidR="00520137" w:rsidRDefault="00520137" w:rsidP="00BB214A">
            <w:pPr>
              <w:jc w:val="center"/>
              <w:rPr>
                <w:rFonts w:ascii="Calibri" w:hAnsi="Calibri"/>
              </w:rPr>
            </w:pPr>
            <w:r>
              <w:rPr>
                <w:rFonts w:ascii="Calibri" w:hAnsi="Calibri"/>
                <w:sz w:val="20"/>
                <w:szCs w:val="20"/>
              </w:rPr>
              <w:t>92</w:t>
            </w:r>
            <w:r w:rsidRPr="007214FD">
              <w:rPr>
                <w:rFonts w:ascii="Calibri" w:hAnsi="Calibri"/>
                <w:sz w:val="20"/>
                <w:szCs w:val="20"/>
              </w:rPr>
              <w:t>%</w:t>
            </w:r>
          </w:p>
        </w:tc>
        <w:tc>
          <w:tcPr>
            <w:tcW w:w="900" w:type="dxa"/>
            <w:tcBorders>
              <w:bottom w:val="single" w:sz="4" w:space="0" w:color="auto"/>
            </w:tcBorders>
            <w:vAlign w:val="center"/>
          </w:tcPr>
          <w:p w:rsidR="00520137" w:rsidRDefault="00520137" w:rsidP="00BB214A">
            <w:pPr>
              <w:jc w:val="center"/>
              <w:rPr>
                <w:rFonts w:ascii="Calibri" w:hAnsi="Calibri"/>
              </w:rPr>
            </w:pPr>
            <w:r>
              <w:rPr>
                <w:rFonts w:ascii="Calibri" w:hAnsi="Calibri"/>
                <w:sz w:val="20"/>
                <w:szCs w:val="20"/>
              </w:rPr>
              <w:t>92</w:t>
            </w:r>
            <w:r w:rsidRPr="007214FD">
              <w:rPr>
                <w:rFonts w:ascii="Calibri" w:hAnsi="Calibri"/>
                <w:sz w:val="20"/>
                <w:szCs w:val="20"/>
              </w:rPr>
              <w:t>%</w:t>
            </w:r>
          </w:p>
        </w:tc>
      </w:tr>
      <w:tr w:rsidR="00520137" w:rsidTr="00BB214A">
        <w:trPr>
          <w:cantSplit/>
        </w:trPr>
        <w:tc>
          <w:tcPr>
            <w:tcW w:w="14040" w:type="dxa"/>
            <w:gridSpan w:val="14"/>
            <w:shd w:val="clear" w:color="auto" w:fill="auto"/>
          </w:tcPr>
          <w:p w:rsidR="00520137" w:rsidRPr="004A6952" w:rsidRDefault="00520137" w:rsidP="00BB214A">
            <w:pPr>
              <w:jc w:val="both"/>
              <w:rPr>
                <w:rFonts w:ascii="Calibri" w:hAnsi="Calibri"/>
                <w:b/>
                <w:color w:val="632423" w:themeColor="accent2" w:themeShade="80"/>
                <w:sz w:val="26"/>
                <w:szCs w:val="26"/>
              </w:rPr>
            </w:pPr>
            <w:r w:rsidRPr="004A6952">
              <w:rPr>
                <w:rFonts w:ascii="Calibri" w:hAnsi="Calibri"/>
                <w:b/>
                <w:color w:val="632423" w:themeColor="accent2" w:themeShade="80"/>
                <w:sz w:val="26"/>
                <w:szCs w:val="26"/>
              </w:rPr>
              <w:t>Radiation Exposure Compensation Program</w:t>
            </w:r>
          </w:p>
        </w:tc>
      </w:tr>
      <w:tr w:rsidR="00520137" w:rsidTr="00BB214A">
        <w:trPr>
          <w:cantSplit/>
        </w:trPr>
        <w:tc>
          <w:tcPr>
            <w:tcW w:w="1010" w:type="dxa"/>
            <w:vMerge w:val="restart"/>
          </w:tcPr>
          <w:p w:rsidR="00520137" w:rsidRPr="004A6952" w:rsidRDefault="00520137" w:rsidP="00BB214A">
            <w:pPr>
              <w:jc w:val="both"/>
              <w:rPr>
                <w:rFonts w:ascii="Calibri" w:hAnsi="Calibri"/>
                <w:b/>
                <w:sz w:val="20"/>
                <w:szCs w:val="20"/>
              </w:rPr>
            </w:pPr>
            <w:r w:rsidRPr="004A6952">
              <w:rPr>
                <w:rFonts w:ascii="Calibri" w:hAnsi="Calibri"/>
                <w:b/>
                <w:sz w:val="20"/>
                <w:szCs w:val="20"/>
              </w:rPr>
              <w:t>Outcome</w:t>
            </w:r>
          </w:p>
        </w:tc>
        <w:tc>
          <w:tcPr>
            <w:tcW w:w="2230" w:type="dxa"/>
          </w:tcPr>
          <w:p w:rsidR="00520137" w:rsidRDefault="00520137" w:rsidP="00BB214A">
            <w:pPr>
              <w:rPr>
                <w:rFonts w:ascii="Calibri" w:hAnsi="Calibri"/>
              </w:rPr>
            </w:pPr>
            <w:r w:rsidRPr="007214FD">
              <w:rPr>
                <w:rFonts w:ascii="Calibri" w:hAnsi="Calibri"/>
                <w:sz w:val="18"/>
                <w:szCs w:val="18"/>
              </w:rPr>
              <w:t>Reduce backlog of pending claims by 60% by FY 2011</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N/A</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N/A</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N/A</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2,021</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2,032</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807</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618</w:t>
            </w:r>
          </w:p>
        </w:tc>
        <w:tc>
          <w:tcPr>
            <w:tcW w:w="900" w:type="dxa"/>
            <w:vAlign w:val="center"/>
          </w:tcPr>
          <w:p w:rsidR="00520137" w:rsidRDefault="00520137" w:rsidP="00BB214A">
            <w:pPr>
              <w:jc w:val="center"/>
              <w:rPr>
                <w:rFonts w:ascii="Calibri" w:hAnsi="Calibri"/>
              </w:rPr>
            </w:pPr>
            <w:r>
              <w:rPr>
                <w:rFonts w:ascii="Calibri" w:hAnsi="Calibri"/>
                <w:sz w:val="20"/>
                <w:szCs w:val="20"/>
              </w:rPr>
              <w:t>55</w:t>
            </w:r>
            <w:r w:rsidRPr="007214FD">
              <w:rPr>
                <w:rFonts w:ascii="Calibri" w:hAnsi="Calibri"/>
                <w:sz w:val="20"/>
                <w:szCs w:val="20"/>
              </w:rPr>
              <w:t>8</w:t>
            </w:r>
          </w:p>
        </w:tc>
        <w:tc>
          <w:tcPr>
            <w:tcW w:w="900" w:type="dxa"/>
            <w:vAlign w:val="center"/>
          </w:tcPr>
          <w:p w:rsidR="00520137" w:rsidRDefault="00520137" w:rsidP="00BB214A">
            <w:pPr>
              <w:jc w:val="center"/>
              <w:rPr>
                <w:rFonts w:ascii="Calibri" w:hAnsi="Calibri"/>
              </w:rPr>
            </w:pPr>
            <w:r>
              <w:rPr>
                <w:rFonts w:ascii="Calibri" w:hAnsi="Calibri"/>
                <w:sz w:val="20"/>
                <w:szCs w:val="20"/>
              </w:rPr>
              <w:t>404</w:t>
            </w:r>
          </w:p>
        </w:tc>
        <w:tc>
          <w:tcPr>
            <w:tcW w:w="900" w:type="dxa"/>
            <w:shd w:val="clear" w:color="auto" w:fill="D9D9D9" w:themeFill="background1" w:themeFillShade="D9"/>
            <w:vAlign w:val="center"/>
          </w:tcPr>
          <w:p w:rsidR="00520137" w:rsidRPr="00EC3560" w:rsidRDefault="00520137" w:rsidP="00BB214A">
            <w:pPr>
              <w:jc w:val="center"/>
              <w:rPr>
                <w:rFonts w:ascii="Calibri" w:hAnsi="Calibri"/>
                <w:sz w:val="20"/>
                <w:szCs w:val="20"/>
              </w:rPr>
            </w:pPr>
            <w:r>
              <w:rPr>
                <w:rFonts w:ascii="Calibri" w:hAnsi="Calibri"/>
                <w:sz w:val="20"/>
                <w:szCs w:val="20"/>
              </w:rPr>
              <w:t>459</w:t>
            </w:r>
          </w:p>
        </w:tc>
        <w:tc>
          <w:tcPr>
            <w:tcW w:w="900" w:type="dxa"/>
            <w:vAlign w:val="center"/>
          </w:tcPr>
          <w:p w:rsidR="00520137" w:rsidRDefault="00520137" w:rsidP="00BB214A">
            <w:pPr>
              <w:jc w:val="center"/>
              <w:rPr>
                <w:rFonts w:ascii="Calibri" w:hAnsi="Calibri"/>
              </w:rPr>
            </w:pPr>
            <w:r>
              <w:rPr>
                <w:rFonts w:ascii="Calibri" w:hAnsi="Calibri"/>
                <w:sz w:val="20"/>
                <w:szCs w:val="20"/>
              </w:rPr>
              <w:t>350</w:t>
            </w:r>
          </w:p>
        </w:tc>
        <w:tc>
          <w:tcPr>
            <w:tcW w:w="900" w:type="dxa"/>
            <w:vAlign w:val="center"/>
          </w:tcPr>
          <w:p w:rsidR="00520137" w:rsidRPr="00021365" w:rsidRDefault="00520137" w:rsidP="00BB214A">
            <w:pPr>
              <w:jc w:val="center"/>
              <w:rPr>
                <w:rFonts w:ascii="Calibri" w:hAnsi="Calibri"/>
                <w:sz w:val="20"/>
                <w:szCs w:val="20"/>
              </w:rPr>
            </w:pPr>
            <w:r w:rsidRPr="00021365">
              <w:rPr>
                <w:rFonts w:ascii="Calibri" w:hAnsi="Calibri"/>
                <w:sz w:val="20"/>
                <w:szCs w:val="20"/>
              </w:rPr>
              <w:t>N/A</w:t>
            </w:r>
          </w:p>
        </w:tc>
      </w:tr>
      <w:tr w:rsidR="00520137" w:rsidTr="00BB214A">
        <w:trPr>
          <w:cantSplit/>
        </w:trPr>
        <w:tc>
          <w:tcPr>
            <w:tcW w:w="1010" w:type="dxa"/>
            <w:vMerge/>
          </w:tcPr>
          <w:p w:rsidR="00520137" w:rsidRDefault="00520137" w:rsidP="00BB214A">
            <w:pPr>
              <w:jc w:val="both"/>
              <w:rPr>
                <w:rFonts w:ascii="Calibri" w:hAnsi="Calibri"/>
              </w:rPr>
            </w:pPr>
          </w:p>
        </w:tc>
        <w:tc>
          <w:tcPr>
            <w:tcW w:w="2230" w:type="dxa"/>
          </w:tcPr>
          <w:p w:rsidR="00520137" w:rsidRDefault="00520137" w:rsidP="00BB214A">
            <w:pPr>
              <w:rPr>
                <w:rFonts w:ascii="Calibri" w:hAnsi="Calibri"/>
              </w:rPr>
            </w:pPr>
            <w:r w:rsidRPr="007214FD">
              <w:rPr>
                <w:rFonts w:ascii="Calibri" w:hAnsi="Calibri"/>
                <w:sz w:val="18"/>
                <w:szCs w:val="18"/>
              </w:rPr>
              <w:t>Reduce average claim processing time to 200 days by FY 2011</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N/A</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N/A</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N/A</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316</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339</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298</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156</w:t>
            </w:r>
          </w:p>
        </w:tc>
        <w:tc>
          <w:tcPr>
            <w:tcW w:w="900" w:type="dxa"/>
            <w:vAlign w:val="center"/>
          </w:tcPr>
          <w:p w:rsidR="00520137" w:rsidRDefault="00520137" w:rsidP="00BB214A">
            <w:pPr>
              <w:jc w:val="center"/>
              <w:rPr>
                <w:rFonts w:ascii="Calibri" w:hAnsi="Calibri"/>
              </w:rPr>
            </w:pPr>
            <w:r w:rsidRPr="007214FD">
              <w:rPr>
                <w:rFonts w:ascii="Calibri" w:hAnsi="Calibri"/>
                <w:sz w:val="20"/>
                <w:szCs w:val="20"/>
              </w:rPr>
              <w:t>1</w:t>
            </w:r>
            <w:r>
              <w:rPr>
                <w:rFonts w:ascii="Calibri" w:hAnsi="Calibri"/>
                <w:sz w:val="20"/>
                <w:szCs w:val="20"/>
              </w:rPr>
              <w:t>27</w:t>
            </w:r>
          </w:p>
        </w:tc>
        <w:tc>
          <w:tcPr>
            <w:tcW w:w="900" w:type="dxa"/>
            <w:vAlign w:val="center"/>
          </w:tcPr>
          <w:p w:rsidR="00520137" w:rsidRPr="00021365" w:rsidRDefault="00520137" w:rsidP="00BB214A">
            <w:pPr>
              <w:jc w:val="center"/>
              <w:rPr>
                <w:rFonts w:ascii="Calibri" w:hAnsi="Calibri"/>
                <w:sz w:val="20"/>
                <w:szCs w:val="20"/>
              </w:rPr>
            </w:pPr>
            <w:r w:rsidRPr="00021365">
              <w:rPr>
                <w:rFonts w:ascii="Calibri" w:hAnsi="Calibri"/>
                <w:sz w:val="20"/>
                <w:szCs w:val="20"/>
              </w:rPr>
              <w:t>219</w:t>
            </w:r>
          </w:p>
        </w:tc>
        <w:tc>
          <w:tcPr>
            <w:tcW w:w="900" w:type="dxa"/>
            <w:shd w:val="clear" w:color="auto" w:fill="D9D9D9" w:themeFill="background1" w:themeFillShade="D9"/>
            <w:vAlign w:val="center"/>
          </w:tcPr>
          <w:p w:rsidR="00520137" w:rsidRPr="00EC3560" w:rsidRDefault="00520137" w:rsidP="00BB214A">
            <w:pPr>
              <w:jc w:val="center"/>
              <w:rPr>
                <w:rFonts w:ascii="Calibri" w:hAnsi="Calibri"/>
                <w:sz w:val="20"/>
                <w:szCs w:val="20"/>
              </w:rPr>
            </w:pPr>
            <w:r>
              <w:rPr>
                <w:rFonts w:ascii="Calibri" w:hAnsi="Calibri"/>
                <w:sz w:val="20"/>
                <w:szCs w:val="20"/>
              </w:rPr>
              <w:t>100</w:t>
            </w:r>
          </w:p>
        </w:tc>
        <w:tc>
          <w:tcPr>
            <w:tcW w:w="900" w:type="dxa"/>
            <w:vAlign w:val="center"/>
          </w:tcPr>
          <w:p w:rsidR="00520137" w:rsidRPr="00021365" w:rsidRDefault="00520137" w:rsidP="00BB214A">
            <w:pPr>
              <w:jc w:val="center"/>
              <w:rPr>
                <w:rFonts w:ascii="Calibri" w:hAnsi="Calibri"/>
                <w:sz w:val="20"/>
                <w:szCs w:val="20"/>
              </w:rPr>
            </w:pPr>
            <w:r w:rsidRPr="00021365">
              <w:rPr>
                <w:rFonts w:ascii="Calibri" w:hAnsi="Calibri"/>
                <w:sz w:val="20"/>
                <w:szCs w:val="20"/>
              </w:rPr>
              <w:t>200</w:t>
            </w:r>
          </w:p>
        </w:tc>
        <w:tc>
          <w:tcPr>
            <w:tcW w:w="900" w:type="dxa"/>
            <w:vAlign w:val="center"/>
          </w:tcPr>
          <w:p w:rsidR="00520137" w:rsidRPr="00021365" w:rsidRDefault="00520137" w:rsidP="00BB214A">
            <w:pPr>
              <w:jc w:val="center"/>
              <w:rPr>
                <w:rFonts w:ascii="Calibri" w:hAnsi="Calibri"/>
                <w:sz w:val="20"/>
                <w:szCs w:val="20"/>
              </w:rPr>
            </w:pPr>
            <w:r w:rsidRPr="00021365">
              <w:rPr>
                <w:rFonts w:ascii="Calibri" w:hAnsi="Calibri"/>
                <w:sz w:val="20"/>
                <w:szCs w:val="20"/>
              </w:rPr>
              <w:t>N/A</w:t>
            </w:r>
          </w:p>
        </w:tc>
      </w:tr>
      <w:tr w:rsidR="00520137" w:rsidTr="00BB214A">
        <w:trPr>
          <w:cantSplit/>
        </w:trPr>
        <w:tc>
          <w:tcPr>
            <w:tcW w:w="1010" w:type="dxa"/>
            <w:vMerge/>
          </w:tcPr>
          <w:p w:rsidR="00520137" w:rsidRDefault="00520137" w:rsidP="00BB214A">
            <w:pPr>
              <w:jc w:val="both"/>
              <w:rPr>
                <w:rFonts w:ascii="Calibri" w:hAnsi="Calibri"/>
              </w:rPr>
            </w:pPr>
          </w:p>
        </w:tc>
        <w:tc>
          <w:tcPr>
            <w:tcW w:w="2230" w:type="dxa"/>
          </w:tcPr>
          <w:p w:rsidR="00520137" w:rsidRPr="007214FD" w:rsidRDefault="00520137" w:rsidP="00BB214A">
            <w:pPr>
              <w:rPr>
                <w:rFonts w:ascii="Calibri" w:hAnsi="Calibri"/>
                <w:sz w:val="18"/>
                <w:szCs w:val="18"/>
              </w:rPr>
            </w:pPr>
            <w:r w:rsidRPr="007214FD">
              <w:rPr>
                <w:rFonts w:ascii="Calibri" w:hAnsi="Calibri"/>
                <w:sz w:val="18"/>
                <w:szCs w:val="18"/>
              </w:rPr>
              <w:t>Percentage of claims</w:t>
            </w:r>
          </w:p>
          <w:p w:rsidR="00520137" w:rsidRDefault="00520137" w:rsidP="00BB214A">
            <w:pPr>
              <w:rPr>
                <w:rFonts w:ascii="Calibri" w:hAnsi="Calibri"/>
              </w:rPr>
            </w:pPr>
            <w:r w:rsidRPr="007214FD">
              <w:rPr>
                <w:rFonts w:ascii="Calibri" w:hAnsi="Calibri"/>
                <w:sz w:val="18"/>
                <w:szCs w:val="18"/>
              </w:rPr>
              <w:t>paid within six weeks of Program receipt of acceptance form</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N/A</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37%</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51%</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63%</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71%</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91%</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89%</w:t>
            </w:r>
          </w:p>
        </w:tc>
        <w:tc>
          <w:tcPr>
            <w:tcW w:w="900" w:type="dxa"/>
            <w:vAlign w:val="center"/>
          </w:tcPr>
          <w:p w:rsidR="00520137" w:rsidRPr="007214FD" w:rsidRDefault="00520137" w:rsidP="00BB214A">
            <w:pPr>
              <w:jc w:val="center"/>
              <w:rPr>
                <w:rFonts w:ascii="Calibri" w:hAnsi="Calibri"/>
                <w:sz w:val="20"/>
                <w:szCs w:val="20"/>
              </w:rPr>
            </w:pPr>
            <w:r>
              <w:rPr>
                <w:rFonts w:ascii="Calibri" w:hAnsi="Calibri"/>
                <w:sz w:val="20"/>
                <w:szCs w:val="20"/>
              </w:rPr>
              <w:t>94</w:t>
            </w:r>
            <w:r w:rsidRPr="007214FD">
              <w:rPr>
                <w:rFonts w:ascii="Calibri" w:hAnsi="Calibri"/>
                <w:sz w:val="20"/>
                <w:szCs w:val="20"/>
              </w:rPr>
              <w:t>%</w:t>
            </w:r>
          </w:p>
        </w:tc>
        <w:tc>
          <w:tcPr>
            <w:tcW w:w="900" w:type="dxa"/>
            <w:vAlign w:val="center"/>
          </w:tcPr>
          <w:p w:rsidR="00520137" w:rsidRDefault="00520137" w:rsidP="00BB214A">
            <w:pPr>
              <w:jc w:val="center"/>
              <w:rPr>
                <w:rFonts w:ascii="Calibri" w:hAnsi="Calibri"/>
              </w:rPr>
            </w:pPr>
            <w:r>
              <w:rPr>
                <w:rFonts w:ascii="Calibri" w:hAnsi="Calibri"/>
                <w:sz w:val="20"/>
                <w:szCs w:val="20"/>
              </w:rPr>
              <w:t>90</w:t>
            </w:r>
            <w:r w:rsidRPr="007214FD">
              <w:rPr>
                <w:rFonts w:ascii="Calibri" w:hAnsi="Calibri"/>
                <w:sz w:val="20"/>
                <w:szCs w:val="20"/>
              </w:rPr>
              <w:t>%</w:t>
            </w:r>
          </w:p>
        </w:tc>
        <w:tc>
          <w:tcPr>
            <w:tcW w:w="900" w:type="dxa"/>
            <w:shd w:val="clear" w:color="auto" w:fill="D9D9D9" w:themeFill="background1" w:themeFillShade="D9"/>
            <w:vAlign w:val="center"/>
          </w:tcPr>
          <w:p w:rsidR="00520137" w:rsidRPr="00EC3560" w:rsidRDefault="00520137" w:rsidP="00BB214A">
            <w:pPr>
              <w:jc w:val="center"/>
              <w:rPr>
                <w:rFonts w:ascii="Calibri" w:hAnsi="Calibri"/>
                <w:sz w:val="20"/>
                <w:szCs w:val="20"/>
              </w:rPr>
            </w:pPr>
            <w:r w:rsidRPr="00485F93">
              <w:rPr>
                <w:rFonts w:ascii="Calibri" w:hAnsi="Calibri"/>
                <w:sz w:val="20"/>
                <w:szCs w:val="20"/>
              </w:rPr>
              <w:t>90%</w:t>
            </w:r>
          </w:p>
        </w:tc>
        <w:tc>
          <w:tcPr>
            <w:tcW w:w="900" w:type="dxa"/>
            <w:vAlign w:val="center"/>
          </w:tcPr>
          <w:p w:rsidR="00520137" w:rsidRDefault="00520137" w:rsidP="00BB214A">
            <w:pPr>
              <w:jc w:val="center"/>
              <w:rPr>
                <w:rFonts w:ascii="Calibri" w:hAnsi="Calibri"/>
              </w:rPr>
            </w:pPr>
            <w:r>
              <w:rPr>
                <w:rFonts w:ascii="Calibri" w:hAnsi="Calibri"/>
                <w:sz w:val="20"/>
                <w:szCs w:val="20"/>
              </w:rPr>
              <w:t>TBD</w:t>
            </w:r>
          </w:p>
        </w:tc>
        <w:tc>
          <w:tcPr>
            <w:tcW w:w="900" w:type="dxa"/>
            <w:vAlign w:val="center"/>
          </w:tcPr>
          <w:p w:rsidR="00520137" w:rsidRDefault="00520137" w:rsidP="00BB214A">
            <w:pPr>
              <w:jc w:val="center"/>
              <w:rPr>
                <w:rFonts w:ascii="Calibri" w:hAnsi="Calibri"/>
              </w:rPr>
            </w:pPr>
            <w:r>
              <w:rPr>
                <w:rFonts w:ascii="Calibri" w:hAnsi="Calibri"/>
                <w:sz w:val="20"/>
                <w:szCs w:val="20"/>
              </w:rPr>
              <w:t>TBD</w:t>
            </w:r>
          </w:p>
        </w:tc>
      </w:tr>
      <w:tr w:rsidR="00520137" w:rsidTr="00BB214A">
        <w:trPr>
          <w:cantSplit/>
        </w:trPr>
        <w:tc>
          <w:tcPr>
            <w:tcW w:w="1010" w:type="dxa"/>
            <w:vMerge/>
          </w:tcPr>
          <w:p w:rsidR="00520137" w:rsidRDefault="00520137" w:rsidP="00BB214A">
            <w:pPr>
              <w:jc w:val="both"/>
              <w:rPr>
                <w:rFonts w:ascii="Calibri" w:hAnsi="Calibri"/>
              </w:rPr>
            </w:pPr>
          </w:p>
        </w:tc>
        <w:tc>
          <w:tcPr>
            <w:tcW w:w="2230" w:type="dxa"/>
          </w:tcPr>
          <w:p w:rsidR="00520137" w:rsidRDefault="00520137" w:rsidP="00BB214A">
            <w:pPr>
              <w:rPr>
                <w:rFonts w:ascii="Calibri" w:hAnsi="Calibri"/>
              </w:rPr>
            </w:pPr>
            <w:r w:rsidRPr="007214FD">
              <w:rPr>
                <w:rFonts w:ascii="Calibri" w:hAnsi="Calibri"/>
                <w:sz w:val="18"/>
                <w:szCs w:val="18"/>
              </w:rPr>
              <w:t>Percentage of claims appeals adjudicated within 90 days of filing administrative appeal</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N/A</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N/A</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77%</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84%</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100%</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97%</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100%</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100%</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95%</w:t>
            </w:r>
          </w:p>
        </w:tc>
        <w:tc>
          <w:tcPr>
            <w:tcW w:w="900" w:type="dxa"/>
            <w:shd w:val="clear" w:color="auto" w:fill="D9D9D9" w:themeFill="background1" w:themeFillShade="D9"/>
            <w:vAlign w:val="center"/>
          </w:tcPr>
          <w:p w:rsidR="00520137" w:rsidRPr="00EC3560" w:rsidRDefault="00520137" w:rsidP="00BB214A">
            <w:pPr>
              <w:jc w:val="center"/>
              <w:rPr>
                <w:rFonts w:ascii="Calibri" w:hAnsi="Calibri"/>
                <w:sz w:val="20"/>
                <w:szCs w:val="20"/>
              </w:rPr>
            </w:pPr>
            <w:r w:rsidRPr="00485F93">
              <w:rPr>
                <w:rFonts w:ascii="Calibri" w:hAnsi="Calibri"/>
                <w:sz w:val="20"/>
                <w:szCs w:val="20"/>
              </w:rPr>
              <w:t>100%</w:t>
            </w:r>
          </w:p>
        </w:tc>
        <w:tc>
          <w:tcPr>
            <w:tcW w:w="900" w:type="dxa"/>
            <w:vAlign w:val="center"/>
          </w:tcPr>
          <w:p w:rsidR="00520137" w:rsidRDefault="00520137" w:rsidP="00BB214A">
            <w:pPr>
              <w:jc w:val="center"/>
              <w:rPr>
                <w:rFonts w:ascii="Calibri" w:hAnsi="Calibri"/>
              </w:rPr>
            </w:pPr>
            <w:r>
              <w:rPr>
                <w:rFonts w:ascii="Calibri" w:hAnsi="Calibri"/>
                <w:sz w:val="20"/>
                <w:szCs w:val="20"/>
              </w:rPr>
              <w:t>TBD</w:t>
            </w:r>
          </w:p>
        </w:tc>
        <w:tc>
          <w:tcPr>
            <w:tcW w:w="900" w:type="dxa"/>
            <w:vAlign w:val="center"/>
          </w:tcPr>
          <w:p w:rsidR="00520137" w:rsidRDefault="00520137" w:rsidP="00BB214A">
            <w:pPr>
              <w:jc w:val="center"/>
              <w:rPr>
                <w:rFonts w:ascii="Calibri" w:hAnsi="Calibri"/>
              </w:rPr>
            </w:pPr>
            <w:r>
              <w:rPr>
                <w:rFonts w:ascii="Calibri" w:hAnsi="Calibri"/>
                <w:sz w:val="20"/>
                <w:szCs w:val="20"/>
              </w:rPr>
              <w:t>TBD</w:t>
            </w:r>
          </w:p>
        </w:tc>
      </w:tr>
      <w:tr w:rsidR="00520137" w:rsidTr="00BB214A">
        <w:trPr>
          <w:cantSplit/>
        </w:trPr>
        <w:tc>
          <w:tcPr>
            <w:tcW w:w="1010" w:type="dxa"/>
          </w:tcPr>
          <w:p w:rsidR="00520137" w:rsidRPr="004A6952" w:rsidRDefault="00520137" w:rsidP="00BB214A">
            <w:pPr>
              <w:jc w:val="both"/>
              <w:rPr>
                <w:rFonts w:ascii="Calibri" w:hAnsi="Calibri"/>
                <w:b/>
                <w:sz w:val="20"/>
                <w:szCs w:val="20"/>
              </w:rPr>
            </w:pPr>
            <w:r w:rsidRPr="004A6952">
              <w:rPr>
                <w:rFonts w:ascii="Calibri" w:hAnsi="Calibri"/>
                <w:b/>
                <w:sz w:val="20"/>
                <w:szCs w:val="20"/>
              </w:rPr>
              <w:t>Efficiency</w:t>
            </w:r>
          </w:p>
        </w:tc>
        <w:tc>
          <w:tcPr>
            <w:tcW w:w="2230" w:type="dxa"/>
          </w:tcPr>
          <w:p w:rsidR="00520137" w:rsidRPr="007214FD" w:rsidRDefault="00520137" w:rsidP="00BB214A">
            <w:pPr>
              <w:rPr>
                <w:rFonts w:ascii="Calibri" w:hAnsi="Calibri"/>
                <w:sz w:val="18"/>
                <w:szCs w:val="18"/>
              </w:rPr>
            </w:pPr>
            <w:r w:rsidRPr="007214FD">
              <w:rPr>
                <w:rFonts w:ascii="Calibri" w:hAnsi="Calibri"/>
                <w:sz w:val="18"/>
                <w:szCs w:val="18"/>
              </w:rPr>
              <w:t>Percentage of claims</w:t>
            </w:r>
          </w:p>
          <w:p w:rsidR="00520137" w:rsidRDefault="00520137" w:rsidP="00BB214A">
            <w:pPr>
              <w:rPr>
                <w:rFonts w:ascii="Calibri" w:hAnsi="Calibri"/>
              </w:rPr>
            </w:pPr>
            <w:r w:rsidRPr="007214FD">
              <w:rPr>
                <w:rFonts w:ascii="Calibri" w:hAnsi="Calibri"/>
                <w:sz w:val="18"/>
                <w:szCs w:val="18"/>
              </w:rPr>
              <w:t>adjudicated  within 12 months or less</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64%</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74%</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55%</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71%</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66%</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71%</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93%</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96%</w:t>
            </w:r>
          </w:p>
        </w:tc>
        <w:tc>
          <w:tcPr>
            <w:tcW w:w="900" w:type="dxa"/>
            <w:vAlign w:val="center"/>
          </w:tcPr>
          <w:p w:rsidR="00520137" w:rsidRPr="007214FD" w:rsidRDefault="00520137" w:rsidP="00BB214A">
            <w:pPr>
              <w:jc w:val="center"/>
              <w:rPr>
                <w:rFonts w:ascii="Calibri" w:hAnsi="Calibri"/>
                <w:sz w:val="20"/>
                <w:szCs w:val="20"/>
              </w:rPr>
            </w:pPr>
            <w:r w:rsidRPr="007214FD">
              <w:rPr>
                <w:rFonts w:ascii="Calibri" w:hAnsi="Calibri"/>
                <w:sz w:val="20"/>
                <w:szCs w:val="20"/>
              </w:rPr>
              <w:t>80%</w:t>
            </w:r>
          </w:p>
        </w:tc>
        <w:tc>
          <w:tcPr>
            <w:tcW w:w="900" w:type="dxa"/>
            <w:shd w:val="clear" w:color="auto" w:fill="D9D9D9" w:themeFill="background1" w:themeFillShade="D9"/>
            <w:vAlign w:val="center"/>
          </w:tcPr>
          <w:p w:rsidR="00520137" w:rsidRPr="00EC3560" w:rsidRDefault="00520137" w:rsidP="00BB214A">
            <w:pPr>
              <w:jc w:val="center"/>
              <w:rPr>
                <w:rFonts w:ascii="Calibri" w:hAnsi="Calibri"/>
                <w:sz w:val="20"/>
                <w:szCs w:val="20"/>
              </w:rPr>
            </w:pPr>
            <w:r w:rsidRPr="00A117EA">
              <w:rPr>
                <w:rFonts w:ascii="Calibri" w:hAnsi="Calibri"/>
                <w:sz w:val="20"/>
                <w:szCs w:val="20"/>
              </w:rPr>
              <w:t>96%</w:t>
            </w:r>
          </w:p>
        </w:tc>
        <w:tc>
          <w:tcPr>
            <w:tcW w:w="900" w:type="dxa"/>
            <w:vAlign w:val="center"/>
          </w:tcPr>
          <w:p w:rsidR="00520137" w:rsidRDefault="00520137" w:rsidP="00BB214A">
            <w:pPr>
              <w:jc w:val="center"/>
              <w:rPr>
                <w:rFonts w:ascii="Calibri" w:hAnsi="Calibri"/>
              </w:rPr>
            </w:pPr>
            <w:r>
              <w:rPr>
                <w:rFonts w:ascii="Calibri" w:hAnsi="Calibri"/>
                <w:sz w:val="20"/>
                <w:szCs w:val="20"/>
              </w:rPr>
              <w:t>TBD</w:t>
            </w:r>
          </w:p>
        </w:tc>
        <w:tc>
          <w:tcPr>
            <w:tcW w:w="900" w:type="dxa"/>
            <w:vAlign w:val="center"/>
          </w:tcPr>
          <w:p w:rsidR="00520137" w:rsidRDefault="00520137" w:rsidP="00BB214A">
            <w:pPr>
              <w:jc w:val="center"/>
              <w:rPr>
                <w:rFonts w:ascii="Calibri" w:hAnsi="Calibri"/>
              </w:rPr>
            </w:pPr>
            <w:r>
              <w:rPr>
                <w:rFonts w:ascii="Calibri" w:hAnsi="Calibri"/>
                <w:sz w:val="20"/>
                <w:szCs w:val="20"/>
              </w:rPr>
              <w:t>TBD</w:t>
            </w:r>
          </w:p>
        </w:tc>
      </w:tr>
    </w:tbl>
    <w:p w:rsidR="00B36AD1" w:rsidRDefault="00B36AD1" w:rsidP="00520137">
      <w:pPr>
        <w:jc w:val="both"/>
        <w:rPr>
          <w:rFonts w:ascii="Calibri" w:hAnsi="Calibri"/>
        </w:rPr>
      </w:pPr>
    </w:p>
    <w:p w:rsidR="00B36AD1" w:rsidRPr="00B36AD1" w:rsidRDefault="00B36AD1" w:rsidP="00B87EAF">
      <w:pPr>
        <w:spacing w:after="200" w:line="276" w:lineRule="auto"/>
        <w:rPr>
          <w:rFonts w:ascii="Calibri" w:hAnsi="Calibri"/>
        </w:rPr>
        <w:sectPr w:rsidR="00B36AD1" w:rsidRPr="00B36AD1" w:rsidSect="00BB214A">
          <w:headerReference w:type="default" r:id="rId32"/>
          <w:footnotePr>
            <w:numRestart w:val="eachPage"/>
          </w:footnotePr>
          <w:pgSz w:w="15840" w:h="12240" w:orient="landscape" w:code="1"/>
          <w:pgMar w:top="720" w:right="1440" w:bottom="720" w:left="1440" w:header="288" w:footer="720" w:gutter="0"/>
          <w:cols w:space="720"/>
          <w:docGrid w:linePitch="360"/>
        </w:sectPr>
      </w:pPr>
      <w:r>
        <w:rPr>
          <w:rFonts w:ascii="Calibri" w:hAnsi="Calibri"/>
        </w:rPr>
        <w:br w:type="page"/>
      </w:r>
    </w:p>
    <w:p w:rsidR="00520137" w:rsidRPr="007214FD" w:rsidRDefault="00520137" w:rsidP="00520137">
      <w:pPr>
        <w:jc w:val="center"/>
        <w:rPr>
          <w:rFonts w:ascii="Calibri" w:hAnsi="Calibri"/>
          <w:b/>
          <w:sz w:val="36"/>
          <w:szCs w:val="36"/>
        </w:rPr>
      </w:pPr>
      <w:r w:rsidRPr="007214FD">
        <w:rPr>
          <w:rFonts w:ascii="Calibri" w:hAnsi="Calibri"/>
          <w:b/>
          <w:sz w:val="36"/>
          <w:szCs w:val="36"/>
        </w:rPr>
        <w:t>Performance, Resources, and Strategies</w:t>
      </w:r>
    </w:p>
    <w:p w:rsidR="00520137" w:rsidRPr="007214FD" w:rsidRDefault="00520137" w:rsidP="00520137">
      <w:pPr>
        <w:rPr>
          <w:rFonts w:ascii="Calibri" w:hAnsi="Calibri"/>
          <w:sz w:val="20"/>
          <w:szCs w:val="20"/>
        </w:rPr>
      </w:pPr>
    </w:p>
    <w:p w:rsidR="00520137" w:rsidRPr="00CC6AD5" w:rsidRDefault="00520137" w:rsidP="00520137">
      <w:pPr>
        <w:rPr>
          <w:rFonts w:ascii="Calibri" w:hAnsi="Calibri"/>
          <w:b/>
          <w:color w:val="632423" w:themeColor="accent2" w:themeShade="80"/>
          <w:sz w:val="28"/>
          <w:szCs w:val="28"/>
        </w:rPr>
      </w:pPr>
      <w:r w:rsidRPr="00CC6AD5">
        <w:rPr>
          <w:rFonts w:ascii="Calibri" w:hAnsi="Calibri"/>
          <w:b/>
          <w:color w:val="632423" w:themeColor="accent2" w:themeShade="80"/>
          <w:sz w:val="28"/>
          <w:szCs w:val="28"/>
        </w:rPr>
        <w:t>Performance Plan and Report for Outcomes:</w:t>
      </w:r>
    </w:p>
    <w:p w:rsidR="00520137" w:rsidRPr="007214FD" w:rsidRDefault="00520137" w:rsidP="00520137">
      <w:pPr>
        <w:jc w:val="both"/>
        <w:rPr>
          <w:rFonts w:ascii="Calibri" w:hAnsi="Calibri"/>
          <w:sz w:val="20"/>
          <w:szCs w:val="20"/>
        </w:rPr>
      </w:pPr>
    </w:p>
    <w:p w:rsidR="00520137" w:rsidRPr="007214FD" w:rsidRDefault="00520137" w:rsidP="00520137">
      <w:pPr>
        <w:jc w:val="both"/>
        <w:rPr>
          <w:rFonts w:ascii="Calibri" w:hAnsi="Calibri"/>
        </w:rPr>
      </w:pPr>
      <w:r w:rsidRPr="007214FD">
        <w:rPr>
          <w:rFonts w:ascii="Calibri" w:hAnsi="Calibri"/>
        </w:rPr>
        <w:t xml:space="preserve">The data presented in the Performance and Resources Table demonstrate the Civil Division’s consistent success in meeting performance targets in support of the Department’s Strategic Objective 2.7 to “vigorously enforce and represent the interests of the United States in all matters over which the Department has jurisdiction.”  </w:t>
      </w:r>
      <w:r w:rsidR="00306A8B">
        <w:rPr>
          <w:rFonts w:ascii="Calibri" w:hAnsi="Calibri"/>
        </w:rPr>
        <w:t xml:space="preserve">In FY 2010, the Division met or exceeded each target.  </w:t>
      </w:r>
      <w:r w:rsidRPr="007214FD">
        <w:rPr>
          <w:rFonts w:ascii="Calibri" w:hAnsi="Calibri"/>
        </w:rPr>
        <w:t>The following cases highlight how the Division has recently worked to protect the public fisc, defend U.S. policies, and enforce civil statutes.</w:t>
      </w:r>
    </w:p>
    <w:p w:rsidR="00520137" w:rsidRPr="004E7808" w:rsidRDefault="00520137" w:rsidP="00520137">
      <w:pPr>
        <w:rPr>
          <w:rFonts w:asciiTheme="minorHAnsi" w:hAnsiTheme="minorHAnsi"/>
          <w:sz w:val="20"/>
          <w:szCs w:val="20"/>
        </w:rPr>
      </w:pPr>
    </w:p>
    <w:p w:rsidR="00520137" w:rsidRPr="007214FD" w:rsidRDefault="00520137" w:rsidP="00520137">
      <w:pPr>
        <w:jc w:val="both"/>
        <w:rPr>
          <w:rFonts w:ascii="Calibri" w:hAnsi="Calibri"/>
        </w:rPr>
      </w:pPr>
      <w:r w:rsidRPr="009237C7">
        <w:rPr>
          <w:rFonts w:ascii="Calibri" w:hAnsi="Calibri"/>
        </w:rPr>
        <w:t>Over the last six years, the Division has made significant affir</w:t>
      </w:r>
      <w:r w:rsidR="009237C7" w:rsidRPr="009237C7">
        <w:rPr>
          <w:rFonts w:ascii="Calibri" w:hAnsi="Calibri"/>
        </w:rPr>
        <w:t>mative recoveries totaling $18.2</w:t>
      </w:r>
      <w:r w:rsidRPr="009237C7">
        <w:rPr>
          <w:rFonts w:ascii="Calibri" w:hAnsi="Calibri"/>
        </w:rPr>
        <w:t xml:space="preserve"> billion.</w:t>
      </w:r>
      <w:r w:rsidR="00FF36E0">
        <w:rPr>
          <w:rFonts w:ascii="Calibri" w:hAnsi="Calibri"/>
        </w:rPr>
        <w:t xml:space="preserve"> </w:t>
      </w:r>
      <w:r w:rsidR="009237C7">
        <w:rPr>
          <w:rFonts w:ascii="Calibri" w:hAnsi="Calibri"/>
        </w:rPr>
        <w:t xml:space="preserve"> </w:t>
      </w:r>
      <w:r w:rsidRPr="007214FD">
        <w:rPr>
          <w:rFonts w:ascii="Calibri" w:hAnsi="Calibri"/>
        </w:rPr>
        <w:t xml:space="preserve">Most were the result of </w:t>
      </w:r>
      <w:r w:rsidRPr="007214FD">
        <w:rPr>
          <w:rFonts w:ascii="Calibri" w:hAnsi="Calibri"/>
          <w:i/>
        </w:rPr>
        <w:t>qui tam</w:t>
      </w:r>
      <w:r w:rsidRPr="007214FD">
        <w:rPr>
          <w:rFonts w:ascii="Calibri" w:hAnsi="Calibri"/>
        </w:rPr>
        <w:t xml:space="preserve"> health care </w:t>
      </w:r>
      <w:r w:rsidR="009237C7">
        <w:rPr>
          <w:rFonts w:ascii="Calibri" w:hAnsi="Calibri"/>
        </w:rPr>
        <w:t xml:space="preserve">fraud and procurement matters. </w:t>
      </w:r>
      <w:r w:rsidR="00FF36E0">
        <w:rPr>
          <w:rFonts w:ascii="Calibri" w:hAnsi="Calibri"/>
        </w:rPr>
        <w:t xml:space="preserve"> </w:t>
      </w:r>
      <w:r w:rsidRPr="007214FD">
        <w:rPr>
          <w:rFonts w:ascii="Calibri" w:hAnsi="Calibri"/>
        </w:rPr>
        <w:t>The following cases are particularly noteworthy:</w:t>
      </w:r>
    </w:p>
    <w:p w:rsidR="00520137" w:rsidRPr="004E7808" w:rsidRDefault="00520137" w:rsidP="00520137">
      <w:pPr>
        <w:jc w:val="both"/>
        <w:rPr>
          <w:rFonts w:ascii="Calibri" w:hAnsi="Calibri"/>
          <w:color w:val="006666"/>
          <w:sz w:val="20"/>
          <w:szCs w:val="20"/>
        </w:rPr>
      </w:pPr>
    </w:p>
    <w:p w:rsidR="00520137" w:rsidRPr="00F10E1B" w:rsidRDefault="00520137" w:rsidP="00520137">
      <w:pPr>
        <w:numPr>
          <w:ilvl w:val="1"/>
          <w:numId w:val="6"/>
        </w:numPr>
        <w:jc w:val="both"/>
        <w:rPr>
          <w:rFonts w:ascii="Calibri" w:hAnsi="Calibri"/>
        </w:rPr>
      </w:pPr>
      <w:r w:rsidRPr="00632D42">
        <w:rPr>
          <w:rFonts w:ascii="Calibri" w:hAnsi="Calibri"/>
          <w:b/>
          <w:i/>
          <w:color w:val="632423"/>
          <w:sz w:val="26"/>
          <w:szCs w:val="26"/>
          <w:u w:val="single"/>
        </w:rPr>
        <w:t>Health Care</w:t>
      </w:r>
      <w:bookmarkStart w:id="4" w:name="OLE_LINK5"/>
      <w:bookmarkStart w:id="5" w:name="OLE_LINK6"/>
      <w:r w:rsidRPr="00632D42">
        <w:rPr>
          <w:rFonts w:ascii="Calibri" w:hAnsi="Calibri"/>
          <w:b/>
          <w:i/>
          <w:color w:val="632423"/>
          <w:sz w:val="26"/>
          <w:szCs w:val="26"/>
          <w:u w:val="single"/>
        </w:rPr>
        <w:t xml:space="preserve"> Fraud</w:t>
      </w:r>
      <w:r w:rsidRPr="007214FD">
        <w:rPr>
          <w:rFonts w:ascii="Calibri" w:hAnsi="Calibri"/>
        </w:rPr>
        <w:t xml:space="preserve">  </w:t>
      </w:r>
      <w:bookmarkEnd w:id="4"/>
      <w:bookmarkEnd w:id="5"/>
      <w:r w:rsidRPr="001B698E">
        <w:rPr>
          <w:rFonts w:ascii="Calibri" w:hAnsi="Calibri"/>
        </w:rPr>
        <w:t xml:space="preserve">In </w:t>
      </w:r>
      <w:r>
        <w:rPr>
          <w:rFonts w:ascii="Calibri" w:hAnsi="Calibri"/>
        </w:rPr>
        <w:t>September</w:t>
      </w:r>
      <w:r w:rsidRPr="001B698E">
        <w:rPr>
          <w:rFonts w:ascii="Calibri" w:hAnsi="Calibri"/>
        </w:rPr>
        <w:t xml:space="preserve"> 2010, pharmaceutical manufac</w:t>
      </w:r>
      <w:r>
        <w:rPr>
          <w:rFonts w:ascii="Calibri" w:hAnsi="Calibri"/>
        </w:rPr>
        <w:t>turer</w:t>
      </w:r>
      <w:r w:rsidRPr="001B698E">
        <w:rPr>
          <w:rFonts w:ascii="Calibri" w:hAnsi="Calibri"/>
        </w:rPr>
        <w:t xml:space="preserve"> </w:t>
      </w:r>
      <w:r>
        <w:rPr>
          <w:rFonts w:ascii="Calibri" w:hAnsi="Calibri"/>
        </w:rPr>
        <w:t>Allergan Inc. agreed to plead guilty and</w:t>
      </w:r>
      <w:r w:rsidRPr="001B698E">
        <w:rPr>
          <w:rFonts w:ascii="Calibri" w:hAnsi="Calibri"/>
        </w:rPr>
        <w:t xml:space="preserve"> pay </w:t>
      </w:r>
      <w:r>
        <w:rPr>
          <w:rFonts w:ascii="Calibri" w:hAnsi="Calibri"/>
        </w:rPr>
        <w:t>$600,000,000 to</w:t>
      </w:r>
      <w:r w:rsidRPr="001B698E">
        <w:rPr>
          <w:rFonts w:ascii="Calibri" w:hAnsi="Calibri"/>
        </w:rPr>
        <w:t xml:space="preserve"> resolve cri</w:t>
      </w:r>
      <w:r>
        <w:rPr>
          <w:rFonts w:ascii="Calibri" w:hAnsi="Calibri"/>
        </w:rPr>
        <w:t xml:space="preserve">minal and civil fraud allegations </w:t>
      </w:r>
      <w:r w:rsidRPr="001B698E">
        <w:rPr>
          <w:rFonts w:ascii="Calibri" w:hAnsi="Calibri"/>
        </w:rPr>
        <w:t xml:space="preserve">arising from </w:t>
      </w:r>
      <w:r>
        <w:rPr>
          <w:rFonts w:ascii="Calibri" w:hAnsi="Calibri"/>
        </w:rPr>
        <w:t>the company’s illegal promotion of Botox for unapproved uses in direct violation of the Food, Drug an</w:t>
      </w:r>
      <w:r w:rsidR="00FF36E0">
        <w:rPr>
          <w:rFonts w:ascii="Calibri" w:hAnsi="Calibri"/>
        </w:rPr>
        <w:t xml:space="preserve">d Cosmetic Act.  </w:t>
      </w:r>
      <w:r>
        <w:rPr>
          <w:rFonts w:ascii="Calibri" w:hAnsi="Calibri"/>
        </w:rPr>
        <w:t>T</w:t>
      </w:r>
      <w:r w:rsidRPr="001B698E">
        <w:rPr>
          <w:rFonts w:ascii="Calibri" w:hAnsi="Calibri"/>
        </w:rPr>
        <w:t>he settlement also resolved civil allegations</w:t>
      </w:r>
      <w:r>
        <w:rPr>
          <w:rFonts w:ascii="Calibri" w:hAnsi="Calibri"/>
        </w:rPr>
        <w:t xml:space="preserve"> under the False Claims Act </w:t>
      </w:r>
      <w:r w:rsidRPr="001B698E">
        <w:rPr>
          <w:rFonts w:ascii="Calibri" w:hAnsi="Calibri"/>
        </w:rPr>
        <w:t xml:space="preserve">that the </w:t>
      </w:r>
      <w:r>
        <w:rPr>
          <w:rFonts w:ascii="Calibri" w:hAnsi="Calibri"/>
        </w:rPr>
        <w:t xml:space="preserve">company’s unlawful marketing practices caused false claims to be submitted to Government health care programs, defrauding the Government </w:t>
      </w:r>
      <w:r w:rsidR="00ED3BB7">
        <w:rPr>
          <w:rFonts w:ascii="Calibri" w:hAnsi="Calibri"/>
        </w:rPr>
        <w:t>of</w:t>
      </w:r>
      <w:r>
        <w:rPr>
          <w:rFonts w:ascii="Calibri" w:hAnsi="Calibri"/>
        </w:rPr>
        <w:t xml:space="preserve"> millions of dollars.  Additionally, the company</w:t>
      </w:r>
      <w:r w:rsidRPr="00F10E1B">
        <w:rPr>
          <w:rFonts w:ascii="Calibri" w:hAnsi="Calibri"/>
        </w:rPr>
        <w:t xml:space="preserve"> </w:t>
      </w:r>
      <w:r>
        <w:rPr>
          <w:rFonts w:ascii="Calibri" w:hAnsi="Calibri"/>
        </w:rPr>
        <w:t xml:space="preserve">provided </w:t>
      </w:r>
      <w:r w:rsidRPr="00F10E1B">
        <w:rPr>
          <w:rFonts w:ascii="Calibri" w:hAnsi="Calibri"/>
        </w:rPr>
        <w:t>kickbacks to physicians to induce them to use this product for off-label uses.</w:t>
      </w:r>
      <w:r>
        <w:rPr>
          <w:rFonts w:ascii="Calibri" w:hAnsi="Calibri"/>
        </w:rPr>
        <w:t xml:space="preserve"> </w:t>
      </w:r>
    </w:p>
    <w:p w:rsidR="00520137" w:rsidRPr="004E7808" w:rsidRDefault="00520137" w:rsidP="00520137">
      <w:pPr>
        <w:contextualSpacing/>
        <w:jc w:val="both"/>
        <w:rPr>
          <w:rFonts w:ascii="Calibri" w:hAnsi="Calibri"/>
          <w:sz w:val="20"/>
          <w:szCs w:val="20"/>
        </w:rPr>
      </w:pPr>
    </w:p>
    <w:p w:rsidR="00520137" w:rsidRPr="001D3B73" w:rsidRDefault="00520137" w:rsidP="00520137">
      <w:pPr>
        <w:pStyle w:val="ListParagraph"/>
        <w:numPr>
          <w:ilvl w:val="0"/>
          <w:numId w:val="23"/>
        </w:numPr>
        <w:jc w:val="both"/>
        <w:rPr>
          <w:rFonts w:asciiTheme="minorHAnsi" w:hAnsiTheme="minorHAnsi"/>
        </w:rPr>
      </w:pPr>
      <w:r w:rsidRPr="001D3B73">
        <w:rPr>
          <w:rFonts w:asciiTheme="minorHAnsi" w:hAnsiTheme="minorHAnsi"/>
          <w:b/>
          <w:i/>
          <w:noProof/>
          <w:color w:val="632423"/>
          <w:u w:val="single"/>
        </w:rPr>
        <w:drawing>
          <wp:anchor distT="48768" distB="41910" distL="333756" distR="316230" simplePos="0" relativeHeight="251661312" behindDoc="0" locked="0" layoutInCell="1" allowOverlap="1">
            <wp:simplePos x="0" y="0"/>
            <wp:positionH relativeFrom="column">
              <wp:posOffset>2876550</wp:posOffset>
            </wp:positionH>
            <wp:positionV relativeFrom="paragraph">
              <wp:posOffset>122555</wp:posOffset>
            </wp:positionV>
            <wp:extent cx="3114675" cy="3276600"/>
            <wp:effectExtent l="0" t="0" r="0" b="0"/>
            <wp:wrapSquare wrapText="left"/>
            <wp:docPr id="1219" name="Object 1219" descr="This bar chart shows the dollars sought and dollars recovered for closed affirmative cases from fiscal year 2005 to fiscal year 2010.  Over the last six years, the Civil Division has recovered $18.2 billion."/>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Pr="001D3B73">
        <w:rPr>
          <w:rFonts w:asciiTheme="minorHAnsi" w:hAnsiTheme="minorHAnsi"/>
          <w:b/>
          <w:bCs/>
          <w:i/>
          <w:iCs/>
          <w:color w:val="632423"/>
          <w:sz w:val="26"/>
          <w:szCs w:val="26"/>
          <w:u w:val="single"/>
        </w:rPr>
        <w:t>Consumer Protection Fraud</w:t>
      </w:r>
      <w:r w:rsidRPr="001D3B73">
        <w:rPr>
          <w:rFonts w:asciiTheme="minorHAnsi" w:hAnsiTheme="minorHAnsi"/>
          <w:b/>
          <w:bCs/>
          <w:sz w:val="32"/>
          <w:szCs w:val="32"/>
        </w:rPr>
        <w:t xml:space="preserve">  </w:t>
      </w:r>
      <w:r w:rsidRPr="001D3B73">
        <w:rPr>
          <w:rFonts w:asciiTheme="minorHAnsi" w:hAnsiTheme="minorHAnsi"/>
        </w:rPr>
        <w:t xml:space="preserve">In October 2010, GlaxoSmithKline, a global pharmaceutical and consumer health care company, agreed to plead guilty and pay $750,000,000 for charges related to the manufacturing and distribution of adulterated drugs. The drugs were found to be processed and held in facilities that did not conform to standard manufacturing practices, thereby failing to meet drug safety and purity requirements. </w:t>
      </w:r>
      <w:r w:rsidR="00FF36E0">
        <w:rPr>
          <w:rFonts w:asciiTheme="minorHAnsi" w:hAnsiTheme="minorHAnsi"/>
        </w:rPr>
        <w:t xml:space="preserve"> </w:t>
      </w:r>
      <w:r w:rsidR="008111FC">
        <w:rPr>
          <w:rFonts w:asciiTheme="minorHAnsi" w:hAnsiTheme="minorHAnsi"/>
        </w:rPr>
        <w:t>The civil settlement</w:t>
      </w:r>
      <w:r w:rsidRPr="001D3B73">
        <w:rPr>
          <w:rFonts w:asciiTheme="minorHAnsi" w:hAnsiTheme="minorHAnsi"/>
        </w:rPr>
        <w:t xml:space="preserve"> resolved allegations that false claims were submitted to Government health care programs.</w:t>
      </w:r>
    </w:p>
    <w:p w:rsidR="00520137" w:rsidRPr="0070631D" w:rsidRDefault="00520137" w:rsidP="00520137">
      <w:pPr>
        <w:jc w:val="both"/>
        <w:rPr>
          <w:rFonts w:ascii="Calibri" w:hAnsi="Calibri"/>
          <w:sz w:val="20"/>
          <w:szCs w:val="20"/>
        </w:rPr>
      </w:pPr>
    </w:p>
    <w:p w:rsidR="00520137" w:rsidRPr="00BA79BD" w:rsidRDefault="00520137" w:rsidP="00566C3D">
      <w:pPr>
        <w:pStyle w:val="ListParagraph"/>
        <w:numPr>
          <w:ilvl w:val="0"/>
          <w:numId w:val="23"/>
        </w:numPr>
        <w:jc w:val="both"/>
        <w:rPr>
          <w:rFonts w:asciiTheme="minorHAnsi" w:hAnsiTheme="minorHAnsi"/>
          <w:b/>
          <w:bCs/>
          <w:sz w:val="32"/>
          <w:szCs w:val="32"/>
        </w:rPr>
      </w:pPr>
      <w:r w:rsidRPr="00BA79BD">
        <w:rPr>
          <w:rFonts w:asciiTheme="minorHAnsi" w:hAnsiTheme="minorHAnsi"/>
          <w:b/>
          <w:bCs/>
          <w:i/>
          <w:iCs/>
          <w:color w:val="632423"/>
          <w:sz w:val="26"/>
          <w:szCs w:val="26"/>
          <w:u w:val="single"/>
        </w:rPr>
        <w:t>False Claims Act Lawsuit</w:t>
      </w:r>
      <w:r w:rsidRPr="00BA79BD">
        <w:rPr>
          <w:rFonts w:asciiTheme="minorHAnsi" w:hAnsiTheme="minorHAnsi"/>
          <w:b/>
          <w:bCs/>
          <w:sz w:val="32"/>
          <w:szCs w:val="32"/>
        </w:rPr>
        <w:t xml:space="preserve">  </w:t>
      </w:r>
      <w:r w:rsidRPr="00BA79BD">
        <w:rPr>
          <w:rFonts w:asciiTheme="minorHAnsi" w:hAnsiTheme="minorHAnsi"/>
        </w:rPr>
        <w:t>In November 2010, four student aid lenders</w:t>
      </w:r>
      <w:r w:rsidR="00ED3BB7">
        <w:rPr>
          <w:rFonts w:asciiTheme="minorHAnsi" w:hAnsiTheme="minorHAnsi"/>
        </w:rPr>
        <w:t xml:space="preserve"> </w:t>
      </w:r>
      <w:r w:rsidRPr="00BA79BD">
        <w:rPr>
          <w:rFonts w:asciiTheme="minorHAnsi" w:hAnsiTheme="minorHAnsi"/>
        </w:rPr>
        <w:t xml:space="preserve">agreed to pay $57,750,000 to resolve allegations that they improperly inflated their entitlement in violation of the False Claims Act. </w:t>
      </w:r>
      <w:r w:rsidR="00FF36E0">
        <w:rPr>
          <w:rFonts w:asciiTheme="minorHAnsi" w:hAnsiTheme="minorHAnsi"/>
        </w:rPr>
        <w:t xml:space="preserve"> </w:t>
      </w:r>
      <w:r w:rsidRPr="00BA79BD">
        <w:rPr>
          <w:rFonts w:asciiTheme="minorHAnsi" w:hAnsiTheme="minorHAnsi"/>
        </w:rPr>
        <w:t>The case was initiated by a whistleblower who claimed that the lenders created billing systems that allowed them to receive improperly inflated interest rate subsides from the U.S. Department of Education.</w:t>
      </w:r>
    </w:p>
    <w:p w:rsidR="00520137" w:rsidRPr="00C04699" w:rsidRDefault="00520137" w:rsidP="00520137">
      <w:pPr>
        <w:jc w:val="both"/>
        <w:rPr>
          <w:rFonts w:ascii="Calibri" w:hAnsi="Calibri"/>
          <w:sz w:val="20"/>
          <w:szCs w:val="20"/>
        </w:rPr>
      </w:pPr>
    </w:p>
    <w:p w:rsidR="00520137" w:rsidRDefault="00007147" w:rsidP="00520137">
      <w:pPr>
        <w:jc w:val="both"/>
        <w:rPr>
          <w:rFonts w:ascii="Calibri" w:hAnsi="Calibri"/>
        </w:rPr>
      </w:pPr>
      <w:r w:rsidRPr="005077AE">
        <w:rPr>
          <w:rFonts w:ascii="Calibri" w:hAnsi="Calibri"/>
        </w:rPr>
        <w:t>Between FY 2005 and FY 2010</w:t>
      </w:r>
      <w:r w:rsidR="005077AE" w:rsidRPr="005077AE">
        <w:rPr>
          <w:rFonts w:ascii="Calibri" w:hAnsi="Calibri"/>
        </w:rPr>
        <w:t>, more than $84</w:t>
      </w:r>
      <w:r w:rsidR="00520137" w:rsidRPr="005077AE">
        <w:rPr>
          <w:rFonts w:ascii="Calibri" w:hAnsi="Calibri"/>
        </w:rPr>
        <w:t xml:space="preserve"> billion was saved as a result of the Civil Division’s successful defense against unmeritorious monetary claims.  </w:t>
      </w:r>
      <w:r w:rsidR="005077AE" w:rsidRPr="005077AE">
        <w:rPr>
          <w:rFonts w:ascii="Calibri" w:hAnsi="Calibri"/>
        </w:rPr>
        <w:t>In FY 2010</w:t>
      </w:r>
      <w:r w:rsidR="00520137" w:rsidRPr="005077AE">
        <w:rPr>
          <w:rFonts w:ascii="Calibri" w:hAnsi="Calibri"/>
        </w:rPr>
        <w:t xml:space="preserve"> </w:t>
      </w:r>
      <w:r w:rsidR="005077AE" w:rsidRPr="005077AE">
        <w:rPr>
          <w:rFonts w:ascii="Calibri" w:hAnsi="Calibri"/>
        </w:rPr>
        <w:t>alone, the Division defeated $14</w:t>
      </w:r>
      <w:r w:rsidR="00520137" w:rsidRPr="005077AE">
        <w:rPr>
          <w:rFonts w:ascii="Calibri" w:hAnsi="Calibri"/>
        </w:rPr>
        <w:t xml:space="preserve"> billion in unmeritorious claims.  Significant victories include the following:</w:t>
      </w:r>
    </w:p>
    <w:p w:rsidR="00520137" w:rsidRPr="004E7808" w:rsidRDefault="007F7B56" w:rsidP="00520137">
      <w:pPr>
        <w:jc w:val="both"/>
        <w:rPr>
          <w:rFonts w:ascii="Calibri" w:hAnsi="Calibri"/>
          <w:sz w:val="20"/>
          <w:szCs w:val="20"/>
        </w:rPr>
      </w:pPr>
      <w:r>
        <w:rPr>
          <w:rFonts w:ascii="Calibri" w:hAnsi="Calibri"/>
          <w:noProof/>
          <w:sz w:val="20"/>
          <w:szCs w:val="20"/>
        </w:rPr>
        <w:drawing>
          <wp:anchor distT="48768" distB="46609" distL="321564" distR="298069" simplePos="0" relativeHeight="251660288" behindDoc="0" locked="0" layoutInCell="1" allowOverlap="1">
            <wp:simplePos x="0" y="0"/>
            <wp:positionH relativeFrom="column">
              <wp:posOffset>2880360</wp:posOffset>
            </wp:positionH>
            <wp:positionV relativeFrom="paragraph">
              <wp:posOffset>113030</wp:posOffset>
            </wp:positionV>
            <wp:extent cx="3108960" cy="3278505"/>
            <wp:effectExtent l="0" t="0" r="0" b="0"/>
            <wp:wrapSquare wrapText="left"/>
            <wp:docPr id="1207" name="Object 1207" descr="This bar chart shows the dollars sought and dollars awarded for closed defensive cases from fiscal year 2005 to fiscal year 2010.  Over the last six years, more than $84 billion was saved as a result of the Civil Division's successful defense against unmeritorious monetary claims."/>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rsidR="00520137" w:rsidRPr="00757C2A" w:rsidRDefault="00520137" w:rsidP="00757C2A">
      <w:pPr>
        <w:numPr>
          <w:ilvl w:val="0"/>
          <w:numId w:val="9"/>
        </w:numPr>
        <w:jc w:val="both"/>
        <w:rPr>
          <w:rFonts w:ascii="Calibri" w:hAnsi="Calibri"/>
          <w:color w:val="006666"/>
        </w:rPr>
      </w:pPr>
      <w:r>
        <w:rPr>
          <w:rFonts w:ascii="Calibri" w:hAnsi="Calibri"/>
          <w:b/>
          <w:i/>
          <w:noProof/>
          <w:color w:val="632423"/>
          <w:sz w:val="26"/>
          <w:szCs w:val="26"/>
          <w:u w:val="single"/>
        </w:rPr>
        <w:t>FEMA Trailers</w:t>
      </w:r>
      <w:r w:rsidRPr="001E3048">
        <w:rPr>
          <w:rFonts w:ascii="Calibri" w:hAnsi="Calibri"/>
          <w:noProof/>
          <w:color w:val="632423"/>
          <w:sz w:val="26"/>
          <w:szCs w:val="26"/>
        </w:rPr>
        <w:t xml:space="preserve"> </w:t>
      </w:r>
      <w:r w:rsidR="008F56A0">
        <w:rPr>
          <w:rFonts w:ascii="Calibri" w:hAnsi="Calibri"/>
          <w:noProof/>
          <w:color w:val="632423"/>
          <w:sz w:val="26"/>
          <w:szCs w:val="26"/>
        </w:rPr>
        <w:t xml:space="preserve"> </w:t>
      </w:r>
      <w:r w:rsidR="008F56A0" w:rsidRPr="008F56A0">
        <w:rPr>
          <w:rFonts w:ascii="Calibri" w:hAnsi="Calibri"/>
        </w:rPr>
        <w:t xml:space="preserve">In </w:t>
      </w:r>
      <w:r w:rsidR="008F56A0" w:rsidRPr="008F56A0">
        <w:rPr>
          <w:rStyle w:val="Emphasis"/>
          <w:rFonts w:ascii="Calibri" w:hAnsi="Calibri"/>
        </w:rPr>
        <w:t xml:space="preserve">In re: FEMA Trailer Formaldehyde Product Liability Litigation,  </w:t>
      </w:r>
      <w:r w:rsidR="008F56A0" w:rsidRPr="008F56A0">
        <w:rPr>
          <w:rFonts w:ascii="Calibri" w:hAnsi="Calibri"/>
        </w:rPr>
        <w:t xml:space="preserve">plaintiffs seek to recover damages exceeding $100 billion for personal injuries allegedly resulting from exposure to formaldehyde in temporary emergency housing units provided by the Federal Emergency Management Agency in response </w:t>
      </w:r>
      <w:r w:rsidR="008F56A0">
        <w:rPr>
          <w:rFonts w:ascii="Calibri" w:hAnsi="Calibri"/>
        </w:rPr>
        <w:t>to Hurricanes Katrina and Rita.</w:t>
      </w:r>
      <w:r w:rsidR="008F56A0" w:rsidRPr="008F56A0">
        <w:rPr>
          <w:rFonts w:ascii="Calibri" w:hAnsi="Calibri"/>
        </w:rPr>
        <w:t xml:space="preserve"> </w:t>
      </w:r>
      <w:r w:rsidR="008B2403">
        <w:rPr>
          <w:rFonts w:ascii="Calibri" w:hAnsi="Calibri"/>
        </w:rPr>
        <w:t xml:space="preserve"> </w:t>
      </w:r>
      <w:r w:rsidR="008F56A0" w:rsidRPr="008F56A0">
        <w:rPr>
          <w:rFonts w:ascii="Calibri" w:hAnsi="Calibri"/>
        </w:rPr>
        <w:t>The United States has been dismissed from all of the suits heard thus far, including all simple negligence claims from Louisiana and all claims arising</w:t>
      </w:r>
      <w:r w:rsidR="008F56A0">
        <w:rPr>
          <w:rFonts w:ascii="Calibri" w:hAnsi="Calibri"/>
        </w:rPr>
        <w:t xml:space="preserve"> in Mississippi and Alabama. </w:t>
      </w:r>
      <w:r w:rsidR="00FF36E0">
        <w:rPr>
          <w:rFonts w:ascii="Calibri" w:hAnsi="Calibri"/>
        </w:rPr>
        <w:t xml:space="preserve"> </w:t>
      </w:r>
    </w:p>
    <w:p w:rsidR="00520137" w:rsidRPr="004E7808" w:rsidRDefault="00520137" w:rsidP="00520137">
      <w:pPr>
        <w:ind w:left="720"/>
        <w:jc w:val="both"/>
        <w:rPr>
          <w:rFonts w:asciiTheme="minorHAnsi" w:hAnsiTheme="minorHAnsi"/>
          <w:sz w:val="20"/>
          <w:szCs w:val="20"/>
        </w:rPr>
      </w:pPr>
    </w:p>
    <w:p w:rsidR="009A78A0" w:rsidRPr="009A78A0" w:rsidRDefault="004F26B2" w:rsidP="009A78A0">
      <w:pPr>
        <w:numPr>
          <w:ilvl w:val="0"/>
          <w:numId w:val="12"/>
        </w:numPr>
        <w:jc w:val="both"/>
        <w:rPr>
          <w:rFonts w:asciiTheme="minorHAnsi" w:hAnsiTheme="minorHAnsi"/>
          <w:sz w:val="20"/>
          <w:szCs w:val="20"/>
        </w:rPr>
      </w:pPr>
      <w:r>
        <w:rPr>
          <w:rFonts w:asciiTheme="minorHAnsi" w:hAnsiTheme="minorHAnsi"/>
          <w:b/>
          <w:i/>
          <w:color w:val="632423" w:themeColor="accent2" w:themeShade="80"/>
          <w:sz w:val="26"/>
          <w:szCs w:val="26"/>
          <w:u w:val="single"/>
        </w:rPr>
        <w:t>Cobell Settlement</w:t>
      </w:r>
      <w:r w:rsidR="00520137" w:rsidRPr="004F26B2">
        <w:rPr>
          <w:rFonts w:asciiTheme="minorHAnsi" w:hAnsiTheme="minorHAnsi"/>
        </w:rPr>
        <w:t xml:space="preserve">  </w:t>
      </w:r>
      <w:r w:rsidR="009A78A0" w:rsidRPr="009A78A0">
        <w:rPr>
          <w:rFonts w:ascii="Calibri" w:hAnsi="Calibri"/>
        </w:rPr>
        <w:t xml:space="preserve">On December 8, 2010, President Obama signed legislation approving a settlement in the class-action </w:t>
      </w:r>
      <w:r w:rsidR="009A78A0" w:rsidRPr="009A78A0">
        <w:rPr>
          <w:rFonts w:ascii="Calibri" w:hAnsi="Calibri"/>
          <w:i/>
          <w:iCs/>
        </w:rPr>
        <w:t>Cobell v. Salazar</w:t>
      </w:r>
      <w:r w:rsidR="009A78A0" w:rsidRPr="009A78A0">
        <w:rPr>
          <w:rFonts w:ascii="Calibri" w:hAnsi="Calibri"/>
        </w:rPr>
        <w:t xml:space="preserve">.  Filed in 1996, this case involved individual Indian trust accounts belonging to as many as 500,000 Native Americans, whose claims exceeded $100 billion.  The settlement provides $1.5 billion as compensation for alleged accounting and asset mismanagement claims and an additional $1.9 billion to be used to acquire small, fractionated land interests held by individual Indians.  </w:t>
      </w:r>
    </w:p>
    <w:p w:rsidR="009A78A0" w:rsidRPr="004F26B2" w:rsidRDefault="009A78A0" w:rsidP="004F26B2">
      <w:pPr>
        <w:ind w:left="720"/>
        <w:jc w:val="both"/>
        <w:rPr>
          <w:rFonts w:asciiTheme="minorHAnsi" w:hAnsiTheme="minorHAnsi"/>
          <w:sz w:val="20"/>
          <w:szCs w:val="20"/>
        </w:rPr>
      </w:pPr>
    </w:p>
    <w:p w:rsidR="00520137" w:rsidRPr="007214FD" w:rsidRDefault="00520137" w:rsidP="00520137">
      <w:pPr>
        <w:jc w:val="both"/>
        <w:rPr>
          <w:rFonts w:ascii="Calibri" w:hAnsi="Calibri"/>
        </w:rPr>
      </w:pPr>
      <w:r w:rsidRPr="007214FD">
        <w:rPr>
          <w:rFonts w:ascii="Calibri" w:hAnsi="Calibri"/>
        </w:rPr>
        <w:t>The following are representative of the Division’s non-monetary work:</w:t>
      </w:r>
    </w:p>
    <w:p w:rsidR="00520137" w:rsidRPr="004E7808" w:rsidRDefault="00520137" w:rsidP="00520137">
      <w:pPr>
        <w:jc w:val="both"/>
        <w:rPr>
          <w:rFonts w:ascii="Calibri" w:hAnsi="Calibri"/>
          <w:sz w:val="20"/>
          <w:szCs w:val="20"/>
        </w:rPr>
      </w:pPr>
    </w:p>
    <w:p w:rsidR="00D025BC" w:rsidRPr="008111FC" w:rsidRDefault="00520137" w:rsidP="00495A7D">
      <w:pPr>
        <w:pStyle w:val="ListParagraph"/>
        <w:numPr>
          <w:ilvl w:val="0"/>
          <w:numId w:val="8"/>
        </w:numPr>
        <w:contextualSpacing/>
        <w:jc w:val="both"/>
        <w:rPr>
          <w:rFonts w:asciiTheme="minorHAnsi" w:hAnsiTheme="minorHAnsi"/>
          <w:sz w:val="20"/>
          <w:szCs w:val="20"/>
        </w:rPr>
      </w:pPr>
      <w:r w:rsidRPr="00D025BC">
        <w:rPr>
          <w:rFonts w:asciiTheme="minorHAnsi" w:hAnsiTheme="minorHAnsi"/>
          <w:b/>
          <w:i/>
          <w:color w:val="632423"/>
          <w:sz w:val="26"/>
          <w:szCs w:val="26"/>
          <w:u w:val="single"/>
        </w:rPr>
        <w:t>Constitutional Challenge</w:t>
      </w:r>
      <w:r w:rsidR="000E12EE">
        <w:rPr>
          <w:rFonts w:asciiTheme="minorHAnsi" w:hAnsiTheme="minorHAnsi"/>
          <w:b/>
          <w:i/>
          <w:color w:val="632423"/>
          <w:sz w:val="26"/>
          <w:szCs w:val="26"/>
          <w:u w:val="single"/>
        </w:rPr>
        <w:t>s</w:t>
      </w:r>
      <w:r w:rsidRPr="00D025BC">
        <w:rPr>
          <w:rFonts w:asciiTheme="minorHAnsi" w:hAnsiTheme="minorHAnsi"/>
          <w:b/>
          <w:i/>
        </w:rPr>
        <w:t xml:space="preserve">  </w:t>
      </w:r>
      <w:r w:rsidR="00D025BC" w:rsidRPr="00D025BC">
        <w:rPr>
          <w:rFonts w:asciiTheme="minorHAnsi" w:hAnsiTheme="minorHAnsi"/>
          <w:lang w:val="en-CA"/>
        </w:rPr>
        <w:t>The Free</w:t>
      </w:r>
      <w:r w:rsidR="000E12EE">
        <w:rPr>
          <w:rFonts w:asciiTheme="minorHAnsi" w:hAnsiTheme="minorHAnsi"/>
          <w:lang w:val="en-CA"/>
        </w:rPr>
        <w:t>dom from Religion Foundation</w:t>
      </w:r>
      <w:r w:rsidR="00D025BC" w:rsidRPr="00D025BC">
        <w:rPr>
          <w:rFonts w:asciiTheme="minorHAnsi" w:hAnsiTheme="minorHAnsi"/>
          <w:lang w:val="en-CA"/>
        </w:rPr>
        <w:t xml:space="preserve"> challenged the engravings of the Pledge of Allegiance</w:t>
      </w:r>
      <w:r w:rsidR="00416450">
        <w:rPr>
          <w:rFonts w:asciiTheme="minorHAnsi" w:hAnsiTheme="minorHAnsi"/>
          <w:lang w:val="en-CA"/>
        </w:rPr>
        <w:t>,</w:t>
      </w:r>
      <w:r w:rsidR="00D025BC" w:rsidRPr="00D025BC">
        <w:rPr>
          <w:rFonts w:asciiTheme="minorHAnsi" w:hAnsiTheme="minorHAnsi"/>
          <w:lang w:val="en-CA"/>
        </w:rPr>
        <w:t xml:space="preserve"> as well as the motto “In God We Trust</w:t>
      </w:r>
      <w:r w:rsidR="00BE53E2">
        <w:rPr>
          <w:rFonts w:asciiTheme="minorHAnsi" w:hAnsiTheme="minorHAnsi"/>
          <w:lang w:val="en-CA"/>
        </w:rPr>
        <w:t>,</w:t>
      </w:r>
      <w:r w:rsidR="00D025BC" w:rsidRPr="00D025BC">
        <w:rPr>
          <w:rFonts w:asciiTheme="minorHAnsi" w:hAnsiTheme="minorHAnsi"/>
          <w:lang w:val="en-CA"/>
        </w:rPr>
        <w:t>” in prominent places, alleging the violation of the Establishment Clause.  In September 2010, the district court granted the Government’s motion to dismiss</w:t>
      </w:r>
      <w:r w:rsidR="000E12EE">
        <w:rPr>
          <w:rFonts w:asciiTheme="minorHAnsi" w:hAnsiTheme="minorHAnsi"/>
          <w:lang w:val="en-CA"/>
        </w:rPr>
        <w:t xml:space="preserve"> </w:t>
      </w:r>
      <w:r w:rsidR="00D025BC" w:rsidRPr="00D025BC">
        <w:rPr>
          <w:rFonts w:asciiTheme="minorHAnsi" w:hAnsiTheme="minorHAnsi"/>
          <w:lang w:val="en-CA"/>
        </w:rPr>
        <w:t xml:space="preserve">in </w:t>
      </w:r>
      <w:r w:rsidR="00D025BC" w:rsidRPr="00D025BC">
        <w:rPr>
          <w:rFonts w:asciiTheme="minorHAnsi" w:hAnsiTheme="minorHAnsi"/>
          <w:i/>
          <w:lang w:val="en-CA"/>
        </w:rPr>
        <w:t>Freedom from Religion Foundation, Inc., et al. v. Ayers</w:t>
      </w:r>
      <w:r w:rsidR="008266BA">
        <w:rPr>
          <w:rFonts w:asciiTheme="minorHAnsi" w:hAnsiTheme="minorHAnsi"/>
          <w:lang w:val="en-CA"/>
        </w:rPr>
        <w:t xml:space="preserve">.  </w:t>
      </w:r>
      <w:r w:rsidR="000E12EE">
        <w:rPr>
          <w:rFonts w:asciiTheme="minorHAnsi" w:hAnsiTheme="minorHAnsi"/>
          <w:lang w:val="en-CA"/>
        </w:rPr>
        <w:t>The plaintiff</w:t>
      </w:r>
      <w:r w:rsidR="00D025BC" w:rsidRPr="00D025BC">
        <w:rPr>
          <w:rFonts w:asciiTheme="minorHAnsi" w:hAnsiTheme="minorHAnsi"/>
          <w:lang w:val="en-CA"/>
        </w:rPr>
        <w:t xml:space="preserve"> filed a similar Establishment Clause challenge to a New Hampshire statute that requires public schools to set aside a period during the school day for voluntary recitation of the Pledge of Allegiance.  In November 2010, the First Circuit rejected the plaintiff’s constitutional challenge in </w:t>
      </w:r>
      <w:r w:rsidR="008266BA">
        <w:rPr>
          <w:rFonts w:asciiTheme="minorHAnsi" w:hAnsiTheme="minorHAnsi"/>
          <w:lang w:val="en-CA"/>
        </w:rPr>
        <w:t>favo</w:t>
      </w:r>
      <w:r w:rsidR="008266BA" w:rsidRPr="00D025BC">
        <w:rPr>
          <w:rFonts w:asciiTheme="minorHAnsi" w:hAnsiTheme="minorHAnsi"/>
          <w:lang w:val="en-CA"/>
        </w:rPr>
        <w:t>r</w:t>
      </w:r>
      <w:r w:rsidR="00D025BC" w:rsidRPr="00D025BC">
        <w:rPr>
          <w:rFonts w:asciiTheme="minorHAnsi" w:hAnsiTheme="minorHAnsi"/>
          <w:lang w:val="en-CA"/>
        </w:rPr>
        <w:t xml:space="preserve"> of the Government</w:t>
      </w:r>
      <w:r w:rsidR="008266BA">
        <w:rPr>
          <w:rFonts w:asciiTheme="minorHAnsi" w:hAnsiTheme="minorHAnsi"/>
          <w:lang w:val="en-CA"/>
        </w:rPr>
        <w:t xml:space="preserve"> in </w:t>
      </w:r>
      <w:r w:rsidR="008266BA" w:rsidRPr="008266BA">
        <w:rPr>
          <w:rFonts w:asciiTheme="minorHAnsi" w:hAnsiTheme="minorHAnsi"/>
          <w:i/>
          <w:lang w:val="en-CA"/>
        </w:rPr>
        <w:t>Freedom of Religion Foundation, Inc. v. Hanover School District</w:t>
      </w:r>
      <w:r w:rsidR="00D025BC" w:rsidRPr="00D025BC">
        <w:rPr>
          <w:rFonts w:asciiTheme="minorHAnsi" w:hAnsiTheme="minorHAnsi"/>
          <w:lang w:val="en-CA"/>
        </w:rPr>
        <w:t>.</w:t>
      </w:r>
    </w:p>
    <w:p w:rsidR="008111FC" w:rsidRPr="008111FC" w:rsidRDefault="008111FC" w:rsidP="008111FC">
      <w:pPr>
        <w:ind w:left="360"/>
        <w:contextualSpacing/>
        <w:jc w:val="both"/>
        <w:rPr>
          <w:rFonts w:asciiTheme="minorHAnsi" w:hAnsiTheme="minorHAnsi"/>
          <w:sz w:val="20"/>
          <w:szCs w:val="20"/>
        </w:rPr>
      </w:pPr>
    </w:p>
    <w:p w:rsidR="00D025BC" w:rsidRDefault="00D025BC" w:rsidP="00FD50B4">
      <w:pPr>
        <w:pStyle w:val="ListParagraph"/>
        <w:numPr>
          <w:ilvl w:val="0"/>
          <w:numId w:val="26"/>
        </w:numPr>
        <w:jc w:val="both"/>
      </w:pPr>
      <w:r w:rsidRPr="00D025BC">
        <w:rPr>
          <w:rFonts w:ascii="Calibri" w:hAnsi="Calibri"/>
          <w:b/>
          <w:i/>
          <w:color w:val="632423"/>
          <w:sz w:val="26"/>
          <w:szCs w:val="26"/>
          <w:u w:val="single"/>
        </w:rPr>
        <w:t>Challenges to Federal Law</w:t>
      </w:r>
      <w:r w:rsidRPr="00D025BC">
        <w:rPr>
          <w:rFonts w:ascii="Calibri" w:hAnsi="Calibri"/>
          <w:color w:val="632423"/>
          <w:sz w:val="26"/>
          <w:szCs w:val="26"/>
        </w:rPr>
        <w:t xml:space="preserve">  </w:t>
      </w:r>
      <w:r w:rsidRPr="00D025BC">
        <w:rPr>
          <w:rFonts w:ascii="Calibri" w:hAnsi="Calibri"/>
        </w:rPr>
        <w:t xml:space="preserve">The Free Speech Coalition presented various challenges to provisions in the U.S. Code regarding child protection and obscenity that require producers to verify the ages of their performers.  In July 2010, the district court granted the Government’s motion to dismiss, affirming that Federal requirements are content-neutral and satisfy intermediate scrutiny under the First Amendment because they apply only to images that, if made using children, would qualify as child pornography. </w:t>
      </w:r>
      <w:r w:rsidRPr="00D025BC">
        <w:rPr>
          <w:lang w:val="en-CA"/>
        </w:rPr>
        <w:t xml:space="preserve"> </w:t>
      </w:r>
      <w:r w:rsidR="00B408CF" w:rsidRPr="00D025BC">
        <w:rPr>
          <w:lang w:val="en-CA"/>
        </w:rPr>
        <w:fldChar w:fldCharType="begin"/>
      </w:r>
      <w:r w:rsidRPr="00D025BC">
        <w:rPr>
          <w:lang w:val="en-CA"/>
        </w:rPr>
        <w:instrText xml:space="preserve"> SEQ CHAPTER \h \r 1</w:instrText>
      </w:r>
      <w:r w:rsidR="00B408CF" w:rsidRPr="00D025BC">
        <w:rPr>
          <w:lang w:val="en-CA"/>
        </w:rPr>
        <w:fldChar w:fldCharType="end"/>
      </w:r>
    </w:p>
    <w:p w:rsidR="00D025BC" w:rsidRPr="00D025BC" w:rsidRDefault="00D025BC" w:rsidP="00FD50B4">
      <w:pPr>
        <w:contextualSpacing/>
        <w:jc w:val="both"/>
        <w:rPr>
          <w:rFonts w:ascii="Calibri" w:hAnsi="Calibri"/>
          <w:sz w:val="20"/>
          <w:szCs w:val="20"/>
        </w:rPr>
      </w:pPr>
    </w:p>
    <w:p w:rsidR="00520137" w:rsidRPr="007214FD" w:rsidRDefault="00520137" w:rsidP="00FD50B4">
      <w:pPr>
        <w:numPr>
          <w:ilvl w:val="0"/>
          <w:numId w:val="8"/>
        </w:numPr>
        <w:jc w:val="both"/>
        <w:rPr>
          <w:rFonts w:ascii="Calibri" w:hAnsi="Calibri"/>
          <w:sz w:val="22"/>
          <w:szCs w:val="22"/>
        </w:rPr>
      </w:pPr>
      <w:r w:rsidRPr="00632D42">
        <w:rPr>
          <w:rFonts w:ascii="Calibri" w:hAnsi="Calibri"/>
          <w:b/>
          <w:i/>
          <w:color w:val="632423"/>
          <w:sz w:val="26"/>
          <w:szCs w:val="26"/>
          <w:u w:val="single"/>
        </w:rPr>
        <w:t>Guantanamo Bay (GTMO</w:t>
      </w:r>
      <w:r w:rsidRPr="009F3B71">
        <w:rPr>
          <w:rFonts w:asciiTheme="minorHAnsi" w:hAnsiTheme="minorHAnsi"/>
          <w:b/>
          <w:i/>
          <w:color w:val="632423"/>
          <w:sz w:val="26"/>
          <w:szCs w:val="26"/>
          <w:u w:val="single"/>
        </w:rPr>
        <w:t>)</w:t>
      </w:r>
      <w:r w:rsidRPr="009F3B71">
        <w:rPr>
          <w:rFonts w:asciiTheme="minorHAnsi" w:hAnsiTheme="minorHAnsi"/>
          <w:b/>
        </w:rPr>
        <w:t xml:space="preserve">  </w:t>
      </w:r>
      <w:r w:rsidR="009F3B71" w:rsidRPr="009F3B71">
        <w:rPr>
          <w:rFonts w:asciiTheme="minorHAnsi" w:hAnsiTheme="minorHAnsi"/>
        </w:rPr>
        <w:t xml:space="preserve">Two notable cases were decided in June and July 2010 that denied habeas corpus petitions on appeal from GTMO detainees. </w:t>
      </w:r>
      <w:r w:rsidR="008B2403">
        <w:rPr>
          <w:rFonts w:asciiTheme="minorHAnsi" w:hAnsiTheme="minorHAnsi"/>
        </w:rPr>
        <w:t xml:space="preserve"> </w:t>
      </w:r>
      <w:r w:rsidR="009F3B71" w:rsidRPr="009F3B71">
        <w:rPr>
          <w:rFonts w:asciiTheme="minorHAnsi" w:hAnsiTheme="minorHAnsi"/>
        </w:rPr>
        <w:t xml:space="preserve">In </w:t>
      </w:r>
      <w:r w:rsidR="005871F5">
        <w:rPr>
          <w:rFonts w:asciiTheme="minorHAnsi" w:hAnsiTheme="minorHAnsi"/>
          <w:i/>
        </w:rPr>
        <w:t>Al Odah v. Unit</w:t>
      </w:r>
      <w:r w:rsidR="009F3B71" w:rsidRPr="009F3B71">
        <w:rPr>
          <w:rFonts w:asciiTheme="minorHAnsi" w:hAnsiTheme="minorHAnsi"/>
          <w:i/>
        </w:rPr>
        <w:t>ed States</w:t>
      </w:r>
      <w:r w:rsidR="009F3B71" w:rsidRPr="009F3B71">
        <w:rPr>
          <w:rFonts w:asciiTheme="minorHAnsi" w:hAnsiTheme="minorHAnsi"/>
        </w:rPr>
        <w:t xml:space="preserve">, the D.C. Circuit affirmed the district court decision denying habeas relief to a GTMO detainee. </w:t>
      </w:r>
      <w:r w:rsidR="00FF36E0">
        <w:rPr>
          <w:rFonts w:asciiTheme="minorHAnsi" w:hAnsiTheme="minorHAnsi"/>
        </w:rPr>
        <w:t xml:space="preserve"> </w:t>
      </w:r>
      <w:r w:rsidR="009F3B71" w:rsidRPr="009F3B71">
        <w:rPr>
          <w:rFonts w:asciiTheme="minorHAnsi" w:hAnsiTheme="minorHAnsi"/>
        </w:rPr>
        <w:t>The district court found that the Government had suffici</w:t>
      </w:r>
      <w:r w:rsidR="008111FC">
        <w:rPr>
          <w:rFonts w:asciiTheme="minorHAnsi" w:hAnsiTheme="minorHAnsi"/>
        </w:rPr>
        <w:t>ently demonstrated that he was part of</w:t>
      </w:r>
      <w:r w:rsidR="009F3B71" w:rsidRPr="009F3B71">
        <w:rPr>
          <w:rFonts w:asciiTheme="minorHAnsi" w:hAnsiTheme="minorHAnsi"/>
        </w:rPr>
        <w:t xml:space="preserve"> al Qaeda or Taliban forces.</w:t>
      </w:r>
      <w:r w:rsidR="00FF36E0">
        <w:rPr>
          <w:rFonts w:asciiTheme="minorHAnsi" w:hAnsiTheme="minorHAnsi"/>
        </w:rPr>
        <w:t xml:space="preserve"> </w:t>
      </w:r>
      <w:r w:rsidR="009F3B71" w:rsidRPr="009F3B71">
        <w:rPr>
          <w:rFonts w:asciiTheme="minorHAnsi" w:hAnsiTheme="minorHAnsi"/>
        </w:rPr>
        <w:t xml:space="preserve"> In </w:t>
      </w:r>
      <w:r w:rsidR="009F3B71" w:rsidRPr="009F3B71">
        <w:rPr>
          <w:rFonts w:asciiTheme="minorHAnsi" w:hAnsiTheme="minorHAnsi"/>
          <w:i/>
        </w:rPr>
        <w:t>Al-Adahi v. Obama</w:t>
      </w:r>
      <w:r w:rsidR="009F3B71" w:rsidRPr="009F3B71">
        <w:rPr>
          <w:rFonts w:asciiTheme="minorHAnsi" w:hAnsiTheme="minorHAnsi"/>
        </w:rPr>
        <w:t xml:space="preserve">, the D.C. Circuit reversed a district court decision initially granting habeas relief to a GTMO detainee. </w:t>
      </w:r>
      <w:r w:rsidR="00FF36E0">
        <w:rPr>
          <w:rFonts w:asciiTheme="minorHAnsi" w:hAnsiTheme="minorHAnsi"/>
        </w:rPr>
        <w:t xml:space="preserve"> </w:t>
      </w:r>
      <w:r w:rsidR="009F3B71" w:rsidRPr="009F3B71">
        <w:rPr>
          <w:rFonts w:asciiTheme="minorHAnsi" w:hAnsiTheme="minorHAnsi"/>
        </w:rPr>
        <w:t xml:space="preserve">The court of appeals ruled that </w:t>
      </w:r>
      <w:r w:rsidR="008111FC">
        <w:rPr>
          <w:rFonts w:asciiTheme="minorHAnsi" w:hAnsiTheme="minorHAnsi"/>
        </w:rPr>
        <w:t xml:space="preserve">in detainee habeas cases the evidence must be considered cumulatively and that </w:t>
      </w:r>
      <w:r w:rsidR="009F3B71" w:rsidRPr="009F3B71">
        <w:rPr>
          <w:rFonts w:asciiTheme="minorHAnsi" w:hAnsiTheme="minorHAnsi"/>
        </w:rPr>
        <w:t xml:space="preserve">the Government had provided enough evidence to show that </w:t>
      </w:r>
      <w:r w:rsidR="008B2403">
        <w:rPr>
          <w:rFonts w:asciiTheme="minorHAnsi" w:hAnsiTheme="minorHAnsi"/>
        </w:rPr>
        <w:t xml:space="preserve">the defendant was part of al </w:t>
      </w:r>
      <w:r w:rsidR="00416450">
        <w:rPr>
          <w:rFonts w:asciiTheme="minorHAnsi" w:hAnsiTheme="minorHAnsi"/>
        </w:rPr>
        <w:t>Qae</w:t>
      </w:r>
      <w:r w:rsidR="009F3B71" w:rsidRPr="009F3B71">
        <w:rPr>
          <w:rFonts w:asciiTheme="minorHAnsi" w:hAnsiTheme="minorHAnsi"/>
        </w:rPr>
        <w:t>da.</w:t>
      </w:r>
    </w:p>
    <w:p w:rsidR="00520137" w:rsidRDefault="00520137" w:rsidP="00520137">
      <w:pPr>
        <w:rPr>
          <w:rFonts w:asciiTheme="minorHAnsi" w:hAnsiTheme="minorHAnsi"/>
          <w:b/>
          <w:i/>
          <w:sz w:val="20"/>
          <w:szCs w:val="20"/>
          <w:u w:val="single"/>
        </w:rPr>
      </w:pPr>
    </w:p>
    <w:p w:rsidR="00416450" w:rsidRPr="00416450" w:rsidRDefault="00416450" w:rsidP="00520137">
      <w:pPr>
        <w:pStyle w:val="ListParagraph"/>
        <w:numPr>
          <w:ilvl w:val="0"/>
          <w:numId w:val="27"/>
        </w:numPr>
        <w:jc w:val="both"/>
        <w:rPr>
          <w:rFonts w:ascii="Calibri" w:hAnsi="Calibri"/>
        </w:rPr>
      </w:pPr>
      <w:r>
        <w:rPr>
          <w:rFonts w:ascii="Calibri" w:hAnsi="Calibri"/>
          <w:b/>
          <w:bCs/>
          <w:i/>
          <w:iCs/>
          <w:color w:val="632423"/>
          <w:sz w:val="26"/>
          <w:szCs w:val="26"/>
          <w:u w:val="single"/>
        </w:rPr>
        <w:t>National Childhood Vaccine Injury Act</w:t>
      </w:r>
      <w:r>
        <w:rPr>
          <w:rFonts w:ascii="Calibri" w:hAnsi="Calibri"/>
          <w:color w:val="632423"/>
          <w:sz w:val="26"/>
          <w:szCs w:val="26"/>
        </w:rPr>
        <w:t xml:space="preserve">  </w:t>
      </w:r>
      <w:r>
        <w:rPr>
          <w:rFonts w:ascii="Calibri" w:hAnsi="Calibri"/>
        </w:rPr>
        <w:t xml:space="preserve">In August 2010, the U.S. Court of Appeals for the Federal Circuit upheld the decision of the Court of Federal Claims in </w:t>
      </w:r>
      <w:r>
        <w:rPr>
          <w:rFonts w:ascii="Calibri" w:hAnsi="Calibri"/>
          <w:i/>
          <w:iCs/>
        </w:rPr>
        <w:t>Cedillo v. Secretary of Health and Human Services</w:t>
      </w:r>
      <w:r>
        <w:rPr>
          <w:rFonts w:ascii="Calibri" w:hAnsi="Calibri"/>
        </w:rPr>
        <w:t xml:space="preserve">, rejecting the plaintiff’s claim that there is a causal connection between childhood vaccines and the onset of autism.  </w:t>
      </w:r>
      <w:r>
        <w:rPr>
          <w:rFonts w:ascii="Calibri" w:hAnsi="Calibri"/>
          <w:i/>
          <w:iCs/>
        </w:rPr>
        <w:t>Cedillo</w:t>
      </w:r>
      <w:r>
        <w:rPr>
          <w:rFonts w:ascii="Calibri" w:hAnsi="Calibri"/>
        </w:rPr>
        <w:t xml:space="preserve"> was one of the lead cases in the Omnibus Autism Proceeding, in which approximately 5,000 claims were filed against the Government asserting that certain vaccines, or a vaccine preservative, thimerosal, can cause autism.   </w:t>
      </w:r>
    </w:p>
    <w:p w:rsidR="00416450" w:rsidRPr="004E7808" w:rsidRDefault="00416450" w:rsidP="00520137">
      <w:pPr>
        <w:rPr>
          <w:rFonts w:asciiTheme="minorHAnsi" w:hAnsiTheme="minorHAnsi"/>
          <w:b/>
          <w:i/>
          <w:sz w:val="20"/>
          <w:szCs w:val="20"/>
          <w:u w:val="single"/>
        </w:rPr>
      </w:pPr>
    </w:p>
    <w:p w:rsidR="003B1CB7" w:rsidRPr="008266BA" w:rsidRDefault="008266BA" w:rsidP="008266BA">
      <w:pPr>
        <w:pStyle w:val="ListParagraph"/>
        <w:numPr>
          <w:ilvl w:val="0"/>
          <w:numId w:val="14"/>
        </w:numPr>
        <w:jc w:val="both"/>
        <w:rPr>
          <w:rFonts w:asciiTheme="minorHAnsi" w:hAnsiTheme="minorHAnsi"/>
          <w:lang w:val="en-CA"/>
        </w:rPr>
      </w:pPr>
      <w:r w:rsidRPr="008266BA">
        <w:rPr>
          <w:rFonts w:asciiTheme="minorHAnsi" w:hAnsiTheme="minorHAnsi"/>
          <w:b/>
          <w:i/>
          <w:color w:val="632423"/>
          <w:sz w:val="26"/>
          <w:szCs w:val="26"/>
          <w:u w:val="single"/>
        </w:rPr>
        <w:t>Foreign Litigation</w:t>
      </w:r>
      <w:r w:rsidRPr="008266BA">
        <w:rPr>
          <w:rFonts w:asciiTheme="minorHAnsi" w:hAnsiTheme="minorHAnsi"/>
          <w:lang w:val="en-CA"/>
        </w:rPr>
        <w:t xml:space="preserve">  In July 2010, the Supreme Court of Greece affirmed the felony convictions of members of the Greek terrorist group “17 November” for attacks on Greece, the United States, and other govern</w:t>
      </w:r>
      <w:r w:rsidR="00781CC2">
        <w:rPr>
          <w:rFonts w:asciiTheme="minorHAnsi" w:hAnsiTheme="minorHAnsi"/>
          <w:lang w:val="en-CA"/>
        </w:rPr>
        <w:t>ments and their personnel.  Division</w:t>
      </w:r>
      <w:r w:rsidRPr="008266BA">
        <w:rPr>
          <w:rFonts w:asciiTheme="minorHAnsi" w:hAnsiTheme="minorHAnsi"/>
          <w:lang w:val="en-CA"/>
        </w:rPr>
        <w:t xml:space="preserve"> </w:t>
      </w:r>
      <w:r w:rsidR="00781CC2">
        <w:rPr>
          <w:rFonts w:asciiTheme="minorHAnsi" w:hAnsiTheme="minorHAnsi"/>
          <w:lang w:val="en-CA"/>
        </w:rPr>
        <w:t xml:space="preserve">attorneys </w:t>
      </w:r>
      <w:r w:rsidRPr="008266BA">
        <w:rPr>
          <w:rFonts w:asciiTheme="minorHAnsi" w:hAnsiTheme="minorHAnsi"/>
          <w:lang w:val="en-CA"/>
        </w:rPr>
        <w:t>participated in the prosecution on behalf of U.S. Government victims and their families.  In its opinion, the Supreme Court a</w:t>
      </w:r>
      <w:r w:rsidR="00781CC2">
        <w:rPr>
          <w:rFonts w:asciiTheme="minorHAnsi" w:hAnsiTheme="minorHAnsi"/>
          <w:lang w:val="en-CA"/>
        </w:rPr>
        <w:t>ffirmed all convictions related</w:t>
      </w:r>
      <w:r w:rsidRPr="008266BA">
        <w:rPr>
          <w:rFonts w:asciiTheme="minorHAnsi" w:hAnsiTheme="minorHAnsi"/>
          <w:lang w:val="en-CA"/>
        </w:rPr>
        <w:t xml:space="preserve"> to the attacks on the</w:t>
      </w:r>
      <w:r w:rsidR="00781CC2">
        <w:rPr>
          <w:rFonts w:asciiTheme="minorHAnsi" w:hAnsiTheme="minorHAnsi"/>
          <w:lang w:val="en-CA"/>
        </w:rPr>
        <w:t xml:space="preserve"> </w:t>
      </w:r>
      <w:r w:rsidR="00781CC2" w:rsidRPr="00781CC2">
        <w:rPr>
          <w:rFonts w:asciiTheme="minorHAnsi" w:hAnsiTheme="minorHAnsi"/>
          <w:lang w:val="en-CA"/>
        </w:rPr>
        <w:t>United States, including the murder or attempted murder of Government personnel and the attack on the U.S. Embassy in Athens.</w:t>
      </w:r>
    </w:p>
    <w:p w:rsidR="008266BA" w:rsidRPr="008266BA" w:rsidRDefault="008266BA" w:rsidP="008266BA">
      <w:pPr>
        <w:jc w:val="both"/>
        <w:rPr>
          <w:sz w:val="20"/>
          <w:szCs w:val="20"/>
          <w:lang w:val="en-CA"/>
        </w:rPr>
      </w:pPr>
    </w:p>
    <w:p w:rsidR="001D1C60" w:rsidRPr="001D1C60" w:rsidRDefault="001D1C60" w:rsidP="001D1C60">
      <w:pPr>
        <w:jc w:val="both"/>
        <w:rPr>
          <w:rFonts w:asciiTheme="minorHAnsi" w:hAnsiTheme="minorHAnsi"/>
          <w:b/>
          <w:color w:val="632423" w:themeColor="accent2" w:themeShade="80"/>
          <w:sz w:val="28"/>
          <w:szCs w:val="28"/>
        </w:rPr>
      </w:pPr>
      <w:r w:rsidRPr="001D1C60">
        <w:rPr>
          <w:rFonts w:asciiTheme="minorHAnsi" w:hAnsiTheme="minorHAnsi"/>
          <w:b/>
          <w:color w:val="632423" w:themeColor="accent2" w:themeShade="80"/>
          <w:sz w:val="28"/>
          <w:szCs w:val="28"/>
        </w:rPr>
        <w:t>Strategy to Accomplish Outcomes: Information Technology</w:t>
      </w:r>
    </w:p>
    <w:p w:rsidR="001D1C60" w:rsidRPr="00C04FE9" w:rsidRDefault="001D1C60" w:rsidP="001D1C60">
      <w:pPr>
        <w:jc w:val="both"/>
        <w:rPr>
          <w:rFonts w:asciiTheme="minorHAnsi" w:hAnsiTheme="minorHAnsi"/>
          <w:sz w:val="20"/>
          <w:szCs w:val="20"/>
        </w:rPr>
      </w:pPr>
    </w:p>
    <w:p w:rsidR="00FD0B45" w:rsidRPr="009951AE" w:rsidRDefault="001D1C60" w:rsidP="001D1C60">
      <w:pPr>
        <w:jc w:val="both"/>
        <w:rPr>
          <w:rFonts w:asciiTheme="minorHAnsi" w:hAnsiTheme="minorHAnsi"/>
        </w:rPr>
      </w:pPr>
      <w:r w:rsidRPr="001D1C60">
        <w:rPr>
          <w:rFonts w:asciiTheme="minorHAnsi" w:hAnsiTheme="minorHAnsi"/>
        </w:rPr>
        <w:t>The Civil Division’s information technology (IT) infrastructure plays a critical role in serving the Division’s core mission of representing the United States in a variety of civil matters. The following items outline the Division’s commitment to preserving its primary IT needs, including efforts to improve E-Discovery</w:t>
      </w:r>
      <w:r w:rsidR="00566C3D">
        <w:rPr>
          <w:rFonts w:asciiTheme="minorHAnsi" w:hAnsiTheme="minorHAnsi"/>
        </w:rPr>
        <w:t xml:space="preserve"> resources</w:t>
      </w:r>
      <w:r w:rsidRPr="001D1C60">
        <w:rPr>
          <w:rFonts w:asciiTheme="minorHAnsi" w:hAnsiTheme="minorHAnsi"/>
        </w:rPr>
        <w:t>, case management systems, and other litigation technology needs while keeping costs to a minimum.</w:t>
      </w:r>
      <w:r w:rsidR="008111FC">
        <w:rPr>
          <w:rFonts w:asciiTheme="minorHAnsi" w:hAnsiTheme="minorHAnsi"/>
        </w:rPr>
        <w:t xml:space="preserve">  The implementation of most of the strategies set forth below </w:t>
      </w:r>
      <w:r w:rsidR="006653F8">
        <w:rPr>
          <w:rFonts w:asciiTheme="minorHAnsi" w:hAnsiTheme="minorHAnsi"/>
        </w:rPr>
        <w:t>is contingent upon</w:t>
      </w:r>
      <w:r w:rsidR="008111FC">
        <w:rPr>
          <w:rFonts w:asciiTheme="minorHAnsi" w:hAnsiTheme="minorHAnsi"/>
        </w:rPr>
        <w:t xml:space="preserve"> adequate base funding.</w:t>
      </w:r>
      <w:r w:rsidR="006653F8">
        <w:rPr>
          <w:rFonts w:asciiTheme="minorHAnsi" w:hAnsiTheme="minorHAnsi"/>
        </w:rPr>
        <w:t xml:space="preserve"> </w:t>
      </w:r>
    </w:p>
    <w:p w:rsidR="00A37135" w:rsidRPr="00FD0B45" w:rsidRDefault="00A37135" w:rsidP="001D1C60">
      <w:pPr>
        <w:jc w:val="both"/>
        <w:rPr>
          <w:rFonts w:asciiTheme="minorHAnsi" w:hAnsiTheme="minorHAnsi"/>
          <w:sz w:val="20"/>
          <w:szCs w:val="20"/>
        </w:rPr>
      </w:pPr>
    </w:p>
    <w:p w:rsidR="00702902" w:rsidRDefault="001D1C60" w:rsidP="00572ECB">
      <w:pPr>
        <w:pStyle w:val="ListParagraph"/>
        <w:numPr>
          <w:ilvl w:val="0"/>
          <w:numId w:val="25"/>
        </w:numPr>
        <w:contextualSpacing/>
        <w:jc w:val="both"/>
        <w:rPr>
          <w:rFonts w:asciiTheme="minorHAnsi" w:hAnsiTheme="minorHAnsi"/>
        </w:rPr>
      </w:pPr>
      <w:r w:rsidRPr="001D1C60">
        <w:rPr>
          <w:rFonts w:asciiTheme="minorHAnsi" w:hAnsiTheme="minorHAnsi"/>
        </w:rPr>
        <w:t>Complete virtualization</w:t>
      </w:r>
      <w:r w:rsidR="008111FC">
        <w:rPr>
          <w:rFonts w:asciiTheme="minorHAnsi" w:hAnsiTheme="minorHAnsi"/>
        </w:rPr>
        <w:t xml:space="preserve"> of office automation system (JCONV)</w:t>
      </w:r>
      <w:r w:rsidRPr="001D1C60">
        <w:rPr>
          <w:rFonts w:asciiTheme="minorHAnsi" w:hAnsiTheme="minorHAnsi"/>
        </w:rPr>
        <w:t xml:space="preserve"> Division-wide</w:t>
      </w:r>
    </w:p>
    <w:p w:rsidR="00572ECB" w:rsidRPr="00572ECB" w:rsidRDefault="00572ECB" w:rsidP="00572ECB">
      <w:pPr>
        <w:ind w:left="720"/>
        <w:contextualSpacing/>
        <w:jc w:val="both"/>
        <w:rPr>
          <w:rFonts w:asciiTheme="minorHAnsi" w:hAnsiTheme="minorHAnsi"/>
          <w:sz w:val="20"/>
          <w:szCs w:val="20"/>
        </w:rPr>
      </w:pPr>
    </w:p>
    <w:p w:rsidR="001D1C60" w:rsidRPr="00702902" w:rsidRDefault="001D1C60" w:rsidP="00572ECB">
      <w:pPr>
        <w:ind w:left="720"/>
        <w:contextualSpacing/>
        <w:jc w:val="both"/>
        <w:rPr>
          <w:rFonts w:asciiTheme="minorHAnsi" w:hAnsiTheme="minorHAnsi"/>
        </w:rPr>
      </w:pPr>
      <w:r w:rsidRPr="00702902">
        <w:rPr>
          <w:rFonts w:asciiTheme="minorHAnsi" w:hAnsiTheme="minorHAnsi"/>
        </w:rPr>
        <w:t xml:space="preserve">The Division has designed a virtualized infrastructure employing state of the art technology that meets or exceeds current Federal regulations and standards for information security, availability, confidentiality, and energy efficiency. </w:t>
      </w:r>
      <w:r w:rsidR="008111FC" w:rsidRPr="00702902">
        <w:rPr>
          <w:rFonts w:asciiTheme="minorHAnsi" w:hAnsiTheme="minorHAnsi"/>
        </w:rPr>
        <w:t xml:space="preserve"> </w:t>
      </w:r>
      <w:r w:rsidRPr="00702902">
        <w:rPr>
          <w:rFonts w:asciiTheme="minorHAnsi" w:hAnsiTheme="minorHAnsi"/>
        </w:rPr>
        <w:t xml:space="preserve">Furthermore, because user data and operating systems are located on </w:t>
      </w:r>
      <w:r w:rsidR="00566C3D" w:rsidRPr="00702902">
        <w:rPr>
          <w:rFonts w:asciiTheme="minorHAnsi" w:hAnsiTheme="minorHAnsi"/>
        </w:rPr>
        <w:t>secure centralized</w:t>
      </w:r>
      <w:r w:rsidRPr="00702902">
        <w:rPr>
          <w:rFonts w:asciiTheme="minorHAnsi" w:hAnsiTheme="minorHAnsi"/>
        </w:rPr>
        <w:t xml:space="preserve"> servers, the cost to support JCONV will be less than conventional “desktops” because it eliminates the need for technicians to visit user desktops.  </w:t>
      </w:r>
    </w:p>
    <w:p w:rsidR="001D1C60" w:rsidRPr="008111FC" w:rsidRDefault="001D1C60" w:rsidP="008111FC">
      <w:pPr>
        <w:jc w:val="both"/>
        <w:rPr>
          <w:rFonts w:asciiTheme="minorHAnsi" w:hAnsiTheme="minorHAnsi"/>
          <w:sz w:val="20"/>
          <w:szCs w:val="20"/>
        </w:rPr>
      </w:pPr>
    </w:p>
    <w:p w:rsidR="001D1C60" w:rsidRPr="001D1C60" w:rsidRDefault="00C04FE9" w:rsidP="00641E91">
      <w:pPr>
        <w:pStyle w:val="ListParagraph"/>
        <w:numPr>
          <w:ilvl w:val="0"/>
          <w:numId w:val="25"/>
        </w:numPr>
        <w:contextualSpacing/>
        <w:jc w:val="both"/>
        <w:rPr>
          <w:rFonts w:asciiTheme="minorHAnsi" w:hAnsiTheme="minorHAnsi"/>
        </w:rPr>
      </w:pPr>
      <w:r>
        <w:rPr>
          <w:rFonts w:asciiTheme="minorHAnsi" w:hAnsiTheme="minorHAnsi"/>
          <w:noProof/>
        </w:rPr>
        <w:drawing>
          <wp:anchor distT="0" distB="0" distL="114300" distR="114300" simplePos="0" relativeHeight="251685888" behindDoc="1" locked="0" layoutInCell="1" allowOverlap="1">
            <wp:simplePos x="0" y="0"/>
            <wp:positionH relativeFrom="column">
              <wp:posOffset>2876550</wp:posOffset>
            </wp:positionH>
            <wp:positionV relativeFrom="paragraph">
              <wp:posOffset>91440</wp:posOffset>
            </wp:positionV>
            <wp:extent cx="3057525" cy="2333625"/>
            <wp:effectExtent l="19050" t="0" r="9525" b="0"/>
            <wp:wrapTight wrapText="bothSides">
              <wp:wrapPolygon edited="0">
                <wp:start x="-135" y="0"/>
                <wp:lineTo x="-135" y="21512"/>
                <wp:lineTo x="21667" y="21512"/>
                <wp:lineTo x="21667" y="0"/>
                <wp:lineTo x="-135" y="0"/>
              </wp:wrapPolygon>
            </wp:wrapTight>
            <wp:docPr id="5" name="Picture 1" descr="This is a photograph of the Commercial Fraud Section's on-site litigation support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ong\AppData\Local\Microsoft\Windows\Temporary Internet Files\Content.Outlook\BYBHAMN1\ALS_Lab-9 (2).jpg"/>
                    <pic:cNvPicPr>
                      <a:picLocks noChangeAspect="1" noChangeArrowheads="1"/>
                    </pic:cNvPicPr>
                  </pic:nvPicPr>
                  <pic:blipFill>
                    <a:blip r:embed="rId35" cstate="print">
                      <a:lum bright="10000"/>
                    </a:blip>
                    <a:srcRect/>
                    <a:stretch>
                      <a:fillRect/>
                    </a:stretch>
                  </pic:blipFill>
                  <pic:spPr bwMode="auto">
                    <a:xfrm>
                      <a:off x="0" y="0"/>
                      <a:ext cx="3057525" cy="2333625"/>
                    </a:xfrm>
                    <a:prstGeom prst="rect">
                      <a:avLst/>
                    </a:prstGeom>
                    <a:noFill/>
                    <a:ln w="9525">
                      <a:noFill/>
                      <a:miter lim="800000"/>
                      <a:headEnd/>
                      <a:tailEnd/>
                    </a:ln>
                  </pic:spPr>
                </pic:pic>
              </a:graphicData>
            </a:graphic>
          </wp:anchor>
        </w:drawing>
      </w:r>
      <w:r w:rsidR="009951AE">
        <w:rPr>
          <w:rFonts w:asciiTheme="minorHAnsi" w:hAnsiTheme="minorHAnsi"/>
        </w:rPr>
        <w:t xml:space="preserve">Continue the </w:t>
      </w:r>
      <w:r w:rsidR="001D1C60" w:rsidRPr="001D1C60">
        <w:rPr>
          <w:rFonts w:asciiTheme="minorHAnsi" w:hAnsiTheme="minorHAnsi"/>
        </w:rPr>
        <w:t>deployment of additional Automated Litigation Support (ALS) Labs</w:t>
      </w:r>
    </w:p>
    <w:p w:rsidR="001D1C60" w:rsidRPr="001D1C60" w:rsidRDefault="001D1C60" w:rsidP="001D1C60">
      <w:pPr>
        <w:pStyle w:val="ListParagraph"/>
        <w:jc w:val="both"/>
        <w:rPr>
          <w:rFonts w:asciiTheme="minorHAnsi" w:hAnsiTheme="minorHAnsi"/>
          <w:sz w:val="20"/>
          <w:szCs w:val="20"/>
        </w:rPr>
      </w:pPr>
    </w:p>
    <w:p w:rsidR="001D1C60" w:rsidRPr="001D1C60" w:rsidRDefault="00A974BD" w:rsidP="001D1C60">
      <w:pPr>
        <w:pStyle w:val="ListParagraph"/>
        <w:jc w:val="both"/>
        <w:rPr>
          <w:rFonts w:asciiTheme="minorHAnsi" w:hAnsiTheme="minorHAnsi"/>
        </w:rPr>
      </w:pPr>
      <w:r>
        <w:rPr>
          <w:rFonts w:asciiTheme="minorHAnsi" w:hAnsiTheme="minorHAnsi"/>
          <w:noProof/>
          <w:lang w:eastAsia="zh-TW"/>
        </w:rPr>
        <w:pict>
          <v:shape id="_x0000_s1040" type="#_x0000_t202" style="position:absolute;left:0;text-align:left;margin-left:226.5pt;margin-top:137.15pt;width:244.05pt;height:31.6pt;z-index:-251629568;mso-height-percent:200;mso-height-percent:200;mso-width-relative:margin;mso-height-relative:margin" wrapcoords="-87 0 -87 21098 21600 21098 21600 0 -87 0" stroked="f">
            <v:textbox style="mso-next-textbox:#_x0000_s1040;mso-fit-shape-to-text:t">
              <w:txbxContent>
                <w:p w:rsidR="009B0EC2" w:rsidRDefault="009B0EC2" w:rsidP="00520137">
                  <w:pPr>
                    <w:jc w:val="center"/>
                    <w:rPr>
                      <w:rFonts w:asciiTheme="minorHAnsi" w:hAnsiTheme="minorHAnsi"/>
                      <w:b/>
                      <w:sz w:val="20"/>
                      <w:szCs w:val="20"/>
                    </w:rPr>
                  </w:pPr>
                  <w:r w:rsidRPr="008F6794">
                    <w:rPr>
                      <w:rFonts w:asciiTheme="minorHAnsi" w:hAnsiTheme="minorHAnsi"/>
                      <w:b/>
                      <w:sz w:val="20"/>
                      <w:szCs w:val="20"/>
                    </w:rPr>
                    <w:t xml:space="preserve">Civil Division Commercial </w:t>
                  </w:r>
                  <w:r>
                    <w:rPr>
                      <w:rFonts w:asciiTheme="minorHAnsi" w:hAnsiTheme="minorHAnsi"/>
                      <w:b/>
                      <w:sz w:val="20"/>
                      <w:szCs w:val="20"/>
                    </w:rPr>
                    <w:t xml:space="preserve">Fraud Section: </w:t>
                  </w:r>
                </w:p>
                <w:p w:rsidR="009B0EC2" w:rsidRPr="008F6794" w:rsidRDefault="009B0EC2" w:rsidP="00520137">
                  <w:pPr>
                    <w:jc w:val="center"/>
                    <w:rPr>
                      <w:rFonts w:asciiTheme="minorHAnsi" w:hAnsiTheme="minorHAnsi"/>
                      <w:b/>
                      <w:sz w:val="20"/>
                      <w:szCs w:val="20"/>
                    </w:rPr>
                  </w:pPr>
                  <w:r>
                    <w:rPr>
                      <w:rFonts w:asciiTheme="minorHAnsi" w:hAnsiTheme="minorHAnsi"/>
                      <w:b/>
                      <w:sz w:val="20"/>
                      <w:szCs w:val="20"/>
                    </w:rPr>
                    <w:t>On-Site Program</w:t>
                  </w:r>
                </w:p>
              </w:txbxContent>
            </v:textbox>
            <w10:wrap type="tight"/>
          </v:shape>
        </w:pict>
      </w:r>
      <w:r w:rsidR="001D1C60" w:rsidRPr="001D1C60">
        <w:rPr>
          <w:rFonts w:asciiTheme="minorHAnsi" w:hAnsiTheme="minorHAnsi"/>
        </w:rPr>
        <w:t>To address the needs of its small- to medium-sized cases, the Division has established an on-site program in its Commercial Fraud Section that offers a range of products and services. </w:t>
      </w:r>
      <w:r w:rsidR="008111FC">
        <w:rPr>
          <w:rFonts w:asciiTheme="minorHAnsi" w:hAnsiTheme="minorHAnsi"/>
        </w:rPr>
        <w:t xml:space="preserve"> </w:t>
      </w:r>
      <w:r w:rsidR="001D1C60" w:rsidRPr="001D1C60">
        <w:rPr>
          <w:rFonts w:asciiTheme="minorHAnsi" w:hAnsiTheme="minorHAnsi"/>
        </w:rPr>
        <w:t>During its first year of operation in 2009, the program supported 14</w:t>
      </w:r>
      <w:r w:rsidR="005A7D3D">
        <w:rPr>
          <w:rFonts w:asciiTheme="minorHAnsi" w:hAnsiTheme="minorHAnsi"/>
        </w:rPr>
        <w:t>0 cases.</w:t>
      </w:r>
      <w:r w:rsidR="001D1C60" w:rsidRPr="001D1C60">
        <w:rPr>
          <w:rFonts w:asciiTheme="minorHAnsi" w:hAnsiTheme="minorHAnsi"/>
        </w:rPr>
        <w:t xml:space="preserve"> </w:t>
      </w:r>
      <w:r w:rsidR="008B2403">
        <w:rPr>
          <w:rFonts w:asciiTheme="minorHAnsi" w:hAnsiTheme="minorHAnsi"/>
        </w:rPr>
        <w:t xml:space="preserve"> </w:t>
      </w:r>
      <w:r w:rsidR="001D1C60" w:rsidRPr="001D1C60">
        <w:rPr>
          <w:rFonts w:asciiTheme="minorHAnsi" w:hAnsiTheme="minorHAnsi"/>
        </w:rPr>
        <w:t>The program provides on-site E-Discovery resources, database creation and management, and guidan</w:t>
      </w:r>
      <w:r w:rsidR="005A7D3D">
        <w:rPr>
          <w:rFonts w:asciiTheme="minorHAnsi" w:hAnsiTheme="minorHAnsi"/>
        </w:rPr>
        <w:t xml:space="preserve">ce to attorneys and paralegals. </w:t>
      </w:r>
      <w:r w:rsidR="008111FC">
        <w:rPr>
          <w:rFonts w:asciiTheme="minorHAnsi" w:hAnsiTheme="minorHAnsi"/>
        </w:rPr>
        <w:t xml:space="preserve"> </w:t>
      </w:r>
      <w:r w:rsidR="005A7D3D">
        <w:rPr>
          <w:rFonts w:asciiTheme="minorHAnsi" w:hAnsiTheme="minorHAnsi"/>
        </w:rPr>
        <w:t>Once electronic</w:t>
      </w:r>
      <w:r w:rsidR="001D1C60" w:rsidRPr="001D1C60">
        <w:rPr>
          <w:rFonts w:asciiTheme="minorHAnsi" w:hAnsiTheme="minorHAnsi"/>
        </w:rPr>
        <w:t xml:space="preserve"> data is uploaded, much of the work typically performed by contractors can be performed by Government paralegals and attorneys. </w:t>
      </w:r>
      <w:r w:rsidR="008111FC">
        <w:rPr>
          <w:rFonts w:asciiTheme="minorHAnsi" w:hAnsiTheme="minorHAnsi"/>
        </w:rPr>
        <w:t xml:space="preserve"> </w:t>
      </w:r>
      <w:r w:rsidR="001D1C60" w:rsidRPr="001D1C60">
        <w:rPr>
          <w:rFonts w:asciiTheme="minorHAnsi" w:hAnsiTheme="minorHAnsi"/>
        </w:rPr>
        <w:t>These capabilities are particularly important because it provides attorneys and paralegals with the flexibility and functionality they require to handle matters that increasingly rely on electronic data. </w:t>
      </w:r>
      <w:r w:rsidR="008111FC">
        <w:rPr>
          <w:rFonts w:asciiTheme="minorHAnsi" w:hAnsiTheme="minorHAnsi"/>
        </w:rPr>
        <w:t xml:space="preserve"> </w:t>
      </w:r>
      <w:r w:rsidR="001D1C60" w:rsidRPr="001D1C60">
        <w:rPr>
          <w:rFonts w:asciiTheme="minorHAnsi" w:hAnsiTheme="minorHAnsi"/>
        </w:rPr>
        <w:t xml:space="preserve">Moreover, the Fraud facility requires little space and </w:t>
      </w:r>
      <w:r w:rsidR="009951AE">
        <w:rPr>
          <w:rFonts w:asciiTheme="minorHAnsi" w:hAnsiTheme="minorHAnsi"/>
        </w:rPr>
        <w:t>the overhead is not substantial</w:t>
      </w:r>
      <w:r w:rsidR="001D1C60" w:rsidRPr="001D1C60">
        <w:rPr>
          <w:rFonts w:asciiTheme="minorHAnsi" w:hAnsiTheme="minorHAnsi"/>
        </w:rPr>
        <w:t xml:space="preserve">. </w:t>
      </w:r>
    </w:p>
    <w:p w:rsidR="001D1C60" w:rsidRPr="001D1C60" w:rsidRDefault="001D1C60" w:rsidP="001D1C60">
      <w:pPr>
        <w:pStyle w:val="ListParagraph"/>
        <w:jc w:val="both"/>
        <w:rPr>
          <w:rFonts w:asciiTheme="minorHAnsi" w:hAnsiTheme="minorHAnsi"/>
          <w:sz w:val="20"/>
          <w:szCs w:val="20"/>
        </w:rPr>
      </w:pPr>
    </w:p>
    <w:p w:rsidR="001D1C60" w:rsidRPr="001D1C60" w:rsidRDefault="001D1C60" w:rsidP="001D1C60">
      <w:pPr>
        <w:pStyle w:val="ListParagraph"/>
        <w:numPr>
          <w:ilvl w:val="0"/>
          <w:numId w:val="25"/>
        </w:numPr>
        <w:spacing w:after="200" w:line="276" w:lineRule="auto"/>
        <w:contextualSpacing/>
        <w:jc w:val="both"/>
        <w:rPr>
          <w:rFonts w:asciiTheme="minorHAnsi" w:hAnsiTheme="minorHAnsi"/>
        </w:rPr>
      </w:pPr>
      <w:r w:rsidRPr="001D1C60">
        <w:rPr>
          <w:rFonts w:asciiTheme="minorHAnsi" w:hAnsiTheme="minorHAnsi"/>
        </w:rPr>
        <w:t>Implement web-based litigation databases</w:t>
      </w:r>
    </w:p>
    <w:p w:rsidR="001D1C60" w:rsidRPr="001D1C60" w:rsidRDefault="001D1C60" w:rsidP="001D1C60">
      <w:pPr>
        <w:pStyle w:val="ListParagraph"/>
        <w:jc w:val="both"/>
        <w:rPr>
          <w:rFonts w:asciiTheme="minorHAnsi" w:hAnsiTheme="minorHAnsi"/>
          <w:sz w:val="20"/>
          <w:szCs w:val="20"/>
        </w:rPr>
      </w:pPr>
    </w:p>
    <w:p w:rsidR="001D1C60" w:rsidRPr="001D1C60" w:rsidRDefault="001D1C60" w:rsidP="001D1C60">
      <w:pPr>
        <w:pStyle w:val="ListParagraph"/>
        <w:jc w:val="both"/>
        <w:rPr>
          <w:rFonts w:asciiTheme="minorHAnsi" w:hAnsiTheme="minorHAnsi"/>
        </w:rPr>
      </w:pPr>
      <w:r w:rsidRPr="001D1C60">
        <w:rPr>
          <w:rFonts w:asciiTheme="minorHAnsi" w:hAnsiTheme="minorHAnsi"/>
        </w:rPr>
        <w:t>The Division has identified the need to share data with other litigating components to facilitate the efficient and cost-effective use of case material and documents.</w:t>
      </w:r>
      <w:r w:rsidR="008111FC">
        <w:rPr>
          <w:rFonts w:asciiTheme="minorHAnsi" w:hAnsiTheme="minorHAnsi"/>
        </w:rPr>
        <w:t xml:space="preserve"> </w:t>
      </w:r>
      <w:r w:rsidRPr="001D1C60">
        <w:rPr>
          <w:rFonts w:asciiTheme="minorHAnsi" w:hAnsiTheme="minorHAnsi"/>
        </w:rPr>
        <w:t xml:space="preserve"> The Division needs to implement document management and review da</w:t>
      </w:r>
      <w:r w:rsidR="00566C3D">
        <w:rPr>
          <w:rFonts w:asciiTheme="minorHAnsi" w:hAnsiTheme="minorHAnsi"/>
        </w:rPr>
        <w:t>tabases that other components can</w:t>
      </w:r>
      <w:r w:rsidRPr="001D1C60">
        <w:rPr>
          <w:rFonts w:asciiTheme="minorHAnsi" w:hAnsiTheme="minorHAnsi"/>
        </w:rPr>
        <w:t xml:space="preserve"> access via a secure web interface. </w:t>
      </w:r>
      <w:r w:rsidR="008111FC">
        <w:rPr>
          <w:rFonts w:asciiTheme="minorHAnsi" w:hAnsiTheme="minorHAnsi"/>
        </w:rPr>
        <w:t xml:space="preserve"> </w:t>
      </w:r>
      <w:r w:rsidRPr="001D1C60">
        <w:rPr>
          <w:rFonts w:asciiTheme="minorHAnsi" w:hAnsiTheme="minorHAnsi"/>
        </w:rPr>
        <w:t xml:space="preserve">These web-based databases would represent a significant advancement in </w:t>
      </w:r>
      <w:r w:rsidR="004E474C">
        <w:rPr>
          <w:rFonts w:asciiTheme="minorHAnsi" w:hAnsiTheme="minorHAnsi"/>
        </w:rPr>
        <w:t xml:space="preserve">available </w:t>
      </w:r>
      <w:r w:rsidRPr="001D1C60">
        <w:rPr>
          <w:rFonts w:asciiTheme="minorHAnsi" w:hAnsiTheme="minorHAnsi"/>
        </w:rPr>
        <w:t>E-Discovery resou</w:t>
      </w:r>
      <w:r w:rsidR="004E474C">
        <w:rPr>
          <w:rFonts w:asciiTheme="minorHAnsi" w:hAnsiTheme="minorHAnsi"/>
        </w:rPr>
        <w:t>rces</w:t>
      </w:r>
      <w:r w:rsidRPr="001D1C60">
        <w:rPr>
          <w:rFonts w:asciiTheme="minorHAnsi" w:hAnsiTheme="minorHAnsi"/>
        </w:rPr>
        <w:t>.</w:t>
      </w:r>
    </w:p>
    <w:p w:rsidR="001D1C60" w:rsidRPr="001D1C60" w:rsidRDefault="001D1C60" w:rsidP="001D1C60">
      <w:pPr>
        <w:pStyle w:val="ListParagraph"/>
        <w:jc w:val="both"/>
        <w:rPr>
          <w:rFonts w:asciiTheme="minorHAnsi" w:hAnsiTheme="minorHAnsi"/>
          <w:sz w:val="20"/>
          <w:szCs w:val="20"/>
        </w:rPr>
      </w:pPr>
    </w:p>
    <w:p w:rsidR="001D1C60" w:rsidRPr="001D1C60" w:rsidRDefault="001D1C60" w:rsidP="001D1C60">
      <w:pPr>
        <w:pStyle w:val="ListParagraph"/>
        <w:numPr>
          <w:ilvl w:val="0"/>
          <w:numId w:val="25"/>
        </w:numPr>
        <w:spacing w:after="200" w:line="276" w:lineRule="auto"/>
        <w:contextualSpacing/>
        <w:jc w:val="both"/>
        <w:rPr>
          <w:rFonts w:asciiTheme="minorHAnsi" w:hAnsiTheme="minorHAnsi"/>
        </w:rPr>
      </w:pPr>
      <w:r w:rsidRPr="001D1C60">
        <w:rPr>
          <w:rFonts w:asciiTheme="minorHAnsi" w:hAnsiTheme="minorHAnsi"/>
        </w:rPr>
        <w:t>Expand the Division’s video teleconferencing (VTC) and web-conferencing capabilities</w:t>
      </w:r>
    </w:p>
    <w:p w:rsidR="001D1C60" w:rsidRPr="001D1C60" w:rsidRDefault="001D1C60" w:rsidP="001D1C60">
      <w:pPr>
        <w:pStyle w:val="ListParagraph"/>
        <w:jc w:val="both"/>
        <w:rPr>
          <w:rFonts w:asciiTheme="minorHAnsi" w:hAnsiTheme="minorHAnsi"/>
          <w:sz w:val="20"/>
          <w:szCs w:val="20"/>
        </w:rPr>
      </w:pPr>
    </w:p>
    <w:p w:rsidR="00702902" w:rsidRDefault="001D1C60" w:rsidP="00572ECB">
      <w:pPr>
        <w:pStyle w:val="ListParagraph"/>
        <w:jc w:val="both"/>
        <w:rPr>
          <w:rFonts w:asciiTheme="minorHAnsi" w:hAnsiTheme="minorHAnsi"/>
        </w:rPr>
      </w:pPr>
      <w:r w:rsidRPr="001D1C60">
        <w:rPr>
          <w:rFonts w:asciiTheme="minorHAnsi" w:hAnsiTheme="minorHAnsi"/>
        </w:rPr>
        <w:t xml:space="preserve">The Division is working to implement </w:t>
      </w:r>
      <w:r w:rsidR="00B85BB1">
        <w:rPr>
          <w:rFonts w:asciiTheme="minorHAnsi" w:hAnsiTheme="minorHAnsi"/>
        </w:rPr>
        <w:t>VTC</w:t>
      </w:r>
      <w:r w:rsidRPr="001D1C60">
        <w:rPr>
          <w:rFonts w:asciiTheme="minorHAnsi" w:hAnsiTheme="minorHAnsi"/>
        </w:rPr>
        <w:t xml:space="preserve"> capabilities and explore alternatives for secure web-conferencing in an effort to reduce employee travel expenses and increase overall productivity. </w:t>
      </w:r>
    </w:p>
    <w:p w:rsidR="00572ECB" w:rsidRPr="00572ECB" w:rsidRDefault="00572ECB" w:rsidP="00572ECB">
      <w:pPr>
        <w:pStyle w:val="ListParagraph"/>
        <w:jc w:val="both"/>
        <w:rPr>
          <w:rFonts w:asciiTheme="minorHAnsi" w:hAnsiTheme="minorHAnsi"/>
          <w:sz w:val="20"/>
          <w:szCs w:val="20"/>
        </w:rPr>
      </w:pPr>
    </w:p>
    <w:p w:rsidR="001D1C60" w:rsidRPr="006653F8" w:rsidRDefault="001D1C60" w:rsidP="006653F8">
      <w:pPr>
        <w:pStyle w:val="ListParagraph"/>
        <w:numPr>
          <w:ilvl w:val="0"/>
          <w:numId w:val="25"/>
        </w:numPr>
        <w:spacing w:after="200" w:line="276" w:lineRule="auto"/>
        <w:contextualSpacing/>
        <w:jc w:val="both"/>
        <w:rPr>
          <w:rFonts w:asciiTheme="minorHAnsi" w:hAnsiTheme="minorHAnsi"/>
        </w:rPr>
      </w:pPr>
      <w:r w:rsidRPr="001D1C60">
        <w:rPr>
          <w:rFonts w:asciiTheme="minorHAnsi" w:hAnsiTheme="minorHAnsi"/>
        </w:rPr>
        <w:t>Hire additional support staff with E-Discovery expertise</w:t>
      </w:r>
    </w:p>
    <w:p w:rsidR="00A37135" w:rsidRPr="00A37135" w:rsidRDefault="00A37135" w:rsidP="00AF7569">
      <w:pPr>
        <w:pStyle w:val="ListParagraph"/>
        <w:jc w:val="both"/>
        <w:rPr>
          <w:rFonts w:asciiTheme="minorHAnsi" w:hAnsiTheme="minorHAnsi"/>
          <w:sz w:val="20"/>
          <w:szCs w:val="20"/>
        </w:rPr>
      </w:pPr>
    </w:p>
    <w:p w:rsidR="000348D9" w:rsidRPr="00572ECB" w:rsidRDefault="000348D9" w:rsidP="00572ECB">
      <w:pPr>
        <w:pStyle w:val="ListParagraph"/>
        <w:jc w:val="both"/>
        <w:rPr>
          <w:rFonts w:asciiTheme="minorHAnsi" w:hAnsiTheme="minorHAnsi"/>
        </w:rPr>
      </w:pPr>
      <w:r>
        <w:rPr>
          <w:rFonts w:asciiTheme="minorHAnsi" w:hAnsiTheme="minorHAnsi"/>
        </w:rPr>
        <w:t>To successfully fulf</w:t>
      </w:r>
      <w:r w:rsidR="006653F8">
        <w:rPr>
          <w:rFonts w:asciiTheme="minorHAnsi" w:hAnsiTheme="minorHAnsi"/>
        </w:rPr>
        <w:t>ill the Department’s obligation</w:t>
      </w:r>
      <w:r>
        <w:rPr>
          <w:rFonts w:asciiTheme="minorHAnsi" w:hAnsiTheme="minorHAnsi"/>
        </w:rPr>
        <w:t xml:space="preserve"> to m</w:t>
      </w:r>
      <w:r w:rsidR="006653F8">
        <w:rPr>
          <w:rFonts w:asciiTheme="minorHAnsi" w:hAnsiTheme="minorHAnsi"/>
        </w:rPr>
        <w:t>eet E-Discovery requirements in litigation</w:t>
      </w:r>
      <w:r>
        <w:rPr>
          <w:rFonts w:asciiTheme="minorHAnsi" w:hAnsiTheme="minorHAnsi"/>
        </w:rPr>
        <w:t>, the Division needs to hire and train individuals</w:t>
      </w:r>
      <w:r w:rsidR="001D1C60" w:rsidRPr="001D1C60">
        <w:rPr>
          <w:rFonts w:asciiTheme="minorHAnsi" w:hAnsiTheme="minorHAnsi"/>
        </w:rPr>
        <w:t xml:space="preserve"> with technical and legal E-Discovery</w:t>
      </w:r>
      <w:r w:rsidR="006653F8">
        <w:rPr>
          <w:rFonts w:asciiTheme="minorHAnsi" w:hAnsiTheme="minorHAnsi"/>
        </w:rPr>
        <w:t xml:space="preserve"> expertise</w:t>
      </w:r>
      <w:r>
        <w:rPr>
          <w:rFonts w:asciiTheme="minorHAnsi" w:hAnsiTheme="minorHAnsi"/>
        </w:rPr>
        <w:t>.</w:t>
      </w:r>
    </w:p>
    <w:p w:rsidR="00AF7569" w:rsidRDefault="00AF7569" w:rsidP="00416450">
      <w:pPr>
        <w:jc w:val="both"/>
        <w:rPr>
          <w:rFonts w:asciiTheme="minorHAnsi" w:hAnsiTheme="minorHAnsi"/>
          <w:b/>
          <w:color w:val="632423" w:themeColor="accent2" w:themeShade="80"/>
          <w:sz w:val="28"/>
          <w:szCs w:val="28"/>
        </w:rPr>
      </w:pPr>
      <w:r>
        <w:rPr>
          <w:rFonts w:asciiTheme="minorHAnsi" w:hAnsiTheme="minorHAnsi"/>
          <w:b/>
          <w:color w:val="632423" w:themeColor="accent2" w:themeShade="80"/>
          <w:sz w:val="28"/>
          <w:szCs w:val="28"/>
        </w:rPr>
        <w:t>Priority Goals</w:t>
      </w:r>
    </w:p>
    <w:p w:rsidR="00AF7569" w:rsidRPr="00AF7569" w:rsidRDefault="00AF7569" w:rsidP="00416450">
      <w:pPr>
        <w:jc w:val="both"/>
        <w:rPr>
          <w:rFonts w:asciiTheme="minorHAnsi" w:hAnsiTheme="minorHAnsi"/>
          <w:sz w:val="20"/>
          <w:szCs w:val="20"/>
        </w:rPr>
      </w:pPr>
    </w:p>
    <w:p w:rsidR="00AF7569" w:rsidRDefault="00AF7569" w:rsidP="00416450">
      <w:pPr>
        <w:jc w:val="both"/>
        <w:rPr>
          <w:rFonts w:asciiTheme="minorHAnsi" w:hAnsiTheme="minorHAnsi"/>
        </w:rPr>
      </w:pPr>
      <w:r>
        <w:rPr>
          <w:rFonts w:asciiTheme="minorHAnsi" w:hAnsiTheme="minorHAnsi"/>
        </w:rPr>
        <w:t>The Civil Division</w:t>
      </w:r>
      <w:r w:rsidR="00ED3BB7">
        <w:rPr>
          <w:rFonts w:asciiTheme="minorHAnsi" w:hAnsiTheme="minorHAnsi"/>
        </w:rPr>
        <w:t xml:space="preserve"> is one of five components which</w:t>
      </w:r>
      <w:r>
        <w:rPr>
          <w:rFonts w:asciiTheme="minorHAnsi" w:hAnsiTheme="minorHAnsi"/>
        </w:rPr>
        <w:t xml:space="preserve"> </w:t>
      </w:r>
      <w:r w:rsidR="008B2403">
        <w:rPr>
          <w:rFonts w:asciiTheme="minorHAnsi" w:hAnsiTheme="minorHAnsi"/>
        </w:rPr>
        <w:t>contribute</w:t>
      </w:r>
      <w:r>
        <w:rPr>
          <w:rFonts w:asciiTheme="minorHAnsi" w:hAnsiTheme="minorHAnsi"/>
        </w:rPr>
        <w:t xml:space="preserve"> to the Department’s Priority Goal of increasing </w:t>
      </w:r>
      <w:r w:rsidR="00C10F2D">
        <w:rPr>
          <w:rFonts w:asciiTheme="minorHAnsi" w:hAnsiTheme="minorHAnsi"/>
        </w:rPr>
        <w:t xml:space="preserve">its </w:t>
      </w:r>
      <w:r>
        <w:rPr>
          <w:rFonts w:asciiTheme="minorHAnsi" w:hAnsiTheme="minorHAnsi"/>
        </w:rPr>
        <w:t xml:space="preserve">white collar crime </w:t>
      </w:r>
      <w:r w:rsidR="00C10F2D">
        <w:rPr>
          <w:rFonts w:asciiTheme="minorHAnsi" w:hAnsiTheme="minorHAnsi"/>
        </w:rPr>
        <w:t xml:space="preserve">caseload by five percent with 90 percent of cases favorably resolved.  </w:t>
      </w:r>
    </w:p>
    <w:p w:rsidR="006D7CC7" w:rsidRPr="00EC5BE8" w:rsidRDefault="00883D19">
      <w:pPr>
        <w:spacing w:after="200" w:line="276" w:lineRule="auto"/>
        <w:rPr>
          <w:rFonts w:asciiTheme="minorHAnsi" w:hAnsiTheme="minorHAnsi"/>
        </w:rPr>
      </w:pPr>
      <w:r>
        <w:rPr>
          <w:rFonts w:asciiTheme="minorHAnsi" w:hAnsiTheme="minorHAnsi"/>
        </w:rPr>
        <w:br w:type="page"/>
      </w:r>
    </w:p>
    <w:p w:rsidR="00520137" w:rsidRPr="002F2B85" w:rsidRDefault="00520137" w:rsidP="002F2B85">
      <w:pPr>
        <w:spacing w:after="200" w:line="276" w:lineRule="auto"/>
        <w:jc w:val="center"/>
        <w:rPr>
          <w:rFonts w:asciiTheme="minorHAnsi" w:hAnsiTheme="minorHAnsi"/>
        </w:rPr>
      </w:pPr>
      <w:r w:rsidRPr="008726DF">
        <w:rPr>
          <w:rFonts w:asciiTheme="minorHAnsi" w:hAnsiTheme="minorHAnsi"/>
          <w:b/>
          <w:sz w:val="28"/>
          <w:szCs w:val="28"/>
          <w:lang w:val="en-CA"/>
        </w:rPr>
        <w:t xml:space="preserve">Program </w:t>
      </w:r>
      <w:r>
        <w:rPr>
          <w:rFonts w:asciiTheme="minorHAnsi" w:hAnsiTheme="minorHAnsi"/>
          <w:b/>
          <w:sz w:val="28"/>
          <w:szCs w:val="28"/>
          <w:lang w:val="en-CA"/>
        </w:rPr>
        <w:t>Offsets</w:t>
      </w:r>
    </w:p>
    <w:p w:rsidR="00520137" w:rsidRPr="008726DF" w:rsidRDefault="00520137" w:rsidP="00520137">
      <w:pPr>
        <w:pStyle w:val="BodyText"/>
        <w:jc w:val="both"/>
        <w:rPr>
          <w:rFonts w:asciiTheme="minorHAnsi" w:hAnsiTheme="minorHAnsi"/>
          <w:szCs w:val="24"/>
        </w:rPr>
      </w:pPr>
    </w:p>
    <w:p w:rsidR="00520137" w:rsidRPr="008726DF" w:rsidRDefault="00520137" w:rsidP="00520137">
      <w:pPr>
        <w:pStyle w:val="xl19"/>
        <w:spacing w:before="0" w:after="0"/>
        <w:jc w:val="both"/>
        <w:rPr>
          <w:rFonts w:asciiTheme="minorHAnsi" w:hAnsiTheme="minorHAnsi"/>
          <w:b/>
          <w:bCs/>
          <w:szCs w:val="24"/>
        </w:rPr>
      </w:pPr>
      <w:r w:rsidRPr="008726DF">
        <w:rPr>
          <w:rFonts w:asciiTheme="minorHAnsi" w:hAnsiTheme="minorHAnsi"/>
          <w:b/>
          <w:bCs/>
          <w:szCs w:val="24"/>
        </w:rPr>
        <w:t>Item Name:</w:t>
      </w:r>
      <w:r w:rsidRPr="008726DF">
        <w:rPr>
          <w:rFonts w:asciiTheme="minorHAnsi" w:hAnsiTheme="minorHAnsi"/>
          <w:b/>
          <w:bCs/>
          <w:szCs w:val="24"/>
        </w:rPr>
        <w:tab/>
      </w:r>
      <w:r w:rsidRPr="008726DF">
        <w:rPr>
          <w:rFonts w:asciiTheme="minorHAnsi" w:hAnsiTheme="minorHAnsi"/>
          <w:b/>
          <w:bCs/>
          <w:szCs w:val="24"/>
        </w:rPr>
        <w:tab/>
      </w:r>
      <w:r w:rsidRPr="008726DF">
        <w:rPr>
          <w:rFonts w:asciiTheme="minorHAnsi" w:hAnsiTheme="minorHAnsi"/>
          <w:b/>
          <w:bCs/>
          <w:szCs w:val="24"/>
        </w:rPr>
        <w:tab/>
      </w:r>
      <w:r>
        <w:rPr>
          <w:rFonts w:asciiTheme="minorHAnsi" w:hAnsiTheme="minorHAnsi"/>
          <w:b/>
          <w:bCs/>
          <w:color w:val="632423" w:themeColor="accent2" w:themeShade="80"/>
          <w:szCs w:val="24"/>
          <w:u w:val="single"/>
        </w:rPr>
        <w:t>Administrative Efficiencies</w:t>
      </w:r>
    </w:p>
    <w:p w:rsidR="00520137" w:rsidRPr="008726DF" w:rsidRDefault="00520137" w:rsidP="00520137">
      <w:pPr>
        <w:pStyle w:val="xl19"/>
        <w:tabs>
          <w:tab w:val="left" w:pos="3420"/>
          <w:tab w:val="right" w:pos="8640"/>
        </w:tabs>
        <w:spacing w:before="0" w:after="0"/>
        <w:jc w:val="both"/>
        <w:rPr>
          <w:rFonts w:asciiTheme="minorHAnsi" w:eastAsia="Times New Roman" w:hAnsiTheme="minorHAnsi"/>
          <w:szCs w:val="24"/>
        </w:rPr>
      </w:pPr>
    </w:p>
    <w:p w:rsidR="00520137" w:rsidRPr="008726DF" w:rsidRDefault="00520137" w:rsidP="00520137">
      <w:pPr>
        <w:pStyle w:val="xl19"/>
        <w:spacing w:before="0" w:after="0"/>
        <w:jc w:val="both"/>
        <w:rPr>
          <w:rFonts w:asciiTheme="minorHAnsi" w:eastAsia="Times New Roman" w:hAnsiTheme="minorHAnsi"/>
          <w:szCs w:val="24"/>
        </w:rPr>
      </w:pPr>
      <w:r w:rsidRPr="008726DF">
        <w:rPr>
          <w:rFonts w:asciiTheme="minorHAnsi" w:eastAsia="Times New Roman" w:hAnsiTheme="minorHAnsi"/>
          <w:szCs w:val="24"/>
        </w:rPr>
        <w:t>Budget Decision Unit:</w:t>
      </w:r>
      <w:r w:rsidRPr="008726DF">
        <w:rPr>
          <w:rFonts w:asciiTheme="minorHAnsi" w:eastAsia="Times New Roman" w:hAnsiTheme="minorHAnsi"/>
          <w:szCs w:val="24"/>
        </w:rPr>
        <w:tab/>
      </w:r>
      <w:r w:rsidRPr="008726DF">
        <w:rPr>
          <w:rFonts w:asciiTheme="minorHAnsi" w:eastAsia="Times New Roman" w:hAnsiTheme="minorHAnsi"/>
          <w:szCs w:val="24"/>
        </w:rPr>
        <w:tab/>
        <w:t>Legal Representation</w:t>
      </w:r>
    </w:p>
    <w:p w:rsidR="00520137" w:rsidRDefault="00520137" w:rsidP="00520137">
      <w:pPr>
        <w:ind w:left="2880" w:hanging="2880"/>
        <w:jc w:val="both"/>
        <w:rPr>
          <w:rFonts w:asciiTheme="minorHAnsi" w:hAnsiTheme="minorHAnsi"/>
        </w:rPr>
      </w:pPr>
      <w:r w:rsidRPr="008726DF">
        <w:rPr>
          <w:rFonts w:asciiTheme="minorHAnsi" w:hAnsiTheme="minorHAnsi"/>
        </w:rPr>
        <w:t>Strategic Goal &amp; Objective:</w:t>
      </w:r>
      <w:r w:rsidRPr="008726DF">
        <w:rPr>
          <w:rFonts w:asciiTheme="minorHAnsi" w:hAnsiTheme="minorHAnsi"/>
        </w:rPr>
        <w:tab/>
        <w:t>2.7 - Vigorously enforce and represent the interests of the United States in all matters over which the Department has jurisdiction</w:t>
      </w:r>
    </w:p>
    <w:p w:rsidR="00520137" w:rsidRPr="008726DF" w:rsidRDefault="00520137" w:rsidP="00520137">
      <w:pPr>
        <w:ind w:left="2880" w:hanging="2880"/>
        <w:jc w:val="both"/>
        <w:rPr>
          <w:rFonts w:asciiTheme="minorHAnsi" w:hAnsiTheme="minorHAnsi"/>
        </w:rPr>
      </w:pPr>
    </w:p>
    <w:p w:rsidR="00520137" w:rsidRPr="008726DF" w:rsidRDefault="00520137" w:rsidP="00520137">
      <w:pPr>
        <w:pStyle w:val="xl19"/>
        <w:tabs>
          <w:tab w:val="left" w:pos="2880"/>
          <w:tab w:val="right" w:pos="4320"/>
        </w:tabs>
        <w:spacing w:before="0" w:after="0"/>
        <w:jc w:val="both"/>
        <w:rPr>
          <w:rFonts w:asciiTheme="minorHAnsi" w:hAnsiTheme="minorHAnsi"/>
          <w:szCs w:val="24"/>
          <w:u w:val="single"/>
        </w:rPr>
      </w:pPr>
      <w:r w:rsidRPr="008726DF">
        <w:rPr>
          <w:rFonts w:asciiTheme="minorHAnsi" w:hAnsiTheme="minorHAnsi"/>
          <w:szCs w:val="24"/>
        </w:rPr>
        <w:t>Ranking:</w:t>
      </w:r>
      <w:r w:rsidRPr="008726DF">
        <w:rPr>
          <w:rFonts w:asciiTheme="minorHAnsi" w:hAnsiTheme="minorHAnsi"/>
          <w:szCs w:val="24"/>
        </w:rPr>
        <w:tab/>
      </w:r>
      <w:r w:rsidRPr="00563C80">
        <w:rPr>
          <w:rFonts w:asciiTheme="minorHAnsi" w:hAnsiTheme="minorHAnsi"/>
          <w:szCs w:val="24"/>
          <w:u w:val="single"/>
        </w:rPr>
        <w:t>N/A</w:t>
      </w:r>
    </w:p>
    <w:p w:rsidR="00520137" w:rsidRPr="008726DF" w:rsidRDefault="00520137" w:rsidP="00520137">
      <w:pPr>
        <w:pStyle w:val="xl19"/>
        <w:spacing w:before="0" w:after="0"/>
        <w:jc w:val="both"/>
        <w:rPr>
          <w:rFonts w:asciiTheme="minorHAnsi" w:eastAsia="Times New Roman" w:hAnsiTheme="minorHAnsi"/>
          <w:szCs w:val="24"/>
        </w:rPr>
      </w:pPr>
    </w:p>
    <w:p w:rsidR="00520137" w:rsidRPr="008726DF" w:rsidRDefault="00520137" w:rsidP="00520137">
      <w:pPr>
        <w:pStyle w:val="xl19"/>
        <w:spacing w:before="0" w:after="0"/>
        <w:ind w:left="2160" w:hanging="2160"/>
        <w:jc w:val="both"/>
        <w:rPr>
          <w:rFonts w:asciiTheme="minorHAnsi" w:hAnsiTheme="minorHAnsi"/>
          <w:szCs w:val="24"/>
        </w:rPr>
      </w:pPr>
      <w:r w:rsidRPr="008726DF">
        <w:rPr>
          <w:rFonts w:asciiTheme="minorHAnsi" w:hAnsiTheme="minorHAnsi"/>
          <w:szCs w:val="24"/>
        </w:rPr>
        <w:t xml:space="preserve">Program </w:t>
      </w:r>
      <w:r>
        <w:rPr>
          <w:rFonts w:asciiTheme="minorHAnsi" w:hAnsiTheme="minorHAnsi"/>
          <w:szCs w:val="24"/>
        </w:rPr>
        <w:t>Reduction</w:t>
      </w:r>
      <w:r w:rsidRPr="008726DF">
        <w:rPr>
          <w:rFonts w:asciiTheme="minorHAnsi" w:hAnsiTheme="minorHAnsi"/>
          <w:szCs w:val="24"/>
        </w:rPr>
        <w:t>:</w:t>
      </w:r>
      <w:r w:rsidRPr="008726DF">
        <w:rPr>
          <w:rFonts w:asciiTheme="minorHAnsi" w:hAnsiTheme="minorHAnsi"/>
          <w:szCs w:val="24"/>
        </w:rPr>
        <w:tab/>
        <w:t xml:space="preserve">   </w:t>
      </w:r>
      <w:r w:rsidRPr="008726DF">
        <w:rPr>
          <w:rFonts w:asciiTheme="minorHAnsi" w:hAnsiTheme="minorHAnsi"/>
          <w:szCs w:val="24"/>
        </w:rPr>
        <w:tab/>
        <w:t xml:space="preserve">Dollars  </w:t>
      </w:r>
      <w:r w:rsidRPr="008726DF">
        <w:rPr>
          <w:rFonts w:asciiTheme="minorHAnsi" w:hAnsiTheme="minorHAnsi"/>
          <w:szCs w:val="24"/>
          <w:u w:val="single"/>
        </w:rPr>
        <w:t>$</w:t>
      </w:r>
      <w:r>
        <w:rPr>
          <w:rFonts w:asciiTheme="minorHAnsi" w:hAnsiTheme="minorHAnsi"/>
          <w:szCs w:val="24"/>
          <w:u w:val="single"/>
        </w:rPr>
        <w:t>264,000</w:t>
      </w:r>
    </w:p>
    <w:p w:rsidR="00520137" w:rsidRDefault="00520137" w:rsidP="00520137">
      <w:pPr>
        <w:pStyle w:val="xl19"/>
        <w:spacing w:before="0" w:after="0"/>
        <w:ind w:left="2160" w:hanging="2160"/>
        <w:jc w:val="both"/>
        <w:rPr>
          <w:rFonts w:asciiTheme="minorHAnsi" w:hAnsiTheme="minorHAnsi"/>
        </w:rPr>
      </w:pPr>
      <w:r w:rsidRPr="008726DF">
        <w:rPr>
          <w:rFonts w:asciiTheme="minorHAnsi" w:hAnsiTheme="minorHAnsi"/>
          <w:szCs w:val="24"/>
        </w:rPr>
        <w:t xml:space="preserve">    </w:t>
      </w:r>
      <w:r>
        <w:rPr>
          <w:rFonts w:asciiTheme="minorHAnsi" w:hAnsiTheme="minorHAnsi"/>
          <w:szCs w:val="24"/>
        </w:rPr>
        <w:t xml:space="preserve">                              </w:t>
      </w:r>
    </w:p>
    <w:p w:rsidR="00520137" w:rsidRPr="008726DF" w:rsidRDefault="00520137" w:rsidP="00520137">
      <w:pPr>
        <w:jc w:val="both"/>
        <w:rPr>
          <w:rFonts w:asciiTheme="minorHAnsi" w:hAnsiTheme="minorHAnsi"/>
          <w:color w:val="632423" w:themeColor="accent2" w:themeShade="80"/>
          <w:u w:val="single"/>
        </w:rPr>
      </w:pPr>
      <w:r w:rsidRPr="008726DF">
        <w:rPr>
          <w:rFonts w:asciiTheme="minorHAnsi" w:hAnsiTheme="minorHAnsi"/>
          <w:color w:val="632423" w:themeColor="accent2" w:themeShade="80"/>
          <w:u w:val="single"/>
        </w:rPr>
        <w:t>Description of Item</w:t>
      </w:r>
    </w:p>
    <w:p w:rsidR="00520137" w:rsidRDefault="00520137" w:rsidP="00520137">
      <w:pPr>
        <w:jc w:val="both"/>
        <w:rPr>
          <w:rFonts w:asciiTheme="minorHAnsi" w:hAnsiTheme="minorHAnsi"/>
        </w:rPr>
      </w:pPr>
      <w:r w:rsidRPr="00437FBF">
        <w:rPr>
          <w:rFonts w:asciiTheme="minorHAnsi" w:hAnsiTheme="minorHAnsi"/>
        </w:rPr>
        <w:t>The Department is continually evaluating its programs and operations with the goal of achieving across-the-board economies of scale that result in increased efficiencies and cost savings.  In FY 2012, the Department is focusing on areas in which savings can be achieved, which includes: printing, publications, travel, conferences, supplies, and gener</w:t>
      </w:r>
      <w:r>
        <w:rPr>
          <w:rFonts w:asciiTheme="minorHAnsi" w:hAnsiTheme="minorHAnsi"/>
        </w:rPr>
        <w:t>al equipment.  Upgrades that the Civil Division</w:t>
      </w:r>
      <w:r w:rsidRPr="00437FBF">
        <w:rPr>
          <w:rFonts w:asciiTheme="minorHAnsi" w:hAnsiTheme="minorHAnsi"/>
        </w:rPr>
        <w:t xml:space="preserve"> is currently performing for office automation will yield savings in expenditures for equipment.  Such administrative efficiencies will result in an offset of $264,000 for the Civil Division. </w:t>
      </w:r>
    </w:p>
    <w:p w:rsidR="00520137" w:rsidRPr="008726DF" w:rsidRDefault="00520137" w:rsidP="00520137">
      <w:pPr>
        <w:pStyle w:val="BodyText"/>
        <w:jc w:val="both"/>
        <w:rPr>
          <w:rFonts w:asciiTheme="minorHAnsi" w:hAnsiTheme="minorHAnsi"/>
          <w:szCs w:val="24"/>
        </w:rPr>
      </w:pPr>
    </w:p>
    <w:p w:rsidR="00520137" w:rsidRPr="008726DF" w:rsidRDefault="00520137" w:rsidP="00520137">
      <w:pPr>
        <w:pStyle w:val="xl19"/>
        <w:spacing w:before="0" w:after="0"/>
        <w:jc w:val="both"/>
        <w:rPr>
          <w:rFonts w:asciiTheme="minorHAnsi" w:hAnsiTheme="minorHAnsi"/>
          <w:b/>
          <w:bCs/>
          <w:szCs w:val="24"/>
        </w:rPr>
      </w:pPr>
      <w:r w:rsidRPr="008726DF">
        <w:rPr>
          <w:rFonts w:asciiTheme="minorHAnsi" w:hAnsiTheme="minorHAnsi"/>
          <w:b/>
          <w:bCs/>
          <w:szCs w:val="24"/>
        </w:rPr>
        <w:t>Item Name:</w:t>
      </w:r>
      <w:r w:rsidRPr="008726DF">
        <w:rPr>
          <w:rFonts w:asciiTheme="minorHAnsi" w:hAnsiTheme="minorHAnsi"/>
          <w:b/>
          <w:bCs/>
          <w:szCs w:val="24"/>
        </w:rPr>
        <w:tab/>
      </w:r>
      <w:r w:rsidRPr="008726DF">
        <w:rPr>
          <w:rFonts w:asciiTheme="minorHAnsi" w:hAnsiTheme="minorHAnsi"/>
          <w:b/>
          <w:bCs/>
          <w:szCs w:val="24"/>
        </w:rPr>
        <w:tab/>
      </w:r>
      <w:r w:rsidRPr="008726DF">
        <w:rPr>
          <w:rFonts w:asciiTheme="minorHAnsi" w:hAnsiTheme="minorHAnsi"/>
          <w:b/>
          <w:bCs/>
          <w:szCs w:val="24"/>
        </w:rPr>
        <w:tab/>
      </w:r>
      <w:r>
        <w:rPr>
          <w:rFonts w:asciiTheme="minorHAnsi" w:hAnsiTheme="minorHAnsi"/>
          <w:b/>
          <w:bCs/>
          <w:color w:val="632423" w:themeColor="accent2" w:themeShade="80"/>
          <w:szCs w:val="24"/>
          <w:u w:val="single"/>
        </w:rPr>
        <w:t>Technology Refresh</w:t>
      </w:r>
    </w:p>
    <w:p w:rsidR="00520137" w:rsidRPr="008726DF" w:rsidRDefault="00520137" w:rsidP="00520137">
      <w:pPr>
        <w:pStyle w:val="xl19"/>
        <w:tabs>
          <w:tab w:val="left" w:pos="3420"/>
          <w:tab w:val="right" w:pos="8640"/>
        </w:tabs>
        <w:spacing w:before="0" w:after="0"/>
        <w:jc w:val="both"/>
        <w:rPr>
          <w:rFonts w:asciiTheme="minorHAnsi" w:eastAsia="Times New Roman" w:hAnsiTheme="minorHAnsi"/>
          <w:szCs w:val="24"/>
        </w:rPr>
      </w:pPr>
    </w:p>
    <w:p w:rsidR="00520137" w:rsidRPr="008726DF" w:rsidRDefault="00520137" w:rsidP="00520137">
      <w:pPr>
        <w:pStyle w:val="xl19"/>
        <w:spacing w:before="0" w:after="0"/>
        <w:jc w:val="both"/>
        <w:rPr>
          <w:rFonts w:asciiTheme="minorHAnsi" w:eastAsia="Times New Roman" w:hAnsiTheme="minorHAnsi"/>
          <w:szCs w:val="24"/>
        </w:rPr>
      </w:pPr>
      <w:r w:rsidRPr="008726DF">
        <w:rPr>
          <w:rFonts w:asciiTheme="minorHAnsi" w:eastAsia="Times New Roman" w:hAnsiTheme="minorHAnsi"/>
          <w:szCs w:val="24"/>
        </w:rPr>
        <w:t>Budget Decision Unit:</w:t>
      </w:r>
      <w:r w:rsidRPr="008726DF">
        <w:rPr>
          <w:rFonts w:asciiTheme="minorHAnsi" w:eastAsia="Times New Roman" w:hAnsiTheme="minorHAnsi"/>
          <w:szCs w:val="24"/>
        </w:rPr>
        <w:tab/>
      </w:r>
      <w:r w:rsidRPr="008726DF">
        <w:rPr>
          <w:rFonts w:asciiTheme="minorHAnsi" w:eastAsia="Times New Roman" w:hAnsiTheme="minorHAnsi"/>
          <w:szCs w:val="24"/>
        </w:rPr>
        <w:tab/>
        <w:t>Legal Representation</w:t>
      </w:r>
    </w:p>
    <w:p w:rsidR="00520137" w:rsidRPr="008726DF" w:rsidRDefault="00520137" w:rsidP="00520137">
      <w:pPr>
        <w:ind w:left="2880" w:hanging="2880"/>
        <w:jc w:val="both"/>
        <w:rPr>
          <w:rFonts w:asciiTheme="minorHAnsi" w:hAnsiTheme="minorHAnsi"/>
        </w:rPr>
      </w:pPr>
      <w:r w:rsidRPr="008726DF">
        <w:rPr>
          <w:rFonts w:asciiTheme="minorHAnsi" w:hAnsiTheme="minorHAnsi"/>
        </w:rPr>
        <w:t>Strategic Goal &amp; Objective:</w:t>
      </w:r>
      <w:r w:rsidRPr="008726DF">
        <w:rPr>
          <w:rFonts w:asciiTheme="minorHAnsi" w:hAnsiTheme="minorHAnsi"/>
        </w:rPr>
        <w:tab/>
        <w:t>2.7 - Vigorously enforce and represent the interests of the United States in all matters over which the Department has jurisdiction</w:t>
      </w:r>
    </w:p>
    <w:p w:rsidR="00520137" w:rsidRPr="008726DF" w:rsidRDefault="00520137" w:rsidP="00520137">
      <w:pPr>
        <w:pStyle w:val="xl19"/>
        <w:spacing w:before="0" w:after="0"/>
        <w:jc w:val="both"/>
        <w:rPr>
          <w:rFonts w:asciiTheme="minorHAnsi" w:eastAsia="Times New Roman" w:hAnsiTheme="minorHAnsi"/>
          <w:szCs w:val="24"/>
        </w:rPr>
      </w:pPr>
    </w:p>
    <w:p w:rsidR="00520137" w:rsidRPr="00563C80" w:rsidRDefault="00520137" w:rsidP="00520137">
      <w:pPr>
        <w:pStyle w:val="xl19"/>
        <w:tabs>
          <w:tab w:val="left" w:pos="2880"/>
          <w:tab w:val="right" w:pos="4320"/>
        </w:tabs>
        <w:spacing w:before="0" w:after="0"/>
        <w:jc w:val="both"/>
        <w:rPr>
          <w:rFonts w:asciiTheme="minorHAnsi" w:hAnsiTheme="minorHAnsi"/>
          <w:szCs w:val="24"/>
          <w:u w:val="single"/>
        </w:rPr>
      </w:pPr>
      <w:r w:rsidRPr="008726DF">
        <w:rPr>
          <w:rFonts w:asciiTheme="minorHAnsi" w:hAnsiTheme="minorHAnsi"/>
          <w:szCs w:val="24"/>
        </w:rPr>
        <w:t>Ranking:</w:t>
      </w:r>
      <w:r w:rsidRPr="008726DF">
        <w:rPr>
          <w:rFonts w:asciiTheme="minorHAnsi" w:hAnsiTheme="minorHAnsi"/>
          <w:szCs w:val="24"/>
        </w:rPr>
        <w:tab/>
      </w:r>
      <w:r w:rsidRPr="00563C80">
        <w:rPr>
          <w:rFonts w:asciiTheme="minorHAnsi" w:hAnsiTheme="minorHAnsi"/>
          <w:szCs w:val="24"/>
          <w:u w:val="single"/>
        </w:rPr>
        <w:t>N/A</w:t>
      </w:r>
    </w:p>
    <w:p w:rsidR="00520137" w:rsidRDefault="00520137" w:rsidP="00520137">
      <w:pPr>
        <w:pStyle w:val="xl19"/>
        <w:spacing w:before="0" w:after="0"/>
        <w:ind w:left="2160" w:hanging="2160"/>
        <w:jc w:val="both"/>
        <w:rPr>
          <w:rFonts w:asciiTheme="minorHAnsi" w:hAnsiTheme="minorHAnsi"/>
          <w:szCs w:val="24"/>
        </w:rPr>
      </w:pPr>
    </w:p>
    <w:p w:rsidR="00520137" w:rsidRPr="008726DF" w:rsidRDefault="00520137" w:rsidP="00520137">
      <w:pPr>
        <w:pStyle w:val="xl19"/>
        <w:spacing w:before="0" w:after="0"/>
        <w:ind w:left="2160" w:hanging="2160"/>
        <w:jc w:val="both"/>
        <w:rPr>
          <w:rFonts w:asciiTheme="minorHAnsi" w:hAnsiTheme="minorHAnsi"/>
          <w:szCs w:val="24"/>
        </w:rPr>
      </w:pPr>
      <w:r w:rsidRPr="008726DF">
        <w:rPr>
          <w:rFonts w:asciiTheme="minorHAnsi" w:hAnsiTheme="minorHAnsi"/>
          <w:szCs w:val="24"/>
        </w:rPr>
        <w:t xml:space="preserve">Program </w:t>
      </w:r>
      <w:r>
        <w:rPr>
          <w:rFonts w:asciiTheme="minorHAnsi" w:hAnsiTheme="minorHAnsi"/>
          <w:szCs w:val="24"/>
        </w:rPr>
        <w:t>Reduction</w:t>
      </w:r>
      <w:r w:rsidRPr="008726DF">
        <w:rPr>
          <w:rFonts w:asciiTheme="minorHAnsi" w:hAnsiTheme="minorHAnsi"/>
          <w:szCs w:val="24"/>
        </w:rPr>
        <w:t>:</w:t>
      </w:r>
      <w:r w:rsidRPr="008726DF">
        <w:rPr>
          <w:rFonts w:asciiTheme="minorHAnsi" w:hAnsiTheme="minorHAnsi"/>
          <w:szCs w:val="24"/>
        </w:rPr>
        <w:tab/>
        <w:t xml:space="preserve">   </w:t>
      </w:r>
      <w:r w:rsidRPr="008726DF">
        <w:rPr>
          <w:rFonts w:asciiTheme="minorHAnsi" w:hAnsiTheme="minorHAnsi"/>
          <w:szCs w:val="24"/>
        </w:rPr>
        <w:tab/>
        <w:t xml:space="preserve">Dollars  </w:t>
      </w:r>
      <w:r>
        <w:rPr>
          <w:rFonts w:asciiTheme="minorHAnsi" w:hAnsiTheme="minorHAnsi"/>
          <w:szCs w:val="24"/>
          <w:u w:val="single"/>
        </w:rPr>
        <w:t>$120,000</w:t>
      </w:r>
    </w:p>
    <w:p w:rsidR="00520137" w:rsidRDefault="00520137" w:rsidP="00520137">
      <w:pPr>
        <w:pStyle w:val="xl19"/>
        <w:spacing w:before="0" w:after="0"/>
        <w:ind w:left="2160" w:hanging="2160"/>
        <w:jc w:val="both"/>
        <w:rPr>
          <w:rFonts w:asciiTheme="minorHAnsi" w:hAnsiTheme="minorHAnsi"/>
        </w:rPr>
      </w:pPr>
      <w:r w:rsidRPr="008726DF">
        <w:rPr>
          <w:rFonts w:asciiTheme="minorHAnsi" w:hAnsiTheme="minorHAnsi"/>
          <w:szCs w:val="24"/>
        </w:rPr>
        <w:t xml:space="preserve">                                  </w:t>
      </w:r>
      <w:r w:rsidRPr="008726DF">
        <w:rPr>
          <w:rFonts w:asciiTheme="minorHAnsi" w:hAnsiTheme="minorHAnsi"/>
          <w:szCs w:val="24"/>
        </w:rPr>
        <w:tab/>
      </w:r>
      <w:r w:rsidRPr="008726DF">
        <w:rPr>
          <w:rFonts w:asciiTheme="minorHAnsi" w:hAnsiTheme="minorHAnsi"/>
          <w:szCs w:val="24"/>
        </w:rPr>
        <w:tab/>
      </w:r>
    </w:p>
    <w:p w:rsidR="00520137" w:rsidRPr="008726DF" w:rsidRDefault="00520137" w:rsidP="00520137">
      <w:pPr>
        <w:jc w:val="both"/>
        <w:rPr>
          <w:rFonts w:asciiTheme="minorHAnsi" w:hAnsiTheme="minorHAnsi"/>
          <w:color w:val="632423" w:themeColor="accent2" w:themeShade="80"/>
          <w:u w:val="single"/>
        </w:rPr>
      </w:pPr>
      <w:r w:rsidRPr="008726DF">
        <w:rPr>
          <w:rFonts w:asciiTheme="minorHAnsi" w:hAnsiTheme="minorHAnsi"/>
          <w:color w:val="632423" w:themeColor="accent2" w:themeShade="80"/>
          <w:u w:val="single"/>
        </w:rPr>
        <w:t>Description of Item</w:t>
      </w:r>
    </w:p>
    <w:p w:rsidR="00520137" w:rsidRDefault="00520137" w:rsidP="00520137">
      <w:pPr>
        <w:jc w:val="both"/>
        <w:rPr>
          <w:rFonts w:asciiTheme="minorHAnsi" w:hAnsiTheme="minorHAnsi"/>
        </w:rPr>
      </w:pPr>
      <w:r>
        <w:rPr>
          <w:rFonts w:asciiTheme="minorHAnsi" w:hAnsiTheme="minorHAnsi"/>
          <w:bCs/>
        </w:rPr>
        <w:t>As</w:t>
      </w:r>
      <w:r w:rsidRPr="00437FBF">
        <w:rPr>
          <w:rFonts w:asciiTheme="minorHAnsi" w:hAnsiTheme="minorHAnsi"/>
        </w:rPr>
        <w:t xml:space="preserve"> desktops and laptops are used primarily for basic office automation ap</w:t>
      </w:r>
      <w:r>
        <w:rPr>
          <w:rFonts w:asciiTheme="minorHAnsi" w:hAnsiTheme="minorHAnsi"/>
        </w:rPr>
        <w:t xml:space="preserve">plications (e.g., spreadsheets </w:t>
      </w:r>
      <w:r w:rsidRPr="00437FBF">
        <w:rPr>
          <w:rFonts w:asciiTheme="minorHAnsi" w:hAnsiTheme="minorHAnsi"/>
        </w:rPr>
        <w:t>and word processing), replacing the inventory at a slower rate is expected to have minimal impact on Department operations.  In FY 2012, the Department is proposing to extend the refresh rate of all desktops or lapto</w:t>
      </w:r>
      <w:r>
        <w:rPr>
          <w:rFonts w:asciiTheme="minorHAnsi" w:hAnsiTheme="minorHAnsi"/>
        </w:rPr>
        <w:t>ps by one year.  In FY 2011, the Civil Division</w:t>
      </w:r>
      <w:r w:rsidRPr="00437FBF">
        <w:rPr>
          <w:rFonts w:asciiTheme="minorHAnsi" w:hAnsiTheme="minorHAnsi"/>
        </w:rPr>
        <w:t xml:space="preserve"> will undergo a major software upgrade from JCON3 to JCONV and expects the JCONV capabilities to successfully serve the Division’s needs into the foreseeable future.   The installation of JCONV will enable the Division to significantly extend its refresh rate, resulting in an offset of $120,000 in FY 2012.</w:t>
      </w:r>
    </w:p>
    <w:p w:rsidR="00520137" w:rsidRDefault="00520137" w:rsidP="00520137">
      <w:pPr>
        <w:jc w:val="both"/>
        <w:rPr>
          <w:rFonts w:asciiTheme="minorHAnsi" w:hAnsiTheme="minorHAnsi"/>
        </w:rPr>
        <w:sectPr w:rsidR="00520137" w:rsidSect="00BB214A">
          <w:headerReference w:type="default" r:id="rId36"/>
          <w:pgSz w:w="12240" w:h="15840"/>
          <w:pgMar w:top="1440" w:right="1440" w:bottom="720" w:left="1440" w:header="720" w:footer="720" w:gutter="0"/>
          <w:cols w:space="720"/>
          <w:docGrid w:linePitch="360"/>
        </w:sectPr>
      </w:pPr>
    </w:p>
    <w:p w:rsidR="00520137" w:rsidRDefault="00520137" w:rsidP="00520137">
      <w:pPr>
        <w:jc w:val="both"/>
        <w:rPr>
          <w:rFonts w:asciiTheme="minorHAnsi" w:hAnsiTheme="minorHAnsi"/>
        </w:rPr>
      </w:pPr>
    </w:p>
    <w:p w:rsidR="00520137" w:rsidRDefault="00520137" w:rsidP="00520137">
      <w:pPr>
        <w:jc w:val="center"/>
        <w:rPr>
          <w:b/>
          <w:sz w:val="36"/>
          <w:szCs w:val="36"/>
        </w:rPr>
      </w:pPr>
    </w:p>
    <w:p w:rsidR="00520137" w:rsidRDefault="00520137" w:rsidP="0041429A">
      <w:pPr>
        <w:rPr>
          <w:b/>
          <w:sz w:val="36"/>
          <w:szCs w:val="36"/>
        </w:rPr>
      </w:pPr>
    </w:p>
    <w:sectPr w:rsidR="00520137" w:rsidSect="00BB214A">
      <w:headerReference w:type="default" r:id="rId37"/>
      <w:footerReference w:type="default" r:id="rId38"/>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EC2" w:rsidRDefault="009B0EC2" w:rsidP="00520137">
      <w:r>
        <w:separator/>
      </w:r>
    </w:p>
  </w:endnote>
  <w:endnote w:type="continuationSeparator" w:id="0">
    <w:p w:rsidR="009B0EC2" w:rsidRDefault="009B0EC2" w:rsidP="0052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EC2" w:rsidRDefault="009B0EC2" w:rsidP="00BB21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0EC2" w:rsidRDefault="009B0EC2" w:rsidP="00BB21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EC2" w:rsidRDefault="009B0EC2" w:rsidP="00BB214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EC2" w:rsidRDefault="009B0EC2" w:rsidP="00BB214A">
    <w:pPr>
      <w:pStyle w:val="Footer"/>
      <w:ind w:left="4320" w:firstLine="4320"/>
      <w:jc w:val="center"/>
    </w:pPr>
    <w:r w:rsidRPr="00E06C1E">
      <w:rPr>
        <w:rFonts w:ascii="Calibri" w:hAnsi="Calibri"/>
        <w:sz w:val="26"/>
        <w:szCs w:val="26"/>
      </w:rPr>
      <w:fldChar w:fldCharType="begin"/>
    </w:r>
    <w:r w:rsidRPr="00E06C1E">
      <w:rPr>
        <w:rFonts w:ascii="Calibri" w:hAnsi="Calibri"/>
        <w:sz w:val="26"/>
        <w:szCs w:val="26"/>
      </w:rPr>
      <w:instrText xml:space="preserve"> PAGE   \* MERGEFORMAT </w:instrText>
    </w:r>
    <w:r w:rsidRPr="00E06C1E">
      <w:rPr>
        <w:rFonts w:ascii="Calibri" w:hAnsi="Calibri"/>
        <w:sz w:val="26"/>
        <w:szCs w:val="26"/>
      </w:rPr>
      <w:fldChar w:fldCharType="separate"/>
    </w:r>
    <w:r w:rsidR="00A974BD">
      <w:rPr>
        <w:rFonts w:ascii="Calibri" w:hAnsi="Calibri"/>
        <w:noProof/>
        <w:sz w:val="26"/>
        <w:szCs w:val="26"/>
      </w:rPr>
      <w:t>17</w:t>
    </w:r>
    <w:r w:rsidRPr="00E06C1E">
      <w:rPr>
        <w:rFonts w:ascii="Calibri" w:hAnsi="Calibri"/>
        <w:sz w:val="26"/>
        <w:szCs w:val="2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EC2" w:rsidRDefault="009B0EC2" w:rsidP="00BB214A">
    <w:pPr>
      <w:pStyle w:val="Footer"/>
      <w:ind w:left="4320" w:firstLine="43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EC2" w:rsidRDefault="009B0EC2" w:rsidP="00520137">
      <w:r>
        <w:separator/>
      </w:r>
    </w:p>
  </w:footnote>
  <w:footnote w:type="continuationSeparator" w:id="0">
    <w:p w:rsidR="009B0EC2" w:rsidRDefault="009B0EC2" w:rsidP="00520137">
      <w:r>
        <w:continuationSeparator/>
      </w:r>
    </w:p>
  </w:footnote>
  <w:footnote w:id="1">
    <w:p w:rsidR="009B0EC2" w:rsidRPr="00501055" w:rsidRDefault="009B0EC2" w:rsidP="00520137">
      <w:pPr>
        <w:jc w:val="both"/>
        <w:rPr>
          <w:rFonts w:asciiTheme="minorHAnsi" w:hAnsiTheme="minorHAnsi"/>
          <w:sz w:val="18"/>
          <w:szCs w:val="18"/>
        </w:rPr>
      </w:pPr>
      <w:r w:rsidRPr="00D95C36">
        <w:rPr>
          <w:rStyle w:val="FootnoteReference"/>
          <w:rFonts w:asciiTheme="minorHAnsi" w:hAnsiTheme="minorHAnsi"/>
        </w:rPr>
        <w:footnoteRef/>
      </w:r>
      <w:r w:rsidRPr="00D95C36">
        <w:rPr>
          <w:rFonts w:asciiTheme="minorHAnsi" w:hAnsiTheme="minorHAnsi"/>
        </w:rPr>
        <w:t xml:space="preserve"> </w:t>
      </w:r>
      <w:r w:rsidRPr="00D95C36">
        <w:rPr>
          <w:rFonts w:asciiTheme="minorHAnsi" w:hAnsiTheme="minorHAnsi"/>
          <w:sz w:val="18"/>
          <w:szCs w:val="18"/>
        </w:rPr>
        <w:t>Electronic copies of the Department of Justice’s Congressional Budget Justifications and Capital Asset Plan and Business Case exhibits can be viewed or downloaded from the Internet using the address:  &lt;</w:t>
      </w:r>
      <w:r w:rsidRPr="00D95C36">
        <w:rPr>
          <w:rFonts w:asciiTheme="minorHAnsi" w:hAnsiTheme="minorHAnsi"/>
          <w:sz w:val="18"/>
          <w:szCs w:val="18"/>
          <w:u w:val="single"/>
        </w:rPr>
        <w:t>http://www.usdoj.gov/jmd/2012justification/&gt;.</w:t>
      </w:r>
      <w:r w:rsidRPr="00D95C36">
        <w:rPr>
          <w:rFonts w:asciiTheme="minorHAnsi" w:hAnsiTheme="minorHAnsi"/>
        </w:rPr>
        <w:t xml:space="preserve">  </w:t>
      </w:r>
    </w:p>
  </w:footnote>
  <w:footnote w:id="2">
    <w:p w:rsidR="009B0EC2" w:rsidRDefault="009B0EC2" w:rsidP="00520137">
      <w:pPr>
        <w:pStyle w:val="FootnoteText"/>
      </w:pPr>
      <w:r w:rsidRPr="00140F3A">
        <w:rPr>
          <w:rStyle w:val="FootnoteReference"/>
          <w:rFonts w:asciiTheme="minorHAnsi" w:hAnsiTheme="minorHAnsi"/>
        </w:rPr>
        <w:footnoteRef/>
      </w:r>
      <w:r w:rsidRPr="00140F3A">
        <w:rPr>
          <w:rFonts w:asciiTheme="minorHAnsi" w:hAnsiTheme="minorHAnsi"/>
        </w:rPr>
        <w:t xml:space="preserve"> “Instructions</w:t>
      </w:r>
      <w:r w:rsidRPr="0018366C">
        <w:rPr>
          <w:rFonts w:asciiTheme="minorHAnsi" w:hAnsiTheme="minorHAnsi"/>
        </w:rPr>
        <w:t xml:space="preserve"> for Implementing Executive Order 13423</w:t>
      </w:r>
      <w:r>
        <w:rPr>
          <w:rFonts w:asciiTheme="minorHAnsi" w:hAnsiTheme="minorHAnsi"/>
        </w:rPr>
        <w:t>4</w:t>
      </w:r>
      <w:r w:rsidRPr="0018366C">
        <w:rPr>
          <w:rFonts w:asciiTheme="minorHAnsi" w:hAnsiTheme="minorHAnsi"/>
        </w:rPr>
        <w:t>.” &lt;http://www.whitehouse.gov/sites/default/files/omb/assets/procurement_green/eo13423_instructions.pdf&gt;.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EC2" w:rsidRPr="00E854FF" w:rsidRDefault="009B0EC2">
    <w:pPr>
      <w:pStyle w:val="Header"/>
      <w:rPr>
        <w:rFonts w:asciiTheme="minorHAnsi" w:hAnsiTheme="minorHAnsi"/>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EC2" w:rsidRPr="00845E59" w:rsidRDefault="009B0EC2">
    <w:pPr>
      <w:pStyle w:val="Header"/>
      <w:rPr>
        <w:rFonts w:asciiTheme="minorHAnsi" w:hAnsiTheme="minorHAnsi"/>
        <w:b/>
        <w:color w:val="D9D9D9" w:themeColor="background1" w:themeShade="D9"/>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EC2" w:rsidRPr="00123199" w:rsidRDefault="009B0EC2" w:rsidP="00BB214A">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34B2"/>
    <w:multiLevelType w:val="hybridMultilevel"/>
    <w:tmpl w:val="4036CBD6"/>
    <w:lvl w:ilvl="0" w:tplc="8E7C9E58">
      <w:start w:val="1"/>
      <w:numFmt w:val="upperLetter"/>
      <w:lvlText w:val="%1."/>
      <w:lvlJc w:val="left"/>
      <w:pPr>
        <w:tabs>
          <w:tab w:val="num" w:pos="720"/>
        </w:tabs>
        <w:ind w:left="720" w:hanging="360"/>
      </w:pPr>
      <w:rPr>
        <w:rFonts w:ascii="Calibri" w:eastAsia="Times New Roman" w:hAnsi="Calibr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D0230B"/>
    <w:multiLevelType w:val="hybridMultilevel"/>
    <w:tmpl w:val="4AECA9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002420C"/>
    <w:multiLevelType w:val="hybridMultilevel"/>
    <w:tmpl w:val="FA564C84"/>
    <w:lvl w:ilvl="0" w:tplc="F13C2846">
      <w:start w:val="1"/>
      <w:numFmt w:val="bullet"/>
      <w:lvlText w:val=""/>
      <w:lvlJc w:val="left"/>
      <w:pPr>
        <w:tabs>
          <w:tab w:val="num" w:pos="720"/>
        </w:tabs>
        <w:ind w:left="720" w:hanging="360"/>
      </w:pPr>
      <w:rPr>
        <w:rFonts w:ascii="Symbol" w:hAnsi="Symbol" w:hint="default"/>
        <w:color w:val="632423" w:themeColor="accent2" w:themeShade="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93551D"/>
    <w:multiLevelType w:val="hybridMultilevel"/>
    <w:tmpl w:val="E3D04B84"/>
    <w:lvl w:ilvl="0" w:tplc="99306F0E">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1C4531D7"/>
    <w:multiLevelType w:val="hybridMultilevel"/>
    <w:tmpl w:val="BE8692AC"/>
    <w:lvl w:ilvl="0" w:tplc="06A68760">
      <w:start w:val="1"/>
      <w:numFmt w:val="bullet"/>
      <w:lvlText w:val=""/>
      <w:lvlJc w:val="left"/>
      <w:pPr>
        <w:tabs>
          <w:tab w:val="num" w:pos="720"/>
        </w:tabs>
        <w:ind w:left="720" w:hanging="360"/>
      </w:pPr>
      <w:rPr>
        <w:rFonts w:ascii="Symbol" w:hAnsi="Symbol" w:hint="default"/>
        <w:color w:val="632423"/>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192462"/>
    <w:multiLevelType w:val="hybridMultilevel"/>
    <w:tmpl w:val="D3226186"/>
    <w:lvl w:ilvl="0" w:tplc="AF5E249C">
      <w:start w:val="1"/>
      <w:numFmt w:val="bullet"/>
      <w:lvlText w:val=""/>
      <w:lvlJc w:val="left"/>
      <w:pPr>
        <w:ind w:left="720" w:hanging="360"/>
      </w:pPr>
      <w:rPr>
        <w:rFonts w:ascii="Symbol" w:hAnsi="Symbol" w:hint="default"/>
        <w:color w:val="632423"/>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B33A03"/>
    <w:multiLevelType w:val="hybridMultilevel"/>
    <w:tmpl w:val="AF583F1E"/>
    <w:lvl w:ilvl="0" w:tplc="AF5E249C">
      <w:start w:val="1"/>
      <w:numFmt w:val="bullet"/>
      <w:lvlText w:val=""/>
      <w:lvlJc w:val="left"/>
      <w:pPr>
        <w:ind w:left="720" w:hanging="360"/>
      </w:pPr>
      <w:rPr>
        <w:rFonts w:ascii="Symbol" w:hAnsi="Symbol" w:hint="default"/>
        <w:color w:val="632423"/>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3C767A"/>
    <w:multiLevelType w:val="hybridMultilevel"/>
    <w:tmpl w:val="F83CA74E"/>
    <w:lvl w:ilvl="0" w:tplc="BA8E6F54">
      <w:start w:val="8"/>
      <w:numFmt w:val="upperLetter"/>
      <w:lvlText w:val="%1."/>
      <w:lvlJc w:val="left"/>
      <w:pPr>
        <w:tabs>
          <w:tab w:val="num" w:pos="720"/>
        </w:tabs>
        <w:ind w:left="720" w:hanging="360"/>
      </w:pPr>
      <w:rPr>
        <w:rFonts w:hint="default"/>
      </w:rPr>
    </w:lvl>
    <w:lvl w:ilvl="1" w:tplc="252A03FA">
      <w:start w:val="8"/>
      <w:numFmt w:val="none"/>
      <w:lvlText w:val="P-1."/>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E1560F"/>
    <w:multiLevelType w:val="hybridMultilevel"/>
    <w:tmpl w:val="6700E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0008E3"/>
    <w:multiLevelType w:val="hybridMultilevel"/>
    <w:tmpl w:val="788034A6"/>
    <w:lvl w:ilvl="0" w:tplc="FE4410AA">
      <w:start w:val="1"/>
      <w:numFmt w:val="bullet"/>
      <w:lvlText w:val=""/>
      <w:lvlJc w:val="left"/>
      <w:pPr>
        <w:ind w:left="720" w:hanging="360"/>
      </w:pPr>
      <w:rPr>
        <w:rFonts w:ascii="Symbol" w:hAnsi="Symbol" w:hint="default"/>
        <w:color w:val="632423"/>
      </w:rPr>
    </w:lvl>
    <w:lvl w:ilvl="1" w:tplc="C0CCC232">
      <w:start w:val="1"/>
      <w:numFmt w:val="bullet"/>
      <w:lvlText w:val="o"/>
      <w:lvlJc w:val="left"/>
      <w:pPr>
        <w:ind w:left="1440" w:hanging="360"/>
      </w:pPr>
      <w:rPr>
        <w:rFonts w:ascii="Courier New" w:hAnsi="Courier New" w:hint="default"/>
        <w:color w:val="632423"/>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1067DD"/>
    <w:multiLevelType w:val="hybridMultilevel"/>
    <w:tmpl w:val="97ECA36E"/>
    <w:lvl w:ilvl="0" w:tplc="E098DF5E">
      <w:start w:val="14"/>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1">
    <w:nsid w:val="489A0BDA"/>
    <w:multiLevelType w:val="hybridMultilevel"/>
    <w:tmpl w:val="E2F0C504"/>
    <w:lvl w:ilvl="0" w:tplc="B4D6E742">
      <w:start w:val="1"/>
      <w:numFmt w:val="bullet"/>
      <w:lvlText w:val=""/>
      <w:lvlJc w:val="left"/>
      <w:pPr>
        <w:ind w:left="720" w:hanging="360"/>
      </w:pPr>
      <w:rPr>
        <w:rFonts w:ascii="Symbol" w:hAnsi="Symbol"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AF0DD3"/>
    <w:multiLevelType w:val="hybridMultilevel"/>
    <w:tmpl w:val="0F2C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2440FD"/>
    <w:multiLevelType w:val="hybridMultilevel"/>
    <w:tmpl w:val="DB3C2334"/>
    <w:lvl w:ilvl="0" w:tplc="08BA0F4A">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nsid w:val="52845743"/>
    <w:multiLevelType w:val="hybridMultilevel"/>
    <w:tmpl w:val="EE3034A4"/>
    <w:lvl w:ilvl="0" w:tplc="DFE04150">
      <w:start w:val="1"/>
      <w:numFmt w:val="bullet"/>
      <w:lvlText w:val=""/>
      <w:lvlJc w:val="left"/>
      <w:pPr>
        <w:ind w:left="720" w:hanging="360"/>
      </w:pPr>
      <w:rPr>
        <w:rFonts w:ascii="Symbol" w:hAnsi="Symbol" w:hint="default"/>
        <w:color w:val="632423"/>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703C25"/>
    <w:multiLevelType w:val="hybridMultilevel"/>
    <w:tmpl w:val="5C0E2174"/>
    <w:lvl w:ilvl="0" w:tplc="BEDA2980">
      <w:start w:val="1"/>
      <w:numFmt w:val="bullet"/>
      <w:lvlText w:val=""/>
      <w:lvlJc w:val="left"/>
      <w:pPr>
        <w:tabs>
          <w:tab w:val="num" w:pos="720"/>
        </w:tabs>
        <w:ind w:left="720" w:hanging="360"/>
      </w:pPr>
      <w:rPr>
        <w:rFonts w:ascii="Symbol" w:hAnsi="Symbol" w:hint="default"/>
        <w:color w:val="632423" w:themeColor="accent2" w:themeShade="80"/>
        <w:sz w:val="22"/>
        <w:szCs w:val="22"/>
      </w:rPr>
    </w:lvl>
    <w:lvl w:ilvl="1" w:tplc="7040DEC2">
      <w:start w:val="1"/>
      <w:numFmt w:val="bullet"/>
      <w:lvlText w:val=""/>
      <w:lvlJc w:val="left"/>
      <w:pPr>
        <w:tabs>
          <w:tab w:val="num" w:pos="1440"/>
        </w:tabs>
        <w:ind w:left="1440" w:hanging="360"/>
      </w:pPr>
      <w:rPr>
        <w:rFonts w:ascii="Symbol" w:hAnsi="Symbol" w:hint="default"/>
        <w:color w:val="632423"/>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EE241F"/>
    <w:multiLevelType w:val="hybridMultilevel"/>
    <w:tmpl w:val="FDEA9B78"/>
    <w:lvl w:ilvl="0" w:tplc="53DA278E">
      <w:start w:val="1"/>
      <w:numFmt w:val="bullet"/>
      <w:lvlText w:val=""/>
      <w:lvlJc w:val="left"/>
      <w:pPr>
        <w:tabs>
          <w:tab w:val="num" w:pos="360"/>
        </w:tabs>
        <w:ind w:left="360" w:hanging="360"/>
      </w:pPr>
      <w:rPr>
        <w:rFonts w:ascii="Symbol" w:hAnsi="Symbol" w:hint="default"/>
        <w:color w:val="006666"/>
      </w:rPr>
    </w:lvl>
    <w:lvl w:ilvl="1" w:tplc="EF424346">
      <w:start w:val="1"/>
      <w:numFmt w:val="bullet"/>
      <w:lvlText w:val=""/>
      <w:lvlJc w:val="left"/>
      <w:pPr>
        <w:tabs>
          <w:tab w:val="num" w:pos="720"/>
        </w:tabs>
        <w:ind w:left="720" w:hanging="360"/>
      </w:pPr>
      <w:rPr>
        <w:rFonts w:ascii="Symbol" w:hAnsi="Symbol" w:hint="default"/>
        <w:color w:val="632423" w:themeColor="accent2" w:themeShade="80"/>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716D2FDA"/>
    <w:multiLevelType w:val="hybridMultilevel"/>
    <w:tmpl w:val="607CF4BA"/>
    <w:lvl w:ilvl="0" w:tplc="06A68760">
      <w:start w:val="1"/>
      <w:numFmt w:val="bullet"/>
      <w:lvlText w:val=""/>
      <w:lvlJc w:val="left"/>
      <w:pPr>
        <w:ind w:left="720" w:hanging="360"/>
      </w:pPr>
      <w:rPr>
        <w:rFonts w:ascii="Symbol" w:hAnsi="Symbol" w:hint="default"/>
        <w:color w:val="63242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0D22BA"/>
    <w:multiLevelType w:val="hybridMultilevel"/>
    <w:tmpl w:val="647EA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54402FD"/>
    <w:multiLevelType w:val="hybridMultilevel"/>
    <w:tmpl w:val="24DA3210"/>
    <w:lvl w:ilvl="0" w:tplc="C4B86572">
      <w:numFmt w:val="bullet"/>
      <w:lvlText w:val="-"/>
      <w:lvlJc w:val="left"/>
      <w:pPr>
        <w:ind w:left="720" w:hanging="360"/>
      </w:pPr>
      <w:rPr>
        <w:rFonts w:ascii="Calibri" w:eastAsia="Times New Roman" w:hAnsi="Calibri" w:cs="Times New Roman" w:hint="default"/>
        <w:color w:val="171E24"/>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8A05A6"/>
    <w:multiLevelType w:val="hybridMultilevel"/>
    <w:tmpl w:val="34004096"/>
    <w:lvl w:ilvl="0" w:tplc="F9D61C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9D61C30">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8B66E7"/>
    <w:multiLevelType w:val="hybridMultilevel"/>
    <w:tmpl w:val="F1F8694A"/>
    <w:lvl w:ilvl="0" w:tplc="06A68760">
      <w:start w:val="1"/>
      <w:numFmt w:val="bullet"/>
      <w:lvlText w:val=""/>
      <w:lvlJc w:val="left"/>
      <w:pPr>
        <w:ind w:left="720" w:hanging="360"/>
      </w:pPr>
      <w:rPr>
        <w:rFonts w:ascii="Symbol" w:hAnsi="Symbol" w:hint="default"/>
        <w:color w:val="632423"/>
        <w:sz w:val="24"/>
      </w:rPr>
    </w:lvl>
    <w:lvl w:ilvl="1" w:tplc="D6C8312C">
      <w:start w:val="1"/>
      <w:numFmt w:val="bullet"/>
      <w:lvlText w:val="o"/>
      <w:lvlJc w:val="left"/>
      <w:pPr>
        <w:ind w:left="1440" w:hanging="360"/>
      </w:pPr>
      <w:rPr>
        <w:rFonts w:ascii="Courier New" w:hAnsi="Courier New" w:hint="default"/>
        <w:color w:val="632423"/>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D417E3"/>
    <w:multiLevelType w:val="hybridMultilevel"/>
    <w:tmpl w:val="1386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1F7210"/>
    <w:multiLevelType w:val="hybridMultilevel"/>
    <w:tmpl w:val="476A1BBC"/>
    <w:lvl w:ilvl="0" w:tplc="0409000F">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8"/>
  </w:num>
  <w:num w:numId="2">
    <w:abstractNumId w:val="15"/>
  </w:num>
  <w:num w:numId="3">
    <w:abstractNumId w:val="7"/>
  </w:num>
  <w:num w:numId="4">
    <w:abstractNumId w:val="0"/>
  </w:num>
  <w:num w:numId="5">
    <w:abstractNumId w:val="10"/>
  </w:num>
  <w:num w:numId="6">
    <w:abstractNumId w:val="16"/>
  </w:num>
  <w:num w:numId="7">
    <w:abstractNumId w:val="23"/>
  </w:num>
  <w:num w:numId="8">
    <w:abstractNumId w:val="5"/>
  </w:num>
  <w:num w:numId="9">
    <w:abstractNumId w:val="14"/>
  </w:num>
  <w:num w:numId="10">
    <w:abstractNumId w:val="9"/>
  </w:num>
  <w:num w:numId="11">
    <w:abstractNumId w:val="21"/>
  </w:num>
  <w:num w:numId="12">
    <w:abstractNumId w:val="11"/>
  </w:num>
  <w:num w:numId="13">
    <w:abstractNumId w:val="19"/>
  </w:num>
  <w:num w:numId="14">
    <w:abstractNumId w:val="2"/>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2"/>
  </w:num>
  <w:num w:numId="18">
    <w:abstractNumId w:val="3"/>
  </w:num>
  <w:num w:numId="19">
    <w:abstractNumId w:val="13"/>
  </w:num>
  <w:num w:numId="20">
    <w:abstractNumId w:val="4"/>
  </w:num>
  <w:num w:numId="21">
    <w:abstractNumId w:val="17"/>
  </w:num>
  <w:num w:numId="22">
    <w:abstractNumId w:val="1"/>
  </w:num>
  <w:num w:numId="23">
    <w:abstractNumId w:val="6"/>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8"/>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20137"/>
    <w:rsid w:val="000066B9"/>
    <w:rsid w:val="00007147"/>
    <w:rsid w:val="00010A62"/>
    <w:rsid w:val="00011139"/>
    <w:rsid w:val="0001122F"/>
    <w:rsid w:val="0001517F"/>
    <w:rsid w:val="00034023"/>
    <w:rsid w:val="000348D9"/>
    <w:rsid w:val="00035B42"/>
    <w:rsid w:val="0004485C"/>
    <w:rsid w:val="00044D41"/>
    <w:rsid w:val="00045131"/>
    <w:rsid w:val="00050D72"/>
    <w:rsid w:val="00051B2B"/>
    <w:rsid w:val="000520BA"/>
    <w:rsid w:val="0005670A"/>
    <w:rsid w:val="00056D3C"/>
    <w:rsid w:val="00060EF4"/>
    <w:rsid w:val="00061432"/>
    <w:rsid w:val="00061A7E"/>
    <w:rsid w:val="00062316"/>
    <w:rsid w:val="0006396E"/>
    <w:rsid w:val="000656AD"/>
    <w:rsid w:val="000656ED"/>
    <w:rsid w:val="000665E9"/>
    <w:rsid w:val="000679FC"/>
    <w:rsid w:val="00080C0D"/>
    <w:rsid w:val="0008140C"/>
    <w:rsid w:val="00084644"/>
    <w:rsid w:val="00095A01"/>
    <w:rsid w:val="000978CF"/>
    <w:rsid w:val="000A52F3"/>
    <w:rsid w:val="000A5E7E"/>
    <w:rsid w:val="000B2A59"/>
    <w:rsid w:val="000B51F2"/>
    <w:rsid w:val="000B63BF"/>
    <w:rsid w:val="000B7DB0"/>
    <w:rsid w:val="000C5CAE"/>
    <w:rsid w:val="000C605B"/>
    <w:rsid w:val="000D0276"/>
    <w:rsid w:val="000D75C5"/>
    <w:rsid w:val="000E12EE"/>
    <w:rsid w:val="000E41A7"/>
    <w:rsid w:val="000E5CCB"/>
    <w:rsid w:val="000F0FF1"/>
    <w:rsid w:val="000F367C"/>
    <w:rsid w:val="000F3A66"/>
    <w:rsid w:val="000F5912"/>
    <w:rsid w:val="00100CA0"/>
    <w:rsid w:val="00100F43"/>
    <w:rsid w:val="00101998"/>
    <w:rsid w:val="00103790"/>
    <w:rsid w:val="00103E8A"/>
    <w:rsid w:val="00107DC8"/>
    <w:rsid w:val="0011099A"/>
    <w:rsid w:val="00111A8C"/>
    <w:rsid w:val="00116999"/>
    <w:rsid w:val="001202B5"/>
    <w:rsid w:val="00125115"/>
    <w:rsid w:val="00126DCA"/>
    <w:rsid w:val="0013672C"/>
    <w:rsid w:val="00144921"/>
    <w:rsid w:val="001449BE"/>
    <w:rsid w:val="001456FF"/>
    <w:rsid w:val="00147783"/>
    <w:rsid w:val="00155DBC"/>
    <w:rsid w:val="001566AA"/>
    <w:rsid w:val="00157DE7"/>
    <w:rsid w:val="001631C5"/>
    <w:rsid w:val="0016420E"/>
    <w:rsid w:val="00175578"/>
    <w:rsid w:val="00180D6C"/>
    <w:rsid w:val="00181F0C"/>
    <w:rsid w:val="001857C0"/>
    <w:rsid w:val="00191268"/>
    <w:rsid w:val="00196141"/>
    <w:rsid w:val="00197980"/>
    <w:rsid w:val="001A39AA"/>
    <w:rsid w:val="001A63A1"/>
    <w:rsid w:val="001B2556"/>
    <w:rsid w:val="001C2401"/>
    <w:rsid w:val="001C27C8"/>
    <w:rsid w:val="001D16B0"/>
    <w:rsid w:val="001D1C60"/>
    <w:rsid w:val="001D5364"/>
    <w:rsid w:val="001D6C38"/>
    <w:rsid w:val="001D720D"/>
    <w:rsid w:val="001E0254"/>
    <w:rsid w:val="001E58B6"/>
    <w:rsid w:val="001F245C"/>
    <w:rsid w:val="001F2B31"/>
    <w:rsid w:val="001F74A6"/>
    <w:rsid w:val="00203148"/>
    <w:rsid w:val="002038EE"/>
    <w:rsid w:val="00206202"/>
    <w:rsid w:val="0020744F"/>
    <w:rsid w:val="00207AD6"/>
    <w:rsid w:val="00211BEA"/>
    <w:rsid w:val="00214019"/>
    <w:rsid w:val="00214E88"/>
    <w:rsid w:val="002150F2"/>
    <w:rsid w:val="00217B51"/>
    <w:rsid w:val="00220A7C"/>
    <w:rsid w:val="00225993"/>
    <w:rsid w:val="00225FC9"/>
    <w:rsid w:val="0023239C"/>
    <w:rsid w:val="00232ED9"/>
    <w:rsid w:val="00235F7A"/>
    <w:rsid w:val="00237A77"/>
    <w:rsid w:val="002411B3"/>
    <w:rsid w:val="002416AD"/>
    <w:rsid w:val="00244211"/>
    <w:rsid w:val="0025064F"/>
    <w:rsid w:val="00251F4A"/>
    <w:rsid w:val="002535F2"/>
    <w:rsid w:val="0025598A"/>
    <w:rsid w:val="00261C17"/>
    <w:rsid w:val="00271862"/>
    <w:rsid w:val="00271C91"/>
    <w:rsid w:val="002811CC"/>
    <w:rsid w:val="0028260B"/>
    <w:rsid w:val="00290F3D"/>
    <w:rsid w:val="002A05CB"/>
    <w:rsid w:val="002A64EC"/>
    <w:rsid w:val="002B0D9D"/>
    <w:rsid w:val="002B205A"/>
    <w:rsid w:val="002B2A02"/>
    <w:rsid w:val="002B2CAB"/>
    <w:rsid w:val="002B334D"/>
    <w:rsid w:val="002B6F3B"/>
    <w:rsid w:val="002C1ED8"/>
    <w:rsid w:val="002C5AAA"/>
    <w:rsid w:val="002C673B"/>
    <w:rsid w:val="002D3FF8"/>
    <w:rsid w:val="002D5EF9"/>
    <w:rsid w:val="002E2288"/>
    <w:rsid w:val="002E2353"/>
    <w:rsid w:val="002E57E3"/>
    <w:rsid w:val="002E6107"/>
    <w:rsid w:val="002E621D"/>
    <w:rsid w:val="002F076B"/>
    <w:rsid w:val="002F12D0"/>
    <w:rsid w:val="002F2434"/>
    <w:rsid w:val="002F2B85"/>
    <w:rsid w:val="002F2C04"/>
    <w:rsid w:val="002F66C3"/>
    <w:rsid w:val="002F7DAA"/>
    <w:rsid w:val="0030171E"/>
    <w:rsid w:val="00306A8B"/>
    <w:rsid w:val="00310646"/>
    <w:rsid w:val="00311896"/>
    <w:rsid w:val="003141A1"/>
    <w:rsid w:val="0032254E"/>
    <w:rsid w:val="0032523C"/>
    <w:rsid w:val="00334820"/>
    <w:rsid w:val="00336203"/>
    <w:rsid w:val="0034012E"/>
    <w:rsid w:val="0034335E"/>
    <w:rsid w:val="00345853"/>
    <w:rsid w:val="00345CEC"/>
    <w:rsid w:val="00346C0D"/>
    <w:rsid w:val="003511A7"/>
    <w:rsid w:val="00353689"/>
    <w:rsid w:val="00354A31"/>
    <w:rsid w:val="00355F53"/>
    <w:rsid w:val="00356B2F"/>
    <w:rsid w:val="00357DC6"/>
    <w:rsid w:val="003608D6"/>
    <w:rsid w:val="00360A2C"/>
    <w:rsid w:val="003633F0"/>
    <w:rsid w:val="00363881"/>
    <w:rsid w:val="00364C97"/>
    <w:rsid w:val="003666E9"/>
    <w:rsid w:val="003718CF"/>
    <w:rsid w:val="00377664"/>
    <w:rsid w:val="003802BC"/>
    <w:rsid w:val="003809FA"/>
    <w:rsid w:val="003829A8"/>
    <w:rsid w:val="003839F9"/>
    <w:rsid w:val="00384C75"/>
    <w:rsid w:val="00385B33"/>
    <w:rsid w:val="003A201B"/>
    <w:rsid w:val="003A6334"/>
    <w:rsid w:val="003A651E"/>
    <w:rsid w:val="003B11D9"/>
    <w:rsid w:val="003B1CB7"/>
    <w:rsid w:val="003B6731"/>
    <w:rsid w:val="003C17AE"/>
    <w:rsid w:val="003C284D"/>
    <w:rsid w:val="003C473F"/>
    <w:rsid w:val="003C52FC"/>
    <w:rsid w:val="003C6BBC"/>
    <w:rsid w:val="003E2892"/>
    <w:rsid w:val="003E53B8"/>
    <w:rsid w:val="003E6595"/>
    <w:rsid w:val="003F5790"/>
    <w:rsid w:val="00407B22"/>
    <w:rsid w:val="0041429A"/>
    <w:rsid w:val="00416450"/>
    <w:rsid w:val="00416ED9"/>
    <w:rsid w:val="004173EA"/>
    <w:rsid w:val="00425C5A"/>
    <w:rsid w:val="0043120C"/>
    <w:rsid w:val="00432E48"/>
    <w:rsid w:val="00434274"/>
    <w:rsid w:val="004346F1"/>
    <w:rsid w:val="00437992"/>
    <w:rsid w:val="00443BAF"/>
    <w:rsid w:val="00443D04"/>
    <w:rsid w:val="00446A0B"/>
    <w:rsid w:val="00447681"/>
    <w:rsid w:val="00453195"/>
    <w:rsid w:val="00454165"/>
    <w:rsid w:val="00454E6D"/>
    <w:rsid w:val="00454F2E"/>
    <w:rsid w:val="004561BC"/>
    <w:rsid w:val="00460F02"/>
    <w:rsid w:val="00462A72"/>
    <w:rsid w:val="004658CC"/>
    <w:rsid w:val="00466057"/>
    <w:rsid w:val="00471117"/>
    <w:rsid w:val="0048151E"/>
    <w:rsid w:val="004946BB"/>
    <w:rsid w:val="004948F8"/>
    <w:rsid w:val="00494A11"/>
    <w:rsid w:val="00495A7D"/>
    <w:rsid w:val="00496596"/>
    <w:rsid w:val="00496CDA"/>
    <w:rsid w:val="004A098C"/>
    <w:rsid w:val="004A22A9"/>
    <w:rsid w:val="004A2684"/>
    <w:rsid w:val="004A2B0A"/>
    <w:rsid w:val="004A6F79"/>
    <w:rsid w:val="004C1A37"/>
    <w:rsid w:val="004C28A6"/>
    <w:rsid w:val="004D03F6"/>
    <w:rsid w:val="004D214C"/>
    <w:rsid w:val="004D695F"/>
    <w:rsid w:val="004E131A"/>
    <w:rsid w:val="004E474C"/>
    <w:rsid w:val="004F26B2"/>
    <w:rsid w:val="0050017C"/>
    <w:rsid w:val="0050544E"/>
    <w:rsid w:val="00506835"/>
    <w:rsid w:val="00506BD6"/>
    <w:rsid w:val="005077AE"/>
    <w:rsid w:val="00511AAA"/>
    <w:rsid w:val="00514169"/>
    <w:rsid w:val="00515FED"/>
    <w:rsid w:val="00517326"/>
    <w:rsid w:val="00520137"/>
    <w:rsid w:val="00525500"/>
    <w:rsid w:val="00525738"/>
    <w:rsid w:val="005265A3"/>
    <w:rsid w:val="00530040"/>
    <w:rsid w:val="005311CB"/>
    <w:rsid w:val="0053234A"/>
    <w:rsid w:val="005346C2"/>
    <w:rsid w:val="00541BA1"/>
    <w:rsid w:val="00543B9D"/>
    <w:rsid w:val="0054541E"/>
    <w:rsid w:val="005463FF"/>
    <w:rsid w:val="00550E88"/>
    <w:rsid w:val="0055204D"/>
    <w:rsid w:val="00552E6E"/>
    <w:rsid w:val="0055510F"/>
    <w:rsid w:val="00555E00"/>
    <w:rsid w:val="00556273"/>
    <w:rsid w:val="00560A70"/>
    <w:rsid w:val="00561146"/>
    <w:rsid w:val="00561852"/>
    <w:rsid w:val="00562532"/>
    <w:rsid w:val="005666E8"/>
    <w:rsid w:val="00566C3D"/>
    <w:rsid w:val="005712FC"/>
    <w:rsid w:val="00572ECB"/>
    <w:rsid w:val="00581F95"/>
    <w:rsid w:val="00584E52"/>
    <w:rsid w:val="005871F5"/>
    <w:rsid w:val="00592F6F"/>
    <w:rsid w:val="005933AD"/>
    <w:rsid w:val="005A3352"/>
    <w:rsid w:val="005A3C10"/>
    <w:rsid w:val="005A7D3D"/>
    <w:rsid w:val="005B1AEA"/>
    <w:rsid w:val="005B2F90"/>
    <w:rsid w:val="005B5E83"/>
    <w:rsid w:val="005C0EED"/>
    <w:rsid w:val="005C12D5"/>
    <w:rsid w:val="005C718E"/>
    <w:rsid w:val="005C7E7C"/>
    <w:rsid w:val="005D15AA"/>
    <w:rsid w:val="005D720D"/>
    <w:rsid w:val="005E1480"/>
    <w:rsid w:val="005E3571"/>
    <w:rsid w:val="005F2BFF"/>
    <w:rsid w:val="005F4013"/>
    <w:rsid w:val="005F4474"/>
    <w:rsid w:val="005F7E6D"/>
    <w:rsid w:val="00602976"/>
    <w:rsid w:val="006036FE"/>
    <w:rsid w:val="006040B5"/>
    <w:rsid w:val="00615883"/>
    <w:rsid w:val="006178C5"/>
    <w:rsid w:val="00622BBA"/>
    <w:rsid w:val="0062312F"/>
    <w:rsid w:val="006233BF"/>
    <w:rsid w:val="006247DF"/>
    <w:rsid w:val="00624A1A"/>
    <w:rsid w:val="0062644F"/>
    <w:rsid w:val="00627220"/>
    <w:rsid w:val="00627B9E"/>
    <w:rsid w:val="0063101D"/>
    <w:rsid w:val="00632431"/>
    <w:rsid w:val="006349D6"/>
    <w:rsid w:val="0063527D"/>
    <w:rsid w:val="00637A57"/>
    <w:rsid w:val="00641E91"/>
    <w:rsid w:val="00643E1F"/>
    <w:rsid w:val="006507D4"/>
    <w:rsid w:val="0065733C"/>
    <w:rsid w:val="0066139B"/>
    <w:rsid w:val="00661D2E"/>
    <w:rsid w:val="006653F8"/>
    <w:rsid w:val="00670EFE"/>
    <w:rsid w:val="00672CF3"/>
    <w:rsid w:val="00673A25"/>
    <w:rsid w:val="00673BBB"/>
    <w:rsid w:val="00674CC2"/>
    <w:rsid w:val="0068052C"/>
    <w:rsid w:val="006855EA"/>
    <w:rsid w:val="006A33C5"/>
    <w:rsid w:val="006A3903"/>
    <w:rsid w:val="006A52D0"/>
    <w:rsid w:val="006A5D23"/>
    <w:rsid w:val="006A6033"/>
    <w:rsid w:val="006A73E3"/>
    <w:rsid w:val="006B5882"/>
    <w:rsid w:val="006B70CB"/>
    <w:rsid w:val="006C2625"/>
    <w:rsid w:val="006C4593"/>
    <w:rsid w:val="006C4DEE"/>
    <w:rsid w:val="006C6D74"/>
    <w:rsid w:val="006D1A53"/>
    <w:rsid w:val="006D393A"/>
    <w:rsid w:val="006D5924"/>
    <w:rsid w:val="006D7CC7"/>
    <w:rsid w:val="006E5D9D"/>
    <w:rsid w:val="006F203A"/>
    <w:rsid w:val="00702902"/>
    <w:rsid w:val="0070631D"/>
    <w:rsid w:val="007069DF"/>
    <w:rsid w:val="007132AA"/>
    <w:rsid w:val="0071750E"/>
    <w:rsid w:val="00723F86"/>
    <w:rsid w:val="007259B5"/>
    <w:rsid w:val="0072636C"/>
    <w:rsid w:val="007266DB"/>
    <w:rsid w:val="00730205"/>
    <w:rsid w:val="0073403E"/>
    <w:rsid w:val="007401B5"/>
    <w:rsid w:val="00740646"/>
    <w:rsid w:val="007408EB"/>
    <w:rsid w:val="0074096E"/>
    <w:rsid w:val="0074404F"/>
    <w:rsid w:val="00746D5D"/>
    <w:rsid w:val="0074713B"/>
    <w:rsid w:val="00747D00"/>
    <w:rsid w:val="007577B6"/>
    <w:rsid w:val="00757C2A"/>
    <w:rsid w:val="00760034"/>
    <w:rsid w:val="007633BD"/>
    <w:rsid w:val="0076611F"/>
    <w:rsid w:val="0077244C"/>
    <w:rsid w:val="00775F51"/>
    <w:rsid w:val="0078111E"/>
    <w:rsid w:val="00781CC2"/>
    <w:rsid w:val="007823BD"/>
    <w:rsid w:val="00782E50"/>
    <w:rsid w:val="00784481"/>
    <w:rsid w:val="00786BBD"/>
    <w:rsid w:val="007946DA"/>
    <w:rsid w:val="007954A8"/>
    <w:rsid w:val="007958D6"/>
    <w:rsid w:val="007A05E6"/>
    <w:rsid w:val="007A2237"/>
    <w:rsid w:val="007A4C70"/>
    <w:rsid w:val="007A6436"/>
    <w:rsid w:val="007B5055"/>
    <w:rsid w:val="007B58A0"/>
    <w:rsid w:val="007C1E16"/>
    <w:rsid w:val="007C31CA"/>
    <w:rsid w:val="007C417E"/>
    <w:rsid w:val="007C5321"/>
    <w:rsid w:val="007C5F70"/>
    <w:rsid w:val="007D03BC"/>
    <w:rsid w:val="007D59E3"/>
    <w:rsid w:val="007E5606"/>
    <w:rsid w:val="007E5C9F"/>
    <w:rsid w:val="007E60B6"/>
    <w:rsid w:val="007F1B4D"/>
    <w:rsid w:val="007F4FB8"/>
    <w:rsid w:val="007F5314"/>
    <w:rsid w:val="007F67DD"/>
    <w:rsid w:val="007F7B56"/>
    <w:rsid w:val="00802340"/>
    <w:rsid w:val="008058CC"/>
    <w:rsid w:val="00810732"/>
    <w:rsid w:val="008111FC"/>
    <w:rsid w:val="00813BE9"/>
    <w:rsid w:val="0081674F"/>
    <w:rsid w:val="008211E8"/>
    <w:rsid w:val="0082126E"/>
    <w:rsid w:val="00825092"/>
    <w:rsid w:val="008266BA"/>
    <w:rsid w:val="00827A2C"/>
    <w:rsid w:val="0083084A"/>
    <w:rsid w:val="00833E2D"/>
    <w:rsid w:val="008376CF"/>
    <w:rsid w:val="008412FA"/>
    <w:rsid w:val="008415CA"/>
    <w:rsid w:val="008451F6"/>
    <w:rsid w:val="00850697"/>
    <w:rsid w:val="00850D36"/>
    <w:rsid w:val="008513BC"/>
    <w:rsid w:val="00854C9C"/>
    <w:rsid w:val="00857607"/>
    <w:rsid w:val="008662E8"/>
    <w:rsid w:val="00870EB5"/>
    <w:rsid w:val="0087155C"/>
    <w:rsid w:val="0087276A"/>
    <w:rsid w:val="0087415B"/>
    <w:rsid w:val="0087592D"/>
    <w:rsid w:val="00876C8A"/>
    <w:rsid w:val="008823DE"/>
    <w:rsid w:val="00883D19"/>
    <w:rsid w:val="00884B6C"/>
    <w:rsid w:val="008864B1"/>
    <w:rsid w:val="00893500"/>
    <w:rsid w:val="00893675"/>
    <w:rsid w:val="00893EE0"/>
    <w:rsid w:val="00895953"/>
    <w:rsid w:val="008A052B"/>
    <w:rsid w:val="008A0F4C"/>
    <w:rsid w:val="008A1143"/>
    <w:rsid w:val="008A26BB"/>
    <w:rsid w:val="008A2C17"/>
    <w:rsid w:val="008A32FF"/>
    <w:rsid w:val="008A6057"/>
    <w:rsid w:val="008A6FC9"/>
    <w:rsid w:val="008B2121"/>
    <w:rsid w:val="008B2403"/>
    <w:rsid w:val="008C4A78"/>
    <w:rsid w:val="008C6F79"/>
    <w:rsid w:val="008D18D4"/>
    <w:rsid w:val="008D2AAB"/>
    <w:rsid w:val="008D54EA"/>
    <w:rsid w:val="008D5514"/>
    <w:rsid w:val="008E434B"/>
    <w:rsid w:val="008E5080"/>
    <w:rsid w:val="008F1B6D"/>
    <w:rsid w:val="008F1CB6"/>
    <w:rsid w:val="008F1ED2"/>
    <w:rsid w:val="008F2396"/>
    <w:rsid w:val="008F56A0"/>
    <w:rsid w:val="00907F31"/>
    <w:rsid w:val="009123C2"/>
    <w:rsid w:val="00920D6D"/>
    <w:rsid w:val="009234F9"/>
    <w:rsid w:val="009237C7"/>
    <w:rsid w:val="00924341"/>
    <w:rsid w:val="009322A3"/>
    <w:rsid w:val="00933BEA"/>
    <w:rsid w:val="009353FC"/>
    <w:rsid w:val="00936E00"/>
    <w:rsid w:val="0094207B"/>
    <w:rsid w:val="009441C1"/>
    <w:rsid w:val="00945FAE"/>
    <w:rsid w:val="00946D7E"/>
    <w:rsid w:val="0095055B"/>
    <w:rsid w:val="00950C1F"/>
    <w:rsid w:val="0095548D"/>
    <w:rsid w:val="00955B95"/>
    <w:rsid w:val="009561D2"/>
    <w:rsid w:val="009562AB"/>
    <w:rsid w:val="009563A7"/>
    <w:rsid w:val="0095746C"/>
    <w:rsid w:val="0096046B"/>
    <w:rsid w:val="00965450"/>
    <w:rsid w:val="009665FE"/>
    <w:rsid w:val="00970D6D"/>
    <w:rsid w:val="00971CD0"/>
    <w:rsid w:val="00980804"/>
    <w:rsid w:val="00980C9B"/>
    <w:rsid w:val="00982754"/>
    <w:rsid w:val="00985E29"/>
    <w:rsid w:val="00987636"/>
    <w:rsid w:val="00987C76"/>
    <w:rsid w:val="00990600"/>
    <w:rsid w:val="00994E61"/>
    <w:rsid w:val="009951AE"/>
    <w:rsid w:val="00995AB5"/>
    <w:rsid w:val="009966FF"/>
    <w:rsid w:val="00997083"/>
    <w:rsid w:val="009A0CD4"/>
    <w:rsid w:val="009A18A8"/>
    <w:rsid w:val="009A1EFD"/>
    <w:rsid w:val="009A75A8"/>
    <w:rsid w:val="009A78A0"/>
    <w:rsid w:val="009B02EF"/>
    <w:rsid w:val="009B0EC2"/>
    <w:rsid w:val="009B25FD"/>
    <w:rsid w:val="009B4492"/>
    <w:rsid w:val="009C232C"/>
    <w:rsid w:val="009C5844"/>
    <w:rsid w:val="009C6599"/>
    <w:rsid w:val="009C739B"/>
    <w:rsid w:val="009D2627"/>
    <w:rsid w:val="009D2AA7"/>
    <w:rsid w:val="009E1E21"/>
    <w:rsid w:val="009E2632"/>
    <w:rsid w:val="009E38A3"/>
    <w:rsid w:val="009E3F46"/>
    <w:rsid w:val="009E4466"/>
    <w:rsid w:val="009E5D58"/>
    <w:rsid w:val="009E5E17"/>
    <w:rsid w:val="009F3B71"/>
    <w:rsid w:val="009F4B0B"/>
    <w:rsid w:val="009F7F33"/>
    <w:rsid w:val="00A03BB3"/>
    <w:rsid w:val="00A0715A"/>
    <w:rsid w:val="00A12158"/>
    <w:rsid w:val="00A12AA2"/>
    <w:rsid w:val="00A22CC7"/>
    <w:rsid w:val="00A254E7"/>
    <w:rsid w:val="00A354AA"/>
    <w:rsid w:val="00A37135"/>
    <w:rsid w:val="00A427E1"/>
    <w:rsid w:val="00A440E6"/>
    <w:rsid w:val="00A47B8A"/>
    <w:rsid w:val="00A50BE9"/>
    <w:rsid w:val="00A52535"/>
    <w:rsid w:val="00A55286"/>
    <w:rsid w:val="00A55D38"/>
    <w:rsid w:val="00A57C86"/>
    <w:rsid w:val="00A65928"/>
    <w:rsid w:val="00A66CEA"/>
    <w:rsid w:val="00A715BF"/>
    <w:rsid w:val="00A71ACA"/>
    <w:rsid w:val="00A74E13"/>
    <w:rsid w:val="00A76139"/>
    <w:rsid w:val="00A76E35"/>
    <w:rsid w:val="00A77440"/>
    <w:rsid w:val="00A77B42"/>
    <w:rsid w:val="00A802BD"/>
    <w:rsid w:val="00A81EA8"/>
    <w:rsid w:val="00A83713"/>
    <w:rsid w:val="00A8551C"/>
    <w:rsid w:val="00A87589"/>
    <w:rsid w:val="00A912A0"/>
    <w:rsid w:val="00A93673"/>
    <w:rsid w:val="00A96057"/>
    <w:rsid w:val="00A96C1B"/>
    <w:rsid w:val="00A974BD"/>
    <w:rsid w:val="00AA66ED"/>
    <w:rsid w:val="00AA6907"/>
    <w:rsid w:val="00AB4515"/>
    <w:rsid w:val="00AC1F66"/>
    <w:rsid w:val="00AD1197"/>
    <w:rsid w:val="00AD6D04"/>
    <w:rsid w:val="00AE1ABF"/>
    <w:rsid w:val="00AF02AF"/>
    <w:rsid w:val="00AF0371"/>
    <w:rsid w:val="00AF0FD4"/>
    <w:rsid w:val="00AF20A5"/>
    <w:rsid w:val="00AF2668"/>
    <w:rsid w:val="00AF5DD0"/>
    <w:rsid w:val="00AF7569"/>
    <w:rsid w:val="00B00CE1"/>
    <w:rsid w:val="00B06D06"/>
    <w:rsid w:val="00B075E3"/>
    <w:rsid w:val="00B136E2"/>
    <w:rsid w:val="00B15111"/>
    <w:rsid w:val="00B179BC"/>
    <w:rsid w:val="00B23A94"/>
    <w:rsid w:val="00B33378"/>
    <w:rsid w:val="00B33834"/>
    <w:rsid w:val="00B3423D"/>
    <w:rsid w:val="00B349BA"/>
    <w:rsid w:val="00B3631C"/>
    <w:rsid w:val="00B36AD1"/>
    <w:rsid w:val="00B371C6"/>
    <w:rsid w:val="00B4048C"/>
    <w:rsid w:val="00B408CF"/>
    <w:rsid w:val="00B44D8F"/>
    <w:rsid w:val="00B46525"/>
    <w:rsid w:val="00B4760B"/>
    <w:rsid w:val="00B5253E"/>
    <w:rsid w:val="00B54C82"/>
    <w:rsid w:val="00B62E85"/>
    <w:rsid w:val="00B64B18"/>
    <w:rsid w:val="00B71B16"/>
    <w:rsid w:val="00B72951"/>
    <w:rsid w:val="00B750E7"/>
    <w:rsid w:val="00B777C3"/>
    <w:rsid w:val="00B77AEC"/>
    <w:rsid w:val="00B8174E"/>
    <w:rsid w:val="00B85BB1"/>
    <w:rsid w:val="00B87EAF"/>
    <w:rsid w:val="00B91214"/>
    <w:rsid w:val="00B91756"/>
    <w:rsid w:val="00B92BE0"/>
    <w:rsid w:val="00B92E2D"/>
    <w:rsid w:val="00BA0060"/>
    <w:rsid w:val="00BA3C6B"/>
    <w:rsid w:val="00BA3CB5"/>
    <w:rsid w:val="00BA4514"/>
    <w:rsid w:val="00BA629C"/>
    <w:rsid w:val="00BB0835"/>
    <w:rsid w:val="00BB1897"/>
    <w:rsid w:val="00BB1B21"/>
    <w:rsid w:val="00BB214A"/>
    <w:rsid w:val="00BB5707"/>
    <w:rsid w:val="00BB6F2A"/>
    <w:rsid w:val="00BC3185"/>
    <w:rsid w:val="00BD2CE1"/>
    <w:rsid w:val="00BD3353"/>
    <w:rsid w:val="00BD46DD"/>
    <w:rsid w:val="00BD5671"/>
    <w:rsid w:val="00BD7ABB"/>
    <w:rsid w:val="00BE1290"/>
    <w:rsid w:val="00BE287C"/>
    <w:rsid w:val="00BE3FCE"/>
    <w:rsid w:val="00BE53E2"/>
    <w:rsid w:val="00BE6530"/>
    <w:rsid w:val="00BE72CA"/>
    <w:rsid w:val="00BF1C7B"/>
    <w:rsid w:val="00BF309B"/>
    <w:rsid w:val="00BF3C69"/>
    <w:rsid w:val="00BF5E54"/>
    <w:rsid w:val="00C00C6C"/>
    <w:rsid w:val="00C01D30"/>
    <w:rsid w:val="00C04FE9"/>
    <w:rsid w:val="00C06B95"/>
    <w:rsid w:val="00C10359"/>
    <w:rsid w:val="00C10F2D"/>
    <w:rsid w:val="00C12082"/>
    <w:rsid w:val="00C15633"/>
    <w:rsid w:val="00C23FAF"/>
    <w:rsid w:val="00C26E6B"/>
    <w:rsid w:val="00C3094F"/>
    <w:rsid w:val="00C33810"/>
    <w:rsid w:val="00C33FEB"/>
    <w:rsid w:val="00C343CF"/>
    <w:rsid w:val="00C35AFA"/>
    <w:rsid w:val="00C36C84"/>
    <w:rsid w:val="00C40E76"/>
    <w:rsid w:val="00C420C2"/>
    <w:rsid w:val="00C43996"/>
    <w:rsid w:val="00C4469C"/>
    <w:rsid w:val="00C46F5B"/>
    <w:rsid w:val="00C50076"/>
    <w:rsid w:val="00C51730"/>
    <w:rsid w:val="00C5310B"/>
    <w:rsid w:val="00C54B11"/>
    <w:rsid w:val="00C56772"/>
    <w:rsid w:val="00C6354D"/>
    <w:rsid w:val="00C654A5"/>
    <w:rsid w:val="00C70DE6"/>
    <w:rsid w:val="00C71649"/>
    <w:rsid w:val="00C748B5"/>
    <w:rsid w:val="00C76E3F"/>
    <w:rsid w:val="00C83F43"/>
    <w:rsid w:val="00C90902"/>
    <w:rsid w:val="00C945A1"/>
    <w:rsid w:val="00C95225"/>
    <w:rsid w:val="00CA185B"/>
    <w:rsid w:val="00CA1AD0"/>
    <w:rsid w:val="00CA3A64"/>
    <w:rsid w:val="00CA3BBD"/>
    <w:rsid w:val="00CA5788"/>
    <w:rsid w:val="00CB2B5E"/>
    <w:rsid w:val="00CB2F9E"/>
    <w:rsid w:val="00CB542D"/>
    <w:rsid w:val="00CB57A8"/>
    <w:rsid w:val="00CC2C6F"/>
    <w:rsid w:val="00CC7413"/>
    <w:rsid w:val="00CD2736"/>
    <w:rsid w:val="00CD4505"/>
    <w:rsid w:val="00CD60C4"/>
    <w:rsid w:val="00CE5097"/>
    <w:rsid w:val="00CE5F74"/>
    <w:rsid w:val="00CF0780"/>
    <w:rsid w:val="00CF127B"/>
    <w:rsid w:val="00CF2C41"/>
    <w:rsid w:val="00CF5C16"/>
    <w:rsid w:val="00CF5CB0"/>
    <w:rsid w:val="00CF5FF7"/>
    <w:rsid w:val="00D025BC"/>
    <w:rsid w:val="00D02FBA"/>
    <w:rsid w:val="00D0666B"/>
    <w:rsid w:val="00D12933"/>
    <w:rsid w:val="00D16B08"/>
    <w:rsid w:val="00D2158A"/>
    <w:rsid w:val="00D23E1A"/>
    <w:rsid w:val="00D247CB"/>
    <w:rsid w:val="00D26430"/>
    <w:rsid w:val="00D30352"/>
    <w:rsid w:val="00D32DD1"/>
    <w:rsid w:val="00D33464"/>
    <w:rsid w:val="00D3561A"/>
    <w:rsid w:val="00D3601C"/>
    <w:rsid w:val="00D36DBE"/>
    <w:rsid w:val="00D37DE8"/>
    <w:rsid w:val="00D42B28"/>
    <w:rsid w:val="00D5209A"/>
    <w:rsid w:val="00D569FF"/>
    <w:rsid w:val="00D6138B"/>
    <w:rsid w:val="00D6217F"/>
    <w:rsid w:val="00D62817"/>
    <w:rsid w:val="00D62E2C"/>
    <w:rsid w:val="00D64E7F"/>
    <w:rsid w:val="00D73A28"/>
    <w:rsid w:val="00D772FC"/>
    <w:rsid w:val="00D7732D"/>
    <w:rsid w:val="00D82B7D"/>
    <w:rsid w:val="00D9228D"/>
    <w:rsid w:val="00D95928"/>
    <w:rsid w:val="00DA1D90"/>
    <w:rsid w:val="00DA353B"/>
    <w:rsid w:val="00DA37F6"/>
    <w:rsid w:val="00DA462C"/>
    <w:rsid w:val="00DA483C"/>
    <w:rsid w:val="00DA4B17"/>
    <w:rsid w:val="00DA562D"/>
    <w:rsid w:val="00DB32CE"/>
    <w:rsid w:val="00DC1D4D"/>
    <w:rsid w:val="00DD1C4E"/>
    <w:rsid w:val="00DD3B1D"/>
    <w:rsid w:val="00DD49D3"/>
    <w:rsid w:val="00DD5FCE"/>
    <w:rsid w:val="00DE02A0"/>
    <w:rsid w:val="00DF2360"/>
    <w:rsid w:val="00DF3CC7"/>
    <w:rsid w:val="00E00DB3"/>
    <w:rsid w:val="00E028BA"/>
    <w:rsid w:val="00E0512D"/>
    <w:rsid w:val="00E0694C"/>
    <w:rsid w:val="00E12C04"/>
    <w:rsid w:val="00E161C3"/>
    <w:rsid w:val="00E168D5"/>
    <w:rsid w:val="00E1722A"/>
    <w:rsid w:val="00E20980"/>
    <w:rsid w:val="00E2266C"/>
    <w:rsid w:val="00E24F5F"/>
    <w:rsid w:val="00E32565"/>
    <w:rsid w:val="00E37337"/>
    <w:rsid w:val="00E44C60"/>
    <w:rsid w:val="00E46E44"/>
    <w:rsid w:val="00E5787B"/>
    <w:rsid w:val="00E62AE1"/>
    <w:rsid w:val="00E73B58"/>
    <w:rsid w:val="00E7506F"/>
    <w:rsid w:val="00E7656A"/>
    <w:rsid w:val="00E837CA"/>
    <w:rsid w:val="00E864D8"/>
    <w:rsid w:val="00E908EC"/>
    <w:rsid w:val="00E91923"/>
    <w:rsid w:val="00E92390"/>
    <w:rsid w:val="00E940F9"/>
    <w:rsid w:val="00E97436"/>
    <w:rsid w:val="00EA0C8D"/>
    <w:rsid w:val="00EA1AFC"/>
    <w:rsid w:val="00EA2AEB"/>
    <w:rsid w:val="00EA71D3"/>
    <w:rsid w:val="00EB7DF4"/>
    <w:rsid w:val="00EC5BE8"/>
    <w:rsid w:val="00EC6974"/>
    <w:rsid w:val="00ED3BB7"/>
    <w:rsid w:val="00ED46C3"/>
    <w:rsid w:val="00ED7AEB"/>
    <w:rsid w:val="00EE08BC"/>
    <w:rsid w:val="00EE180C"/>
    <w:rsid w:val="00EE69A0"/>
    <w:rsid w:val="00EF0049"/>
    <w:rsid w:val="00EF4F28"/>
    <w:rsid w:val="00EF50F8"/>
    <w:rsid w:val="00F014BE"/>
    <w:rsid w:val="00F0278B"/>
    <w:rsid w:val="00F03039"/>
    <w:rsid w:val="00F05284"/>
    <w:rsid w:val="00F06111"/>
    <w:rsid w:val="00F12A5C"/>
    <w:rsid w:val="00F1415D"/>
    <w:rsid w:val="00F143F8"/>
    <w:rsid w:val="00F15675"/>
    <w:rsid w:val="00F22082"/>
    <w:rsid w:val="00F226EA"/>
    <w:rsid w:val="00F23435"/>
    <w:rsid w:val="00F314AA"/>
    <w:rsid w:val="00F31B02"/>
    <w:rsid w:val="00F34D4D"/>
    <w:rsid w:val="00F44646"/>
    <w:rsid w:val="00F44CB9"/>
    <w:rsid w:val="00F45478"/>
    <w:rsid w:val="00F46180"/>
    <w:rsid w:val="00F53281"/>
    <w:rsid w:val="00F562B8"/>
    <w:rsid w:val="00F56680"/>
    <w:rsid w:val="00F618AD"/>
    <w:rsid w:val="00F71289"/>
    <w:rsid w:val="00F73E55"/>
    <w:rsid w:val="00F75BA5"/>
    <w:rsid w:val="00F770DE"/>
    <w:rsid w:val="00F81715"/>
    <w:rsid w:val="00F821B2"/>
    <w:rsid w:val="00F82F93"/>
    <w:rsid w:val="00F845A3"/>
    <w:rsid w:val="00F85960"/>
    <w:rsid w:val="00F87662"/>
    <w:rsid w:val="00F91E02"/>
    <w:rsid w:val="00F940D5"/>
    <w:rsid w:val="00F9482E"/>
    <w:rsid w:val="00F96951"/>
    <w:rsid w:val="00F96D6F"/>
    <w:rsid w:val="00FA6F11"/>
    <w:rsid w:val="00FB0924"/>
    <w:rsid w:val="00FB1E72"/>
    <w:rsid w:val="00FB5537"/>
    <w:rsid w:val="00FB6C84"/>
    <w:rsid w:val="00FD0B45"/>
    <w:rsid w:val="00FD50B4"/>
    <w:rsid w:val="00FF3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9" type="connector" idref="#_x0000_s1032"/>
        <o:r id="V:Rule10" type="connector" idref="#Straight Arrow Connector 1"/>
        <o:r id="V:Rule11" type="connector" idref="#_x0000_s1027"/>
        <o:r id="V:Rule12" type="connector" idref="#_x0000_s1031"/>
        <o:r id="V:Rule13" type="connector" idref="#_x0000_s1028"/>
        <o:r id="V:Rule14" type="connector" idref="#_x0000_s1030"/>
        <o:r id="V:Rule15" type="connector" idref="#_x0000_s1034"/>
        <o:r id="V:Rule16"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13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20137"/>
    <w:pPr>
      <w:keepNext/>
      <w:jc w:val="center"/>
      <w:outlineLvl w:val="0"/>
    </w:pPr>
    <w:rPr>
      <w:rFonts w:ascii="Courier" w:hAnsi="Courier"/>
      <w:b/>
      <w:szCs w:val="20"/>
    </w:rPr>
  </w:style>
  <w:style w:type="paragraph" w:styleId="Heading7">
    <w:name w:val="heading 7"/>
    <w:basedOn w:val="Normal"/>
    <w:next w:val="Normal"/>
    <w:link w:val="Heading7Char"/>
    <w:qFormat/>
    <w:rsid w:val="00520137"/>
    <w:pPr>
      <w:keepNext/>
      <w:jc w:val="center"/>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137"/>
    <w:rPr>
      <w:rFonts w:ascii="Courier" w:eastAsia="Times New Roman" w:hAnsi="Courier" w:cs="Times New Roman"/>
      <w:b/>
      <w:sz w:val="24"/>
      <w:szCs w:val="20"/>
    </w:rPr>
  </w:style>
  <w:style w:type="character" w:customStyle="1" w:styleId="Heading7Char">
    <w:name w:val="Heading 7 Char"/>
    <w:basedOn w:val="DefaultParagraphFont"/>
    <w:link w:val="Heading7"/>
    <w:rsid w:val="00520137"/>
    <w:rPr>
      <w:rFonts w:ascii="Times New Roman" w:eastAsia="Times New Roman" w:hAnsi="Times New Roman" w:cs="Times New Roman"/>
      <w:sz w:val="24"/>
      <w:szCs w:val="20"/>
    </w:rPr>
  </w:style>
  <w:style w:type="paragraph" w:styleId="Footer">
    <w:name w:val="footer"/>
    <w:basedOn w:val="Normal"/>
    <w:link w:val="FooterChar"/>
    <w:uiPriority w:val="99"/>
    <w:rsid w:val="00520137"/>
    <w:pPr>
      <w:tabs>
        <w:tab w:val="center" w:pos="4320"/>
        <w:tab w:val="right" w:pos="8640"/>
      </w:tabs>
    </w:pPr>
  </w:style>
  <w:style w:type="character" w:customStyle="1" w:styleId="FooterChar">
    <w:name w:val="Footer Char"/>
    <w:basedOn w:val="DefaultParagraphFont"/>
    <w:link w:val="Footer"/>
    <w:uiPriority w:val="99"/>
    <w:rsid w:val="00520137"/>
    <w:rPr>
      <w:rFonts w:ascii="Times New Roman" w:eastAsia="Times New Roman" w:hAnsi="Times New Roman" w:cs="Times New Roman"/>
      <w:sz w:val="24"/>
      <w:szCs w:val="24"/>
    </w:rPr>
  </w:style>
  <w:style w:type="character" w:styleId="PageNumber">
    <w:name w:val="page number"/>
    <w:basedOn w:val="DefaultParagraphFont"/>
    <w:rsid w:val="00520137"/>
  </w:style>
  <w:style w:type="paragraph" w:customStyle="1" w:styleId="xl19">
    <w:name w:val="xl19"/>
    <w:basedOn w:val="Normal"/>
    <w:rsid w:val="00520137"/>
    <w:pPr>
      <w:spacing w:before="100" w:after="100"/>
    </w:pPr>
    <w:rPr>
      <w:rFonts w:eastAsia="Arial Unicode MS"/>
      <w:szCs w:val="20"/>
    </w:rPr>
  </w:style>
  <w:style w:type="paragraph" w:customStyle="1" w:styleId="xl27">
    <w:name w:val="xl27"/>
    <w:basedOn w:val="Normal"/>
    <w:rsid w:val="00520137"/>
    <w:pPr>
      <w:spacing w:before="100" w:after="100"/>
    </w:pPr>
    <w:rPr>
      <w:rFonts w:ascii="Arial" w:eastAsia="Arial Unicode MS" w:hAnsi="Arial"/>
      <w:b/>
      <w:szCs w:val="20"/>
    </w:rPr>
  </w:style>
  <w:style w:type="table" w:styleId="TableGrid">
    <w:name w:val="Table Grid"/>
    <w:basedOn w:val="TableNormal"/>
    <w:rsid w:val="005201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520137"/>
    <w:rPr>
      <w:sz w:val="20"/>
      <w:szCs w:val="20"/>
    </w:rPr>
  </w:style>
  <w:style w:type="character" w:customStyle="1" w:styleId="FootnoteTextChar">
    <w:name w:val="Footnote Text Char"/>
    <w:basedOn w:val="DefaultParagraphFont"/>
    <w:link w:val="FootnoteText"/>
    <w:uiPriority w:val="99"/>
    <w:semiHidden/>
    <w:rsid w:val="0052013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520137"/>
    <w:rPr>
      <w:vertAlign w:val="superscript"/>
    </w:rPr>
  </w:style>
  <w:style w:type="paragraph" w:styleId="BodyText">
    <w:name w:val="Body Text"/>
    <w:aliases w:val="body text,bt,heading3,NCDOT Body Text,1body,BodText,Body Txt,FL IND"/>
    <w:basedOn w:val="Normal"/>
    <w:link w:val="BodyTextChar"/>
    <w:rsid w:val="00520137"/>
    <w:rPr>
      <w:szCs w:val="20"/>
    </w:rPr>
  </w:style>
  <w:style w:type="character" w:customStyle="1" w:styleId="BodyTextChar">
    <w:name w:val="Body Text Char"/>
    <w:aliases w:val="body text Char,bt Char,heading3 Char,NCDOT Body Text Char,1body Char,BodText Char,Body Txt Char,FL IND Char"/>
    <w:basedOn w:val="DefaultParagraphFont"/>
    <w:link w:val="BodyText"/>
    <w:rsid w:val="00520137"/>
    <w:rPr>
      <w:rFonts w:ascii="Times New Roman" w:eastAsia="Times New Roman" w:hAnsi="Times New Roman" w:cs="Times New Roman"/>
      <w:sz w:val="24"/>
      <w:szCs w:val="20"/>
    </w:rPr>
  </w:style>
  <w:style w:type="paragraph" w:styleId="NormalWeb">
    <w:name w:val="Normal (Web)"/>
    <w:basedOn w:val="Normal"/>
    <w:uiPriority w:val="99"/>
    <w:rsid w:val="00520137"/>
    <w:pPr>
      <w:spacing w:before="100" w:beforeAutospacing="1" w:after="100" w:afterAutospacing="1"/>
    </w:pPr>
  </w:style>
  <w:style w:type="paragraph" w:customStyle="1" w:styleId="xl24">
    <w:name w:val="xl24"/>
    <w:basedOn w:val="Normal"/>
    <w:rsid w:val="00520137"/>
    <w:pPr>
      <w:spacing w:before="100" w:after="100"/>
    </w:pPr>
    <w:rPr>
      <w:rFonts w:eastAsia="Arial Unicode MS"/>
      <w:szCs w:val="20"/>
      <w:u w:val="single"/>
    </w:rPr>
  </w:style>
  <w:style w:type="character" w:styleId="Strong">
    <w:name w:val="Strong"/>
    <w:basedOn w:val="DefaultParagraphFont"/>
    <w:uiPriority w:val="22"/>
    <w:qFormat/>
    <w:rsid w:val="00520137"/>
    <w:rPr>
      <w:b/>
      <w:bCs/>
    </w:rPr>
  </w:style>
  <w:style w:type="paragraph" w:customStyle="1" w:styleId="Char1CharCharChar1CharCharCharCharCharCharCharCharCharCharCharCharCharCharChar">
    <w:name w:val="Char1 Char Char Char1 Char Char Char Char Char Char Char Char Char Char Char Char Char Char Char"/>
    <w:basedOn w:val="Normal"/>
    <w:rsid w:val="00520137"/>
    <w:pPr>
      <w:spacing w:after="160" w:line="240" w:lineRule="exact"/>
    </w:pPr>
    <w:rPr>
      <w:rFonts w:ascii="Tahoma" w:hAnsi="Tahoma"/>
      <w:sz w:val="20"/>
      <w:szCs w:val="20"/>
    </w:rPr>
  </w:style>
  <w:style w:type="paragraph" w:styleId="Caption">
    <w:name w:val="caption"/>
    <w:basedOn w:val="Normal"/>
    <w:next w:val="Normal"/>
    <w:qFormat/>
    <w:rsid w:val="00520137"/>
    <w:rPr>
      <w:b/>
      <w:bCs/>
      <w:sz w:val="20"/>
      <w:szCs w:val="20"/>
    </w:rPr>
  </w:style>
  <w:style w:type="paragraph" w:styleId="BalloonText">
    <w:name w:val="Balloon Text"/>
    <w:basedOn w:val="Normal"/>
    <w:link w:val="BalloonTextChar"/>
    <w:semiHidden/>
    <w:rsid w:val="00520137"/>
    <w:rPr>
      <w:rFonts w:ascii="Tahoma" w:hAnsi="Tahoma" w:cs="Tahoma"/>
      <w:sz w:val="16"/>
      <w:szCs w:val="16"/>
    </w:rPr>
  </w:style>
  <w:style w:type="character" w:customStyle="1" w:styleId="BalloonTextChar">
    <w:name w:val="Balloon Text Char"/>
    <w:basedOn w:val="DefaultParagraphFont"/>
    <w:link w:val="BalloonText"/>
    <w:semiHidden/>
    <w:rsid w:val="00520137"/>
    <w:rPr>
      <w:rFonts w:ascii="Tahoma" w:eastAsia="Times New Roman" w:hAnsi="Tahoma" w:cs="Tahoma"/>
      <w:sz w:val="16"/>
      <w:szCs w:val="16"/>
    </w:rPr>
  </w:style>
  <w:style w:type="character" w:styleId="Emphasis">
    <w:name w:val="Emphasis"/>
    <w:basedOn w:val="DefaultParagraphFont"/>
    <w:uiPriority w:val="20"/>
    <w:qFormat/>
    <w:rsid w:val="00520137"/>
    <w:rPr>
      <w:i/>
      <w:iCs/>
    </w:rPr>
  </w:style>
  <w:style w:type="character" w:styleId="Hyperlink">
    <w:name w:val="Hyperlink"/>
    <w:basedOn w:val="DefaultParagraphFont"/>
    <w:rsid w:val="00520137"/>
    <w:rPr>
      <w:color w:val="0000FF"/>
      <w:u w:val="single"/>
    </w:rPr>
  </w:style>
  <w:style w:type="paragraph" w:styleId="PlainText">
    <w:name w:val="Plain Text"/>
    <w:basedOn w:val="Normal"/>
    <w:link w:val="PlainTextChar"/>
    <w:rsid w:val="00520137"/>
    <w:rPr>
      <w:rFonts w:ascii="Courier New" w:hAnsi="Courier New" w:cs="Courier New"/>
      <w:sz w:val="20"/>
      <w:szCs w:val="20"/>
    </w:rPr>
  </w:style>
  <w:style w:type="character" w:customStyle="1" w:styleId="PlainTextChar">
    <w:name w:val="Plain Text Char"/>
    <w:basedOn w:val="DefaultParagraphFont"/>
    <w:link w:val="PlainText"/>
    <w:rsid w:val="00520137"/>
    <w:rPr>
      <w:rFonts w:ascii="Courier New" w:eastAsia="Times New Roman" w:hAnsi="Courier New" w:cs="Courier New"/>
      <w:sz w:val="20"/>
      <w:szCs w:val="20"/>
    </w:rPr>
  </w:style>
  <w:style w:type="paragraph" w:customStyle="1" w:styleId="Level1">
    <w:name w:val="Level 1"/>
    <w:rsid w:val="00520137"/>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SYSHYPERTEXT">
    <w:name w:val="SYS_HYPERTEXT"/>
    <w:rsid w:val="00520137"/>
    <w:rPr>
      <w:color w:val="0000FF"/>
      <w:u w:val="single"/>
    </w:rPr>
  </w:style>
  <w:style w:type="paragraph" w:styleId="BodyText2">
    <w:name w:val="Body Text 2"/>
    <w:basedOn w:val="Normal"/>
    <w:link w:val="BodyText2Char"/>
    <w:rsid w:val="00520137"/>
    <w:rPr>
      <w:sz w:val="20"/>
      <w:szCs w:val="20"/>
    </w:rPr>
  </w:style>
  <w:style w:type="character" w:customStyle="1" w:styleId="BodyText2Char">
    <w:name w:val="Body Text 2 Char"/>
    <w:basedOn w:val="DefaultParagraphFont"/>
    <w:link w:val="BodyText2"/>
    <w:rsid w:val="00520137"/>
    <w:rPr>
      <w:rFonts w:ascii="Times New Roman" w:eastAsia="Times New Roman" w:hAnsi="Times New Roman" w:cs="Times New Roman"/>
      <w:sz w:val="20"/>
      <w:szCs w:val="20"/>
    </w:rPr>
  </w:style>
  <w:style w:type="paragraph" w:customStyle="1" w:styleId="level10">
    <w:name w:val="level1"/>
    <w:basedOn w:val="Normal"/>
    <w:rsid w:val="00520137"/>
    <w:pPr>
      <w:autoSpaceDE w:val="0"/>
      <w:autoSpaceDN w:val="0"/>
      <w:ind w:left="720"/>
    </w:pPr>
  </w:style>
  <w:style w:type="paragraph" w:styleId="Header">
    <w:name w:val="header"/>
    <w:basedOn w:val="Normal"/>
    <w:link w:val="HeaderChar"/>
    <w:uiPriority w:val="99"/>
    <w:rsid w:val="00520137"/>
    <w:pPr>
      <w:tabs>
        <w:tab w:val="center" w:pos="4320"/>
        <w:tab w:val="right" w:pos="8640"/>
      </w:tabs>
    </w:pPr>
  </w:style>
  <w:style w:type="character" w:customStyle="1" w:styleId="HeaderChar">
    <w:name w:val="Header Char"/>
    <w:basedOn w:val="DefaultParagraphFont"/>
    <w:link w:val="Header"/>
    <w:uiPriority w:val="99"/>
    <w:rsid w:val="00520137"/>
    <w:rPr>
      <w:rFonts w:ascii="Times New Roman" w:eastAsia="Times New Roman" w:hAnsi="Times New Roman" w:cs="Times New Roman"/>
      <w:sz w:val="24"/>
      <w:szCs w:val="24"/>
    </w:rPr>
  </w:style>
  <w:style w:type="paragraph" w:customStyle="1" w:styleId="QuickFormat1">
    <w:name w:val="QuickFormat1"/>
    <w:rsid w:val="00520137"/>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QuickFormat2">
    <w:name w:val="QuickFormat2"/>
    <w:rsid w:val="00520137"/>
  </w:style>
  <w:style w:type="paragraph" w:customStyle="1" w:styleId="Level11">
    <w:name w:val="Level 11"/>
    <w:rsid w:val="005201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level12">
    <w:name w:val="_level1"/>
    <w:basedOn w:val="Normal"/>
    <w:rsid w:val="00520137"/>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right="176" w:hanging="360"/>
    </w:pPr>
  </w:style>
  <w:style w:type="character" w:styleId="FollowedHyperlink">
    <w:name w:val="FollowedHyperlink"/>
    <w:basedOn w:val="DefaultParagraphFont"/>
    <w:rsid w:val="00520137"/>
    <w:rPr>
      <w:color w:val="606420"/>
      <w:u w:val="single"/>
    </w:rPr>
  </w:style>
  <w:style w:type="paragraph" w:styleId="ListParagraph">
    <w:name w:val="List Paragraph"/>
    <w:basedOn w:val="Normal"/>
    <w:uiPriority w:val="34"/>
    <w:qFormat/>
    <w:rsid w:val="00520137"/>
    <w:pPr>
      <w:ind w:left="720"/>
    </w:pPr>
  </w:style>
  <w:style w:type="paragraph" w:customStyle="1" w:styleId="footnotetex">
    <w:name w:val="footnote tex"/>
    <w:uiPriority w:val="99"/>
    <w:rsid w:val="00520137"/>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L2-1">
    <w:name w:val="L2-1"/>
    <w:uiPriority w:val="99"/>
    <w:rsid w:val="00520137"/>
    <w:pPr>
      <w:autoSpaceDE w:val="0"/>
      <w:autoSpaceDN w:val="0"/>
      <w:adjustRightInd w:val="0"/>
      <w:spacing w:after="0" w:line="240" w:lineRule="auto"/>
      <w:ind w:left="720" w:hanging="360"/>
    </w:pPr>
    <w:rPr>
      <w:rFonts w:ascii="Times New Roman" w:eastAsia="Calibri" w:hAnsi="Times New Roman" w:cs="Times New Roman"/>
      <w:sz w:val="24"/>
      <w:szCs w:val="24"/>
    </w:rPr>
  </w:style>
  <w:style w:type="paragraph" w:styleId="NoSpacing">
    <w:name w:val="No Spacing"/>
    <w:link w:val="NoSpacingChar"/>
    <w:uiPriority w:val="1"/>
    <w:qFormat/>
    <w:rsid w:val="00520137"/>
    <w:pPr>
      <w:spacing w:after="0" w:line="240" w:lineRule="auto"/>
    </w:pPr>
  </w:style>
  <w:style w:type="character" w:customStyle="1" w:styleId="NoSpacingChar">
    <w:name w:val="No Spacing Char"/>
    <w:basedOn w:val="DefaultParagraphFont"/>
    <w:link w:val="NoSpacing"/>
    <w:uiPriority w:val="1"/>
    <w:rsid w:val="005201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85046">
      <w:bodyDiv w:val="1"/>
      <w:marLeft w:val="0"/>
      <w:marRight w:val="0"/>
      <w:marTop w:val="0"/>
      <w:marBottom w:val="0"/>
      <w:divBdr>
        <w:top w:val="none" w:sz="0" w:space="0" w:color="auto"/>
        <w:left w:val="none" w:sz="0" w:space="0" w:color="auto"/>
        <w:bottom w:val="none" w:sz="0" w:space="0" w:color="auto"/>
        <w:right w:val="none" w:sz="0" w:space="0" w:color="auto"/>
      </w:divBdr>
    </w:div>
    <w:div w:id="704989019">
      <w:bodyDiv w:val="1"/>
      <w:marLeft w:val="0"/>
      <w:marRight w:val="0"/>
      <w:marTop w:val="0"/>
      <w:marBottom w:val="0"/>
      <w:divBdr>
        <w:top w:val="none" w:sz="0" w:space="0" w:color="auto"/>
        <w:left w:val="none" w:sz="0" w:space="0" w:color="auto"/>
        <w:bottom w:val="none" w:sz="0" w:space="0" w:color="auto"/>
        <w:right w:val="none" w:sz="0" w:space="0" w:color="auto"/>
      </w:divBdr>
    </w:div>
    <w:div w:id="730730526">
      <w:bodyDiv w:val="1"/>
      <w:marLeft w:val="0"/>
      <w:marRight w:val="0"/>
      <w:marTop w:val="0"/>
      <w:marBottom w:val="0"/>
      <w:divBdr>
        <w:top w:val="none" w:sz="0" w:space="0" w:color="auto"/>
        <w:left w:val="none" w:sz="0" w:space="0" w:color="auto"/>
        <w:bottom w:val="none" w:sz="0" w:space="0" w:color="auto"/>
        <w:right w:val="none" w:sz="0" w:space="0" w:color="auto"/>
      </w:divBdr>
    </w:div>
    <w:div w:id="989479551">
      <w:bodyDiv w:val="1"/>
      <w:marLeft w:val="0"/>
      <w:marRight w:val="0"/>
      <w:marTop w:val="0"/>
      <w:marBottom w:val="0"/>
      <w:divBdr>
        <w:top w:val="none" w:sz="0" w:space="0" w:color="auto"/>
        <w:left w:val="none" w:sz="0" w:space="0" w:color="auto"/>
        <w:bottom w:val="none" w:sz="0" w:space="0" w:color="auto"/>
        <w:right w:val="none" w:sz="0" w:space="0" w:color="auto"/>
      </w:divBdr>
    </w:div>
    <w:div w:id="1315912164">
      <w:bodyDiv w:val="1"/>
      <w:marLeft w:val="0"/>
      <w:marRight w:val="0"/>
      <w:marTop w:val="0"/>
      <w:marBottom w:val="0"/>
      <w:divBdr>
        <w:top w:val="none" w:sz="0" w:space="0" w:color="auto"/>
        <w:left w:val="none" w:sz="0" w:space="0" w:color="auto"/>
        <w:bottom w:val="none" w:sz="0" w:space="0" w:color="auto"/>
        <w:right w:val="none" w:sz="0" w:space="0" w:color="auto"/>
      </w:divBdr>
    </w:div>
    <w:div w:id="1758476337">
      <w:bodyDiv w:val="1"/>
      <w:marLeft w:val="0"/>
      <w:marRight w:val="0"/>
      <w:marTop w:val="0"/>
      <w:marBottom w:val="0"/>
      <w:divBdr>
        <w:top w:val="none" w:sz="0" w:space="0" w:color="auto"/>
        <w:left w:val="none" w:sz="0" w:space="0" w:color="auto"/>
        <w:bottom w:val="none" w:sz="0" w:space="0" w:color="auto"/>
        <w:right w:val="none" w:sz="0" w:space="0" w:color="auto"/>
      </w:divBdr>
    </w:div>
    <w:div w:id="1792045739">
      <w:bodyDiv w:val="1"/>
      <w:marLeft w:val="0"/>
      <w:marRight w:val="0"/>
      <w:marTop w:val="0"/>
      <w:marBottom w:val="0"/>
      <w:divBdr>
        <w:top w:val="none" w:sz="0" w:space="0" w:color="auto"/>
        <w:left w:val="none" w:sz="0" w:space="0" w:color="auto"/>
        <w:bottom w:val="none" w:sz="0" w:space="0" w:color="auto"/>
        <w:right w:val="none" w:sz="0" w:space="0" w:color="auto"/>
      </w:divBdr>
    </w:div>
    <w:div w:id="1888182213">
      <w:bodyDiv w:val="1"/>
      <w:marLeft w:val="0"/>
      <w:marRight w:val="0"/>
      <w:marTop w:val="0"/>
      <w:marBottom w:val="0"/>
      <w:divBdr>
        <w:top w:val="none" w:sz="0" w:space="0" w:color="auto"/>
        <w:left w:val="none" w:sz="0" w:space="0" w:color="auto"/>
        <w:bottom w:val="none" w:sz="0" w:space="0" w:color="auto"/>
        <w:right w:val="none" w:sz="0" w:space="0" w:color="auto"/>
      </w:divBdr>
    </w:div>
    <w:div w:id="1972635816">
      <w:bodyDiv w:val="1"/>
      <w:marLeft w:val="0"/>
      <w:marRight w:val="0"/>
      <w:marTop w:val="0"/>
      <w:marBottom w:val="0"/>
      <w:divBdr>
        <w:top w:val="none" w:sz="0" w:space="0" w:color="auto"/>
        <w:left w:val="none" w:sz="0" w:space="0" w:color="auto"/>
        <w:bottom w:val="none" w:sz="0" w:space="0" w:color="auto"/>
        <w:right w:val="none" w:sz="0" w:space="0" w:color="auto"/>
      </w:divBdr>
    </w:div>
    <w:div w:id="20549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cid:image004.jpg@01CB4517.31DDB990" TargetMode="External"/><Relationship Id="rId26" Type="http://schemas.openxmlformats.org/officeDocument/2006/relationships/image" Target="media/image9.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scfc.uscourts.gov/" TargetMode="External"/><Relationship Id="rId34"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4.jpeg"/><Relationship Id="rId25" Type="http://schemas.openxmlformats.org/officeDocument/2006/relationships/hyperlink" Target="http://206.241.31.147/ImageCache/cgov/content/newsroom/photogallery/border_5fpatrol/highresimage/bp007_2ejpg/v1/bp007.jpg" TargetMode="External"/><Relationship Id="rId33" Type="http://schemas.openxmlformats.org/officeDocument/2006/relationships/chart" Target="charts/chart2.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portal.usace.army.mil/sites/DVL/DVL%20Images/Forms/DispForm.aspx?ID=6296" TargetMode="External"/><Relationship Id="rId20" Type="http://schemas.openxmlformats.org/officeDocument/2006/relationships/hyperlink" Target="http://www.uscgnews.com/go/doc/786/440291/" TargetMode="External"/><Relationship Id="rId29" Type="http://schemas.openxmlformats.org/officeDocument/2006/relationships/image" Target="cid:image003.jpg@01CB4517.31DDB9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8.jpeg"/><Relationship Id="rId32" Type="http://schemas.openxmlformats.org/officeDocument/2006/relationships/header" Target="header1.xm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gif"/><Relationship Id="rId23" Type="http://schemas.openxmlformats.org/officeDocument/2006/relationships/image" Target="media/image7.jpeg"/><Relationship Id="rId28" Type="http://schemas.openxmlformats.org/officeDocument/2006/relationships/image" Target="media/image10.jpeg"/><Relationship Id="rId36" Type="http://schemas.openxmlformats.org/officeDocument/2006/relationships/header" Target="header2.xml"/><Relationship Id="rId10" Type="http://schemas.openxmlformats.org/officeDocument/2006/relationships/footer" Target="footer1.xml"/><Relationship Id="rId19" Type="http://schemas.openxmlformats.org/officeDocument/2006/relationships/image" Target="media/image5.jpeg"/><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cid:image001.jpg@01CB4831.A1B78F30" TargetMode="External"/><Relationship Id="rId22" Type="http://schemas.openxmlformats.org/officeDocument/2006/relationships/image" Target="media/image6.png"/><Relationship Id="rId27" Type="http://schemas.openxmlformats.org/officeDocument/2006/relationships/hyperlink" Target="http://www.cdc.gov/vaccines/vpd-vac/mumps/default.htm" TargetMode="External"/><Relationship Id="rId30" Type="http://schemas.openxmlformats.org/officeDocument/2006/relationships/image" Target="media/image11.png"/><Relationship Id="rId35" Type="http://schemas.openxmlformats.org/officeDocument/2006/relationships/image" Target="media/image1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347211445096009E-2"/>
          <c:y val="6.7047748839087415E-2"/>
          <c:w val="0.48285432010820989"/>
          <c:h val="0.82126766606097312"/>
        </c:manualLayout>
      </c:layout>
      <c:lineChart>
        <c:grouping val="standard"/>
        <c:varyColors val="0"/>
        <c:ser>
          <c:idx val="0"/>
          <c:order val="0"/>
          <c:tx>
            <c:strRef>
              <c:f>Sheet1!$B$1</c:f>
              <c:strCache>
                <c:ptCount val="1"/>
                <c:pt idx="0">
                  <c:v>Appropriations</c:v>
                </c:pt>
              </c:strCache>
            </c:strRef>
          </c:tx>
          <c:marker>
            <c:symbol val="circle"/>
            <c:size val="5"/>
          </c:marker>
          <c:dLbls>
            <c:dLbl>
              <c:idx val="0"/>
              <c:layout>
                <c:manualLayout>
                  <c:x val="-1.0368066355624676E-2"/>
                  <c:y val="-2.7430138865078259E-2"/>
                </c:manualLayout>
              </c:layout>
              <c:showLegendKey val="0"/>
              <c:showVal val="1"/>
              <c:showCatName val="0"/>
              <c:showSerName val="0"/>
              <c:showPercent val="0"/>
              <c:showBubbleSize val="0"/>
            </c:dLbl>
            <c:dLbl>
              <c:idx val="1"/>
              <c:layout>
                <c:manualLayout>
                  <c:x val="-3.5251425609124178E-2"/>
                  <c:y val="-3.7716440939482253E-2"/>
                </c:manualLayout>
              </c:layout>
              <c:showLegendKey val="0"/>
              <c:showVal val="1"/>
              <c:showCatName val="0"/>
              <c:showSerName val="0"/>
              <c:showPercent val="0"/>
              <c:showBubbleSize val="0"/>
            </c:dLbl>
            <c:dLbl>
              <c:idx val="2"/>
              <c:layout>
                <c:manualLayout>
                  <c:x val="-3.1104199066874217E-2"/>
                  <c:y val="-3.0858906223212846E-2"/>
                </c:manualLayout>
              </c:layout>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numRef>
              <c:f>Sheet1!$A$2:$A$4</c:f>
              <c:numCache>
                <c:formatCode>General</c:formatCode>
                <c:ptCount val="3"/>
                <c:pt idx="0">
                  <c:v>2009</c:v>
                </c:pt>
                <c:pt idx="1">
                  <c:v>2010</c:v>
                </c:pt>
                <c:pt idx="2">
                  <c:v>2011</c:v>
                </c:pt>
              </c:numCache>
            </c:numRef>
          </c:cat>
          <c:val>
            <c:numRef>
              <c:f>Sheet1!$B$2:$B$4</c:f>
              <c:numCache>
                <c:formatCode>General</c:formatCode>
                <c:ptCount val="3"/>
                <c:pt idx="0">
                  <c:v>270.39999999999969</c:v>
                </c:pt>
                <c:pt idx="1">
                  <c:v>293.10000000000002</c:v>
                </c:pt>
                <c:pt idx="2">
                  <c:v>287.8</c:v>
                </c:pt>
              </c:numCache>
            </c:numRef>
          </c:val>
          <c:smooth val="0"/>
        </c:ser>
        <c:ser>
          <c:idx val="1"/>
          <c:order val="1"/>
          <c:tx>
            <c:strRef>
              <c:f>Sheet1!$C$1</c:f>
              <c:strCache>
                <c:ptCount val="1"/>
                <c:pt idx="0">
                  <c:v>Reimbursements</c:v>
                </c:pt>
              </c:strCache>
            </c:strRef>
          </c:tx>
          <c:marker>
            <c:symbol val="circle"/>
            <c:size val="5"/>
          </c:marker>
          <c:dLbls>
            <c:dLbl>
              <c:idx val="0"/>
              <c:layout>
                <c:manualLayout>
                  <c:x val="-1.2441679626749649E-2"/>
                  <c:y val="-3.4287673581347745E-2"/>
                </c:manualLayout>
              </c:layout>
              <c:showLegendKey val="0"/>
              <c:showVal val="1"/>
              <c:showCatName val="0"/>
              <c:showSerName val="0"/>
              <c:showPercent val="0"/>
              <c:showBubbleSize val="0"/>
            </c:dLbl>
            <c:dLbl>
              <c:idx val="1"/>
              <c:layout>
                <c:manualLayout>
                  <c:x val="-3.3177812337998991E-2"/>
                  <c:y val="-2.7430138865078259E-2"/>
                </c:manualLayout>
              </c:layout>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numRef>
              <c:f>Sheet1!$A$2:$A$4</c:f>
              <c:numCache>
                <c:formatCode>General</c:formatCode>
                <c:ptCount val="3"/>
                <c:pt idx="0">
                  <c:v>2009</c:v>
                </c:pt>
                <c:pt idx="1">
                  <c:v>2010</c:v>
                </c:pt>
                <c:pt idx="2">
                  <c:v>2011</c:v>
                </c:pt>
              </c:numCache>
            </c:numRef>
          </c:cat>
          <c:val>
            <c:numRef>
              <c:f>Sheet1!$C$2:$C$4</c:f>
              <c:numCache>
                <c:formatCode>General</c:formatCode>
                <c:ptCount val="3"/>
                <c:pt idx="0">
                  <c:v>111.2</c:v>
                </c:pt>
                <c:pt idx="1">
                  <c:v>103.9</c:v>
                </c:pt>
                <c:pt idx="2" formatCode="0.0">
                  <c:v>115</c:v>
                </c:pt>
              </c:numCache>
            </c:numRef>
          </c:val>
          <c:smooth val="0"/>
        </c:ser>
        <c:ser>
          <c:idx val="2"/>
          <c:order val="2"/>
          <c:tx>
            <c:strRef>
              <c:f>Sheet1!$D$1</c:f>
              <c:strCache>
                <c:ptCount val="1"/>
                <c:pt idx="0">
                  <c:v>DOJ Accounts</c:v>
                </c:pt>
              </c:strCache>
            </c:strRef>
          </c:tx>
          <c:marker>
            <c:symbol val="circle"/>
            <c:size val="5"/>
          </c:marker>
          <c:dLbls>
            <c:dLbl>
              <c:idx val="0"/>
              <c:layout>
                <c:manualLayout>
                  <c:x val="-1.2441679626749649E-2"/>
                  <c:y val="-2.4001371506943547E-2"/>
                </c:manualLayout>
              </c:layout>
              <c:showLegendKey val="0"/>
              <c:showVal val="1"/>
              <c:showCatName val="0"/>
              <c:showSerName val="0"/>
              <c:showPercent val="0"/>
              <c:showBubbleSize val="0"/>
            </c:dLbl>
            <c:dLbl>
              <c:idx val="1"/>
              <c:layout>
                <c:manualLayout>
                  <c:x val="-2.9030585795749093E-2"/>
                  <c:y val="-2.4001371506943547E-2"/>
                </c:manualLayout>
              </c:layout>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numRef>
              <c:f>Sheet1!$A$2:$A$4</c:f>
              <c:numCache>
                <c:formatCode>General</c:formatCode>
                <c:ptCount val="3"/>
                <c:pt idx="0">
                  <c:v>2009</c:v>
                </c:pt>
                <c:pt idx="1">
                  <c:v>2010</c:v>
                </c:pt>
                <c:pt idx="2">
                  <c:v>2011</c:v>
                </c:pt>
              </c:numCache>
            </c:numRef>
          </c:cat>
          <c:val>
            <c:numRef>
              <c:f>Sheet1!$D$2:$D$4</c:f>
              <c:numCache>
                <c:formatCode>General</c:formatCode>
                <c:ptCount val="3"/>
                <c:pt idx="0">
                  <c:v>73.7</c:v>
                </c:pt>
                <c:pt idx="1">
                  <c:v>64.2</c:v>
                </c:pt>
                <c:pt idx="2">
                  <c:v>45.7</c:v>
                </c:pt>
              </c:numCache>
            </c:numRef>
          </c:val>
          <c:smooth val="0"/>
        </c:ser>
        <c:ser>
          <c:idx val="3"/>
          <c:order val="3"/>
          <c:tx>
            <c:strRef>
              <c:f>Sheet1!$E$1</c:f>
              <c:strCache>
                <c:ptCount val="1"/>
                <c:pt idx="0">
                  <c:v>Total</c:v>
                </c:pt>
              </c:strCache>
            </c:strRef>
          </c:tx>
          <c:marker>
            <c:symbol val="circle"/>
            <c:size val="5"/>
          </c:marker>
          <c:dLbls>
            <c:dLbl>
              <c:idx val="0"/>
              <c:layout>
                <c:manualLayout>
                  <c:x val="-1.4515292897874463E-2"/>
                  <c:y val="-3.0858906223212846E-2"/>
                </c:manualLayout>
              </c:layout>
              <c:showLegendKey val="0"/>
              <c:showVal val="1"/>
              <c:showCatName val="0"/>
              <c:showSerName val="0"/>
              <c:showPercent val="0"/>
              <c:showBubbleSize val="0"/>
            </c:dLbl>
            <c:dLbl>
              <c:idx val="1"/>
              <c:layout>
                <c:manualLayout>
                  <c:x val="-3.3177812337998991E-2"/>
                  <c:y val="-3.0858906223212846E-2"/>
                </c:manualLayout>
              </c:layout>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numRef>
              <c:f>Sheet1!$A$2:$A$4</c:f>
              <c:numCache>
                <c:formatCode>General</c:formatCode>
                <c:ptCount val="3"/>
                <c:pt idx="0">
                  <c:v>2009</c:v>
                </c:pt>
                <c:pt idx="1">
                  <c:v>2010</c:v>
                </c:pt>
                <c:pt idx="2">
                  <c:v>2011</c:v>
                </c:pt>
              </c:numCache>
            </c:numRef>
          </c:cat>
          <c:val>
            <c:numRef>
              <c:f>Sheet1!$E$2:$E$4</c:f>
              <c:numCache>
                <c:formatCode>General</c:formatCode>
                <c:ptCount val="3"/>
                <c:pt idx="0">
                  <c:v>455.3</c:v>
                </c:pt>
                <c:pt idx="1">
                  <c:v>461.2</c:v>
                </c:pt>
                <c:pt idx="2">
                  <c:v>448.5</c:v>
                </c:pt>
              </c:numCache>
            </c:numRef>
          </c:val>
          <c:smooth val="0"/>
        </c:ser>
        <c:dLbls>
          <c:showLegendKey val="0"/>
          <c:showVal val="0"/>
          <c:showCatName val="0"/>
          <c:showSerName val="0"/>
          <c:showPercent val="0"/>
          <c:showBubbleSize val="0"/>
        </c:dLbls>
        <c:marker val="1"/>
        <c:smooth val="0"/>
        <c:axId val="152719360"/>
        <c:axId val="152720896"/>
      </c:lineChart>
      <c:catAx>
        <c:axId val="152719360"/>
        <c:scaling>
          <c:orientation val="minMax"/>
        </c:scaling>
        <c:delete val="0"/>
        <c:axPos val="b"/>
        <c:numFmt formatCode="General" sourceLinked="1"/>
        <c:majorTickMark val="out"/>
        <c:minorTickMark val="none"/>
        <c:tickLblPos val="nextTo"/>
        <c:txPr>
          <a:bodyPr/>
          <a:lstStyle/>
          <a:p>
            <a:pPr>
              <a:defRPr sz="1100" b="1"/>
            </a:pPr>
            <a:endParaRPr lang="en-US"/>
          </a:p>
        </c:txPr>
        <c:crossAx val="152720896"/>
        <c:crosses val="autoZero"/>
        <c:auto val="1"/>
        <c:lblAlgn val="ctr"/>
        <c:lblOffset val="100"/>
        <c:noMultiLvlLbl val="0"/>
      </c:catAx>
      <c:valAx>
        <c:axId val="152720896"/>
        <c:scaling>
          <c:orientation val="minMax"/>
        </c:scaling>
        <c:delete val="0"/>
        <c:axPos val="l"/>
        <c:majorGridlines/>
        <c:numFmt formatCode="General" sourceLinked="1"/>
        <c:majorTickMark val="out"/>
        <c:minorTickMark val="none"/>
        <c:tickLblPos val="nextTo"/>
        <c:txPr>
          <a:bodyPr/>
          <a:lstStyle/>
          <a:p>
            <a:pPr>
              <a:defRPr b="1"/>
            </a:pPr>
            <a:endParaRPr lang="en-US"/>
          </a:p>
        </c:txPr>
        <c:crossAx val="152719360"/>
        <c:crosses val="autoZero"/>
        <c:crossBetween val="midCat"/>
        <c:majorUnit val="100"/>
      </c:valAx>
    </c:plotArea>
    <c:legend>
      <c:legendPos val="r"/>
      <c:layout>
        <c:manualLayout>
          <c:xMode val="edge"/>
          <c:yMode val="edge"/>
          <c:x val="0.71607986804557544"/>
          <c:y val="0.36339667878053755"/>
          <c:w val="0.24604208803463407"/>
          <c:h val="0.26286593983444473"/>
        </c:manualLayout>
      </c:layout>
      <c:overlay val="0"/>
      <c:txPr>
        <a:bodyPr/>
        <a:lstStyle/>
        <a:p>
          <a:pPr>
            <a:defRPr sz="1200" b="1"/>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1" i="0" u="none" strike="noStrike" baseline="0">
                <a:solidFill>
                  <a:schemeClr val="accent2">
                    <a:lumMod val="50000"/>
                  </a:schemeClr>
                </a:solidFill>
                <a:latin typeface="+mn-lt"/>
                <a:ea typeface="Arial"/>
                <a:cs typeface="Arial"/>
              </a:defRPr>
            </a:pPr>
            <a:r>
              <a:rPr lang="en-US" sz="1200" b="1" i="0" u="none" strike="noStrike" baseline="0">
                <a:solidFill>
                  <a:schemeClr val="accent2">
                    <a:lumMod val="50000"/>
                  </a:schemeClr>
                </a:solidFill>
                <a:latin typeface="+mn-lt"/>
                <a:cs typeface="Arial"/>
              </a:rPr>
              <a:t>Affirmative Cases Closed</a:t>
            </a:r>
            <a:endParaRPr lang="en-US" sz="1200" b="1" i="0" u="none" strike="noStrike" baseline="0">
              <a:solidFill>
                <a:schemeClr val="accent2">
                  <a:lumMod val="50000"/>
                </a:schemeClr>
              </a:solidFill>
              <a:latin typeface="+mn-lt"/>
            </a:endParaRPr>
          </a:p>
          <a:p>
            <a:pPr>
              <a:defRPr sz="900" b="1" i="0" u="none" strike="noStrike" baseline="0">
                <a:solidFill>
                  <a:schemeClr val="accent2">
                    <a:lumMod val="50000"/>
                  </a:schemeClr>
                </a:solidFill>
                <a:latin typeface="+mn-lt"/>
                <a:ea typeface="Arial"/>
                <a:cs typeface="Arial"/>
              </a:defRPr>
            </a:pPr>
            <a:r>
              <a:rPr lang="en-US" sz="1100" b="0" i="0" u="none" strike="noStrike" baseline="0">
                <a:solidFill>
                  <a:schemeClr val="accent2">
                    <a:lumMod val="50000"/>
                  </a:schemeClr>
                </a:solidFill>
                <a:latin typeface="+mn-lt"/>
              </a:rPr>
              <a:t>($ in Billions)</a:t>
            </a:r>
          </a:p>
        </c:rich>
      </c:tx>
      <c:layout>
        <c:manualLayout>
          <c:xMode val="edge"/>
          <c:yMode val="edge"/>
          <c:x val="0.26047904191616766"/>
          <c:y val="0"/>
        </c:manualLayout>
      </c:layout>
      <c:overlay val="0"/>
      <c:spPr>
        <a:noFill/>
        <a:ln w="18707">
          <a:noFill/>
        </a:ln>
      </c:spPr>
    </c:title>
    <c:autoTitleDeleted val="0"/>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chemeClr val="bg1">
            <a:lumMod val="85000"/>
          </a:schemeClr>
        </a:solidFill>
        <a:ln w="12700">
          <a:solidFill>
            <a:srgbClr val="808080"/>
          </a:solidFill>
          <a:prstDash val="solid"/>
        </a:ln>
      </c:spPr>
    </c:sideWall>
    <c:backWall>
      <c:thickness val="0"/>
      <c:spPr>
        <a:solidFill>
          <a:schemeClr val="bg1">
            <a:lumMod val="85000"/>
          </a:schemeClr>
        </a:solidFill>
        <a:ln w="12700">
          <a:solidFill>
            <a:srgbClr val="808080"/>
          </a:solidFill>
          <a:prstDash val="solid"/>
        </a:ln>
      </c:spPr>
    </c:backWall>
    <c:plotArea>
      <c:layout>
        <c:manualLayout>
          <c:layoutTarget val="inner"/>
          <c:xMode val="edge"/>
          <c:yMode val="edge"/>
          <c:x val="9.4210664727812768E-2"/>
          <c:y val="0.14764764146923032"/>
          <c:w val="0.88323353293413176"/>
          <c:h val="0.67834394904460005"/>
        </c:manualLayout>
      </c:layout>
      <c:bar3DChart>
        <c:barDir val="col"/>
        <c:grouping val="clustered"/>
        <c:varyColors val="0"/>
        <c:ser>
          <c:idx val="0"/>
          <c:order val="0"/>
          <c:tx>
            <c:strRef>
              <c:f>Sheet1!$A$2</c:f>
              <c:strCache>
                <c:ptCount val="1"/>
                <c:pt idx="0">
                  <c:v>Dollars Sought</c:v>
                </c:pt>
              </c:strCache>
            </c:strRef>
          </c:tx>
          <c:spPr>
            <a:solidFill>
              <a:schemeClr val="accent2">
                <a:lumMod val="50000"/>
              </a:schemeClr>
            </a:solidFill>
            <a:ln w="9354">
              <a:solidFill>
                <a:srgbClr val="000000"/>
              </a:solidFill>
              <a:prstDash val="solid"/>
            </a:ln>
          </c:spPr>
          <c:invertIfNegative val="0"/>
          <c:dLbls>
            <c:dLbl>
              <c:idx val="0"/>
              <c:layout>
                <c:manualLayout>
                  <c:x val="2.5576519916142557E-3"/>
                  <c:y val="3.4614236094739656E-3"/>
                </c:manualLayout>
              </c:layout>
              <c:showLegendKey val="0"/>
              <c:showVal val="1"/>
              <c:showCatName val="0"/>
              <c:showSerName val="0"/>
              <c:showPercent val="0"/>
              <c:showBubbleSize val="0"/>
            </c:dLbl>
            <c:dLbl>
              <c:idx val="1"/>
              <c:layout>
                <c:manualLayout>
                  <c:x val="1.3005209211234022E-2"/>
                  <c:y val="-1.6504913629982385E-3"/>
                </c:manualLayout>
              </c:layout>
              <c:showLegendKey val="0"/>
              <c:showVal val="1"/>
              <c:showCatName val="0"/>
              <c:showSerName val="0"/>
              <c:showPercent val="0"/>
              <c:showBubbleSize val="0"/>
            </c:dLbl>
            <c:dLbl>
              <c:idx val="2"/>
              <c:layout>
                <c:manualLayout>
                  <c:x val="1.4058609646271279E-2"/>
                  <c:y val="2.2398217664652519E-3"/>
                </c:manualLayout>
              </c:layout>
              <c:showLegendKey val="0"/>
              <c:showVal val="1"/>
              <c:showCatName val="0"/>
              <c:showSerName val="0"/>
              <c:showPercent val="0"/>
              <c:showBubbleSize val="0"/>
            </c:dLbl>
            <c:dLbl>
              <c:idx val="3"/>
              <c:layout>
                <c:manualLayout>
                  <c:x val="3.9631743279797396E-3"/>
                  <c:y val="4.3551242141243982E-4"/>
                </c:manualLayout>
              </c:layout>
              <c:showLegendKey val="0"/>
              <c:showVal val="1"/>
              <c:showCatName val="0"/>
              <c:showSerName val="0"/>
              <c:showPercent val="0"/>
              <c:showBubbleSize val="0"/>
            </c:dLbl>
            <c:dLbl>
              <c:idx val="4"/>
              <c:layout>
                <c:manualLayout>
                  <c:x val="-3.1386902325282792E-3"/>
                  <c:y val="3.3846059940181787E-3"/>
                </c:manualLayout>
              </c:layout>
              <c:showLegendKey val="0"/>
              <c:showVal val="1"/>
              <c:showCatName val="0"/>
              <c:showSerName val="0"/>
              <c:showPercent val="0"/>
              <c:showBubbleSize val="0"/>
            </c:dLbl>
            <c:dLbl>
              <c:idx val="5"/>
              <c:layout>
                <c:manualLayout>
                  <c:x val="9.0924414264730762E-4"/>
                  <c:y val="-1.5300311298297117E-2"/>
                </c:manualLayout>
              </c:layout>
              <c:showLegendKey val="0"/>
              <c:showVal val="1"/>
              <c:showCatName val="0"/>
              <c:showSerName val="0"/>
              <c:showPercent val="0"/>
              <c:showBubbleSize val="0"/>
            </c:dLbl>
            <c:spPr>
              <a:noFill/>
              <a:ln w="18707">
                <a:noFill/>
              </a:ln>
            </c:spPr>
            <c:txPr>
              <a:bodyPr/>
              <a:lstStyle/>
              <a:p>
                <a:pPr>
                  <a:defRPr sz="700" b="1" i="0" u="none" strike="noStrike" baseline="0">
                    <a:solidFill>
                      <a:srgbClr val="000000"/>
                    </a:solidFill>
                    <a:latin typeface="+mn-lt"/>
                    <a:ea typeface="Arial"/>
                    <a:cs typeface="Arial"/>
                  </a:defRPr>
                </a:pPr>
                <a:endParaRPr lang="en-US"/>
              </a:p>
            </c:txPr>
            <c:showLegendKey val="0"/>
            <c:showVal val="1"/>
            <c:showCatName val="0"/>
            <c:showSerName val="0"/>
            <c:showPercent val="0"/>
            <c:showBubbleSize val="0"/>
            <c:showLeaderLines val="0"/>
          </c:dLbls>
          <c:cat>
            <c:strRef>
              <c:f>Sheet1!$B$1:$G$1</c:f>
              <c:strCache>
                <c:ptCount val="6"/>
                <c:pt idx="0">
                  <c:v>FY 2005</c:v>
                </c:pt>
                <c:pt idx="1">
                  <c:v>FY 2006</c:v>
                </c:pt>
                <c:pt idx="2">
                  <c:v>FY 2007</c:v>
                </c:pt>
                <c:pt idx="3">
                  <c:v>FY 2008</c:v>
                </c:pt>
                <c:pt idx="4">
                  <c:v>FY 2009</c:v>
                </c:pt>
                <c:pt idx="5">
                  <c:v>FY 2010</c:v>
                </c:pt>
              </c:strCache>
            </c:strRef>
          </c:cat>
          <c:val>
            <c:numRef>
              <c:f>Sheet1!$B$2:$G$2</c:f>
              <c:numCache>
                <c:formatCode>"$"#,##0.0</c:formatCode>
                <c:ptCount val="6"/>
                <c:pt idx="0" formatCode="&quot;$&quot;#,##0.0_);[Red]\(&quot;$&quot;#,##0.0\)">
                  <c:v>3.1</c:v>
                </c:pt>
                <c:pt idx="1">
                  <c:v>3.5</c:v>
                </c:pt>
                <c:pt idx="2">
                  <c:v>3.7</c:v>
                </c:pt>
                <c:pt idx="3" formatCode="&quot;$&quot;#,##0.0_);[Red]\(&quot;$&quot;#,##0.0\)">
                  <c:v>1.6</c:v>
                </c:pt>
                <c:pt idx="4">
                  <c:v>3.7</c:v>
                </c:pt>
                <c:pt idx="5" formatCode="&quot;$&quot;#,##0.0_);[Red]\(&quot;$&quot;#,##0.0\)">
                  <c:v>3.9</c:v>
                </c:pt>
              </c:numCache>
            </c:numRef>
          </c:val>
        </c:ser>
        <c:ser>
          <c:idx val="1"/>
          <c:order val="1"/>
          <c:tx>
            <c:strRef>
              <c:f>Sheet1!$A$3</c:f>
              <c:strCache>
                <c:ptCount val="1"/>
                <c:pt idx="0">
                  <c:v>Dollars Recovered</c:v>
                </c:pt>
              </c:strCache>
            </c:strRef>
          </c:tx>
          <c:spPr>
            <a:solidFill>
              <a:schemeClr val="accent2">
                <a:lumMod val="40000"/>
                <a:lumOff val="60000"/>
              </a:schemeClr>
            </a:solidFill>
            <a:ln w="9354">
              <a:noFill/>
              <a:prstDash val="solid"/>
            </a:ln>
          </c:spPr>
          <c:invertIfNegative val="0"/>
          <c:dLbls>
            <c:dLbl>
              <c:idx val="0"/>
              <c:layout>
                <c:manualLayout>
                  <c:x val="2.0625629343501827E-2"/>
                  <c:y val="8.306536533233216E-3"/>
                </c:manualLayout>
              </c:layout>
              <c:showLegendKey val="0"/>
              <c:showVal val="1"/>
              <c:showCatName val="0"/>
              <c:showSerName val="0"/>
              <c:showPercent val="0"/>
              <c:showBubbleSize val="0"/>
            </c:dLbl>
            <c:dLbl>
              <c:idx val="1"/>
              <c:layout>
                <c:manualLayout>
                  <c:x val="2.3560969973092968E-2"/>
                  <c:y val="9.2114982633159266E-3"/>
                </c:manualLayout>
              </c:layout>
              <c:showLegendKey val="0"/>
              <c:showVal val="1"/>
              <c:showCatName val="0"/>
              <c:showSerName val="0"/>
              <c:showPercent val="0"/>
              <c:showBubbleSize val="0"/>
            </c:dLbl>
            <c:dLbl>
              <c:idx val="2"/>
              <c:layout>
                <c:manualLayout>
                  <c:x val="2.0937618646726438E-2"/>
                  <c:y val="8.8700949418360747E-3"/>
                </c:manualLayout>
              </c:layout>
              <c:showLegendKey val="0"/>
              <c:showVal val="1"/>
              <c:showCatName val="0"/>
              <c:showSerName val="0"/>
              <c:showPercent val="0"/>
              <c:showBubbleSize val="0"/>
            </c:dLbl>
            <c:dLbl>
              <c:idx val="3"/>
              <c:layout>
                <c:manualLayout>
                  <c:x val="2.7101470806715412E-2"/>
                  <c:y val="8.0146463173587489E-3"/>
                </c:manualLayout>
              </c:layout>
              <c:showLegendKey val="0"/>
              <c:showVal val="1"/>
              <c:showCatName val="0"/>
              <c:showSerName val="0"/>
              <c:showPercent val="0"/>
              <c:showBubbleSize val="0"/>
            </c:dLbl>
            <c:dLbl>
              <c:idx val="4"/>
              <c:layout>
                <c:manualLayout>
                  <c:x val="1.9534822298156604E-2"/>
                  <c:y val="5.9703185249993093E-3"/>
                </c:manualLayout>
              </c:layout>
              <c:showLegendKey val="0"/>
              <c:showVal val="1"/>
              <c:showCatName val="0"/>
              <c:showSerName val="0"/>
              <c:showPercent val="0"/>
              <c:showBubbleSize val="0"/>
            </c:dLbl>
            <c:dLbl>
              <c:idx val="5"/>
              <c:layout>
                <c:manualLayout>
                  <c:x val="2.8974066920880181E-2"/>
                  <c:y val="8.9449466964777544E-3"/>
                </c:manualLayout>
              </c:layout>
              <c:showLegendKey val="0"/>
              <c:showVal val="1"/>
              <c:showCatName val="0"/>
              <c:showSerName val="0"/>
              <c:showPercent val="0"/>
              <c:showBubbleSize val="0"/>
            </c:dLbl>
            <c:spPr>
              <a:noFill/>
              <a:ln w="18707">
                <a:noFill/>
              </a:ln>
            </c:spPr>
            <c:txPr>
              <a:bodyPr/>
              <a:lstStyle/>
              <a:p>
                <a:pPr>
                  <a:defRPr sz="700" b="1" i="0" u="none" strike="noStrike" baseline="0">
                    <a:solidFill>
                      <a:srgbClr val="000000"/>
                    </a:solidFill>
                    <a:latin typeface="+mn-lt"/>
                    <a:ea typeface="Arial"/>
                    <a:cs typeface="Arial"/>
                  </a:defRPr>
                </a:pPr>
                <a:endParaRPr lang="en-US"/>
              </a:p>
            </c:txPr>
            <c:showLegendKey val="0"/>
            <c:showVal val="1"/>
            <c:showCatName val="0"/>
            <c:showSerName val="0"/>
            <c:showPercent val="0"/>
            <c:showBubbleSize val="0"/>
            <c:showLeaderLines val="0"/>
          </c:dLbls>
          <c:cat>
            <c:strRef>
              <c:f>Sheet1!$B$1:$G$1</c:f>
              <c:strCache>
                <c:ptCount val="6"/>
                <c:pt idx="0">
                  <c:v>FY 2005</c:v>
                </c:pt>
                <c:pt idx="1">
                  <c:v>FY 2006</c:v>
                </c:pt>
                <c:pt idx="2">
                  <c:v>FY 2007</c:v>
                </c:pt>
                <c:pt idx="3">
                  <c:v>FY 2008</c:v>
                </c:pt>
                <c:pt idx="4">
                  <c:v>FY 2009</c:v>
                </c:pt>
                <c:pt idx="5">
                  <c:v>FY 2010</c:v>
                </c:pt>
              </c:strCache>
            </c:strRef>
          </c:cat>
          <c:val>
            <c:numRef>
              <c:f>Sheet1!$B$3:$G$3</c:f>
              <c:numCache>
                <c:formatCode>"$"#,##0.0</c:formatCode>
                <c:ptCount val="6"/>
                <c:pt idx="0" formatCode="&quot;$&quot;#,##0.0_);[Red]\(&quot;$&quot;#,##0.0\)">
                  <c:v>3</c:v>
                </c:pt>
                <c:pt idx="1">
                  <c:v>3.2</c:v>
                </c:pt>
                <c:pt idx="2">
                  <c:v>3.5</c:v>
                </c:pt>
                <c:pt idx="3" formatCode="&quot;$&quot;#,##0.0_);[Red]\(&quot;$&quot;#,##0.0\)">
                  <c:v>1.3</c:v>
                </c:pt>
                <c:pt idx="4">
                  <c:v>3.5</c:v>
                </c:pt>
                <c:pt idx="5" formatCode="&quot;$&quot;#,##0.0_);[Red]\(&quot;$&quot;#,##0.0\)">
                  <c:v>3.7</c:v>
                </c:pt>
              </c:numCache>
            </c:numRef>
          </c:val>
        </c:ser>
        <c:dLbls>
          <c:showLegendKey val="0"/>
          <c:showVal val="1"/>
          <c:showCatName val="0"/>
          <c:showSerName val="0"/>
          <c:showPercent val="0"/>
          <c:showBubbleSize val="0"/>
        </c:dLbls>
        <c:gapWidth val="150"/>
        <c:gapDepth val="0"/>
        <c:shape val="box"/>
        <c:axId val="179492736"/>
        <c:axId val="179494272"/>
        <c:axId val="0"/>
      </c:bar3DChart>
      <c:catAx>
        <c:axId val="179492736"/>
        <c:scaling>
          <c:orientation val="minMax"/>
        </c:scaling>
        <c:delete val="0"/>
        <c:axPos val="b"/>
        <c:numFmt formatCode="General" sourceLinked="1"/>
        <c:majorTickMark val="none"/>
        <c:minorTickMark val="none"/>
        <c:tickLblPos val="low"/>
        <c:spPr>
          <a:ln w="2339">
            <a:solidFill>
              <a:srgbClr val="000000"/>
            </a:solidFill>
            <a:prstDash val="solid"/>
          </a:ln>
        </c:spPr>
        <c:txPr>
          <a:bodyPr rot="0" vert="horz"/>
          <a:lstStyle/>
          <a:p>
            <a:pPr>
              <a:defRPr sz="900" b="1" i="0" u="none" strike="noStrike" baseline="0">
                <a:solidFill>
                  <a:srgbClr val="000000"/>
                </a:solidFill>
                <a:latin typeface="+mn-lt"/>
                <a:ea typeface="Arial"/>
                <a:cs typeface="Arial"/>
              </a:defRPr>
            </a:pPr>
            <a:endParaRPr lang="en-US"/>
          </a:p>
        </c:txPr>
        <c:crossAx val="179494272"/>
        <c:crosses val="autoZero"/>
        <c:auto val="1"/>
        <c:lblAlgn val="ctr"/>
        <c:lblOffset val="100"/>
        <c:tickLblSkip val="1"/>
        <c:tickMarkSkip val="1"/>
        <c:noMultiLvlLbl val="0"/>
      </c:catAx>
      <c:valAx>
        <c:axId val="179494272"/>
        <c:scaling>
          <c:orientation val="minMax"/>
        </c:scaling>
        <c:delete val="0"/>
        <c:axPos val="l"/>
        <c:majorGridlines>
          <c:spPr>
            <a:ln w="2339">
              <a:solidFill>
                <a:srgbClr val="000000"/>
              </a:solidFill>
              <a:prstDash val="solid"/>
            </a:ln>
          </c:spPr>
        </c:majorGridlines>
        <c:numFmt formatCode="\$#,##0" sourceLinked="0"/>
        <c:majorTickMark val="out"/>
        <c:minorTickMark val="none"/>
        <c:tickLblPos val="nextTo"/>
        <c:spPr>
          <a:ln w="2339">
            <a:solidFill>
              <a:srgbClr val="000000"/>
            </a:solidFill>
            <a:prstDash val="solid"/>
          </a:ln>
        </c:spPr>
        <c:txPr>
          <a:bodyPr rot="0" vert="horz"/>
          <a:lstStyle/>
          <a:p>
            <a:pPr>
              <a:defRPr sz="900" b="1" i="0" u="none" strike="noStrike" baseline="0">
                <a:solidFill>
                  <a:srgbClr val="000000"/>
                </a:solidFill>
                <a:latin typeface="+mn-lt"/>
                <a:ea typeface="Arial"/>
                <a:cs typeface="Arial"/>
              </a:defRPr>
            </a:pPr>
            <a:endParaRPr lang="en-US"/>
          </a:p>
        </c:txPr>
        <c:crossAx val="179492736"/>
        <c:crosses val="autoZero"/>
        <c:crossBetween val="between"/>
        <c:majorUnit val="1"/>
      </c:valAx>
      <c:spPr>
        <a:noFill/>
        <a:ln w="18685">
          <a:noFill/>
        </a:ln>
      </c:spPr>
    </c:plotArea>
    <c:legend>
      <c:legendPos val="b"/>
      <c:layout>
        <c:manualLayout>
          <c:xMode val="edge"/>
          <c:yMode val="edge"/>
          <c:x val="0.15968536043086445"/>
          <c:y val="0.9008737715925047"/>
          <c:w val="0.73358825559649332"/>
          <c:h val="7.39397546236953E-2"/>
        </c:manualLayout>
      </c:layout>
      <c:overlay val="0"/>
      <c:spPr>
        <a:noFill/>
        <a:ln w="2339">
          <a:noFill/>
          <a:prstDash val="solid"/>
        </a:ln>
      </c:spPr>
      <c:txPr>
        <a:bodyPr/>
        <a:lstStyle/>
        <a:p>
          <a:pPr>
            <a:defRPr sz="1000" b="1" i="0" u="none" strike="noStrike" baseline="0">
              <a:solidFill>
                <a:schemeClr val="accent2">
                  <a:lumMod val="50000"/>
                </a:schemeClr>
              </a:solidFill>
              <a:latin typeface="Calibri" pitchFamily="34" charset="0"/>
              <a:ea typeface="Arial"/>
              <a:cs typeface="Arial"/>
            </a:defRPr>
          </a:pPr>
          <a:endParaRPr lang="en-US"/>
        </a:p>
      </c:txPr>
    </c:legend>
    <c:plotVisOnly val="1"/>
    <c:dispBlanksAs val="gap"/>
    <c:showDLblsOverMax val="0"/>
  </c:chart>
  <c:spPr>
    <a:noFill/>
    <a:ln>
      <a:noFill/>
    </a:ln>
  </c:spPr>
  <c:txPr>
    <a:bodyPr/>
    <a:lstStyle/>
    <a:p>
      <a:pPr>
        <a:defRPr sz="699" b="1"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61" b="1" i="0" u="none" strike="noStrike" baseline="0">
                <a:solidFill>
                  <a:srgbClr val="000000"/>
                </a:solidFill>
                <a:latin typeface="Arial"/>
                <a:ea typeface="Arial"/>
                <a:cs typeface="Arial"/>
              </a:defRPr>
            </a:pPr>
            <a:r>
              <a:rPr lang="en-US" sz="1200" b="1" i="0" u="none" strike="noStrike" baseline="0">
                <a:solidFill>
                  <a:schemeClr val="accent2">
                    <a:lumMod val="50000"/>
                  </a:schemeClr>
                </a:solidFill>
                <a:latin typeface="+mn-lt"/>
                <a:cs typeface="Arial"/>
              </a:rPr>
              <a:t>Defensive Cases Closed</a:t>
            </a:r>
            <a:endParaRPr lang="en-US" sz="1200" b="1" i="0" u="none" strike="noStrike" baseline="0">
              <a:solidFill>
                <a:schemeClr val="accent2">
                  <a:lumMod val="50000"/>
                </a:schemeClr>
              </a:solidFill>
              <a:latin typeface="+mn-lt"/>
            </a:endParaRPr>
          </a:p>
          <a:p>
            <a:pPr>
              <a:defRPr sz="661" b="1" i="0" u="none" strike="noStrike" baseline="0">
                <a:solidFill>
                  <a:srgbClr val="000000"/>
                </a:solidFill>
                <a:latin typeface="Arial"/>
                <a:ea typeface="Arial"/>
                <a:cs typeface="Arial"/>
              </a:defRPr>
            </a:pPr>
            <a:r>
              <a:rPr lang="en-US" sz="1100" b="0" i="0" u="none" strike="noStrike" baseline="0">
                <a:solidFill>
                  <a:schemeClr val="accent2">
                    <a:lumMod val="50000"/>
                  </a:schemeClr>
                </a:solidFill>
                <a:latin typeface="Calibri"/>
              </a:rPr>
              <a:t>($ in Billions)</a:t>
            </a:r>
          </a:p>
        </c:rich>
      </c:tx>
      <c:layout>
        <c:manualLayout>
          <c:xMode val="edge"/>
          <c:yMode val="edge"/>
          <c:x val="0.28353042826168467"/>
          <c:y val="0"/>
        </c:manualLayout>
      </c:layout>
      <c:overlay val="0"/>
      <c:spPr>
        <a:noFill/>
        <a:ln w="20126">
          <a:noFill/>
        </a:ln>
      </c:spPr>
    </c:title>
    <c:autoTitleDeleted val="0"/>
    <c:view3D>
      <c:rotX val="15"/>
      <c:hPercent val="68"/>
      <c:rotY val="20"/>
      <c:depthPercent val="100"/>
      <c:rAngAx val="1"/>
    </c:view3D>
    <c:floor>
      <c:thickness val="0"/>
      <c:spPr>
        <a:solidFill>
          <a:srgbClr val="C0C0C0"/>
        </a:solidFill>
        <a:ln w="3175">
          <a:solidFill>
            <a:srgbClr val="000000"/>
          </a:solidFill>
          <a:prstDash val="solid"/>
        </a:ln>
      </c:spPr>
    </c:floor>
    <c:sideWall>
      <c:thickness val="0"/>
      <c:spPr>
        <a:solidFill>
          <a:schemeClr val="bg1">
            <a:lumMod val="85000"/>
          </a:schemeClr>
        </a:solidFill>
        <a:ln w="12700">
          <a:solidFill>
            <a:srgbClr val="808080"/>
          </a:solidFill>
          <a:prstDash val="solid"/>
        </a:ln>
      </c:spPr>
    </c:sideWall>
    <c:backWall>
      <c:thickness val="0"/>
      <c:spPr>
        <a:solidFill>
          <a:schemeClr val="bg1">
            <a:lumMod val="85000"/>
          </a:schemeClr>
        </a:solidFill>
        <a:ln w="12700">
          <a:solidFill>
            <a:srgbClr val="808080"/>
          </a:solidFill>
          <a:prstDash val="solid"/>
        </a:ln>
      </c:spPr>
    </c:backWall>
    <c:plotArea>
      <c:layout>
        <c:manualLayout>
          <c:layoutTarget val="inner"/>
          <c:xMode val="edge"/>
          <c:yMode val="edge"/>
          <c:x val="0.11816403384359569"/>
          <c:y val="2.1476127800740451E-2"/>
          <c:w val="0.92602739726027394"/>
          <c:h val="0.87409302576180914"/>
        </c:manualLayout>
      </c:layout>
      <c:bar3DChart>
        <c:barDir val="col"/>
        <c:grouping val="clustered"/>
        <c:varyColors val="0"/>
        <c:ser>
          <c:idx val="0"/>
          <c:order val="0"/>
          <c:tx>
            <c:strRef>
              <c:f>Sheet1!$A$2</c:f>
              <c:strCache>
                <c:ptCount val="1"/>
                <c:pt idx="0">
                  <c:v>Dollars Sought</c:v>
                </c:pt>
              </c:strCache>
            </c:strRef>
          </c:tx>
          <c:spPr>
            <a:solidFill>
              <a:schemeClr val="accent2">
                <a:lumMod val="50000"/>
              </a:schemeClr>
            </a:solidFill>
            <a:ln w="10063">
              <a:solidFill>
                <a:srgbClr val="000000"/>
              </a:solidFill>
              <a:prstDash val="solid"/>
            </a:ln>
          </c:spPr>
          <c:invertIfNegative val="0"/>
          <c:dLbls>
            <c:dLbl>
              <c:idx val="0"/>
              <c:layout>
                <c:manualLayout>
                  <c:x val="1.216969599060524E-2"/>
                  <c:y val="1.9652445405109074E-3"/>
                </c:manualLayout>
              </c:layout>
              <c:showLegendKey val="0"/>
              <c:showVal val="1"/>
              <c:showCatName val="0"/>
              <c:showSerName val="0"/>
              <c:showPercent val="0"/>
              <c:showBubbleSize val="0"/>
            </c:dLbl>
            <c:dLbl>
              <c:idx val="1"/>
              <c:layout>
                <c:manualLayout>
                  <c:x val="1.2522620902412861E-2"/>
                  <c:y val="3.3722745441133592E-3"/>
                </c:manualLayout>
              </c:layout>
              <c:showLegendKey val="0"/>
              <c:showVal val="1"/>
              <c:showCatName val="0"/>
              <c:showSerName val="0"/>
              <c:showPercent val="0"/>
              <c:showBubbleSize val="0"/>
            </c:dLbl>
            <c:dLbl>
              <c:idx val="2"/>
              <c:layout>
                <c:manualLayout>
                  <c:x val="7.3958894810667924E-3"/>
                  <c:y val="8.0537971969191248E-3"/>
                </c:manualLayout>
              </c:layout>
              <c:showLegendKey val="0"/>
              <c:showVal val="1"/>
              <c:showCatName val="0"/>
              <c:showSerName val="0"/>
              <c:showPercent val="0"/>
              <c:showBubbleSize val="0"/>
            </c:dLbl>
            <c:dLbl>
              <c:idx val="3"/>
              <c:layout>
                <c:manualLayout>
                  <c:x val="6.9975168545108333E-3"/>
                  <c:y val="-1.3286543714284421E-2"/>
                </c:manualLayout>
              </c:layout>
              <c:showLegendKey val="0"/>
              <c:showVal val="1"/>
              <c:showCatName val="0"/>
              <c:showSerName val="0"/>
              <c:showPercent val="0"/>
              <c:showBubbleSize val="0"/>
            </c:dLbl>
            <c:dLbl>
              <c:idx val="4"/>
              <c:layout>
                <c:manualLayout>
                  <c:x val="1.7193209304719265E-2"/>
                  <c:y val="-1.2066170403888382E-2"/>
                </c:manualLayout>
              </c:layout>
              <c:showLegendKey val="0"/>
              <c:showVal val="1"/>
              <c:showCatName val="0"/>
              <c:showSerName val="0"/>
              <c:showPercent val="0"/>
              <c:showBubbleSize val="0"/>
            </c:dLbl>
            <c:dLbl>
              <c:idx val="5"/>
              <c:layout>
                <c:manualLayout>
                  <c:x val="-1.1720961350419454E-3"/>
                  <c:y val="-1.5345408959266168E-3"/>
                </c:manualLayout>
              </c:layout>
              <c:showLegendKey val="0"/>
              <c:showVal val="1"/>
              <c:showCatName val="0"/>
              <c:showSerName val="0"/>
              <c:showPercent val="0"/>
              <c:showBubbleSize val="0"/>
            </c:dLbl>
            <c:spPr>
              <a:noFill/>
              <a:ln w="20126">
                <a:noFill/>
              </a:ln>
            </c:spPr>
            <c:txPr>
              <a:bodyPr/>
              <a:lstStyle/>
              <a:p>
                <a:pPr>
                  <a:defRPr sz="700" b="1" i="0" u="none" strike="noStrike" baseline="0">
                    <a:solidFill>
                      <a:srgbClr val="000000"/>
                    </a:solidFill>
                    <a:latin typeface="+mn-lt"/>
                    <a:ea typeface="Arial"/>
                    <a:cs typeface="Arial"/>
                  </a:defRPr>
                </a:pPr>
                <a:endParaRPr lang="en-US"/>
              </a:p>
            </c:txPr>
            <c:showLegendKey val="0"/>
            <c:showVal val="1"/>
            <c:showCatName val="0"/>
            <c:showSerName val="0"/>
            <c:showPercent val="0"/>
            <c:showBubbleSize val="0"/>
            <c:showLeaderLines val="0"/>
          </c:dLbls>
          <c:cat>
            <c:strRef>
              <c:f>Sheet1!$B$1:$G$1</c:f>
              <c:strCache>
                <c:ptCount val="6"/>
                <c:pt idx="0">
                  <c:v>FY 2005</c:v>
                </c:pt>
                <c:pt idx="1">
                  <c:v>FY 2006</c:v>
                </c:pt>
                <c:pt idx="2">
                  <c:v>FY 2007</c:v>
                </c:pt>
                <c:pt idx="3">
                  <c:v>FY 2008</c:v>
                </c:pt>
                <c:pt idx="4">
                  <c:v>FY 2009</c:v>
                </c:pt>
                <c:pt idx="5">
                  <c:v>FY 2010</c:v>
                </c:pt>
              </c:strCache>
            </c:strRef>
          </c:cat>
          <c:val>
            <c:numRef>
              <c:f>Sheet1!$B$2:$G$2</c:f>
              <c:numCache>
                <c:formatCode>"$"#,##0</c:formatCode>
                <c:ptCount val="6"/>
                <c:pt idx="0">
                  <c:v>13</c:v>
                </c:pt>
                <c:pt idx="1">
                  <c:v>13</c:v>
                </c:pt>
                <c:pt idx="2" formatCode="&quot;$&quot;#,##0_);[Red]\(&quot;$&quot;#,##0\)">
                  <c:v>13</c:v>
                </c:pt>
                <c:pt idx="3" formatCode="&quot;$&quot;#,##0_);[Red]\(&quot;$&quot;#,##0\)">
                  <c:v>19</c:v>
                </c:pt>
                <c:pt idx="4">
                  <c:v>24</c:v>
                </c:pt>
                <c:pt idx="5" formatCode="&quot;$&quot;#,##0_);[Red]\(&quot;$&quot;#,##0\)">
                  <c:v>17</c:v>
                </c:pt>
              </c:numCache>
            </c:numRef>
          </c:val>
        </c:ser>
        <c:ser>
          <c:idx val="1"/>
          <c:order val="1"/>
          <c:tx>
            <c:strRef>
              <c:f>Sheet1!$A$3</c:f>
              <c:strCache>
                <c:ptCount val="1"/>
                <c:pt idx="0">
                  <c:v>Dollars Awarded</c:v>
                </c:pt>
              </c:strCache>
            </c:strRef>
          </c:tx>
          <c:spPr>
            <a:solidFill>
              <a:schemeClr val="accent2">
                <a:lumMod val="40000"/>
                <a:lumOff val="60000"/>
              </a:schemeClr>
            </a:solidFill>
            <a:ln w="10063">
              <a:solidFill>
                <a:srgbClr val="000000"/>
              </a:solidFill>
              <a:prstDash val="solid"/>
            </a:ln>
          </c:spPr>
          <c:invertIfNegative val="0"/>
          <c:dLbls>
            <c:dLbl>
              <c:idx val="0"/>
              <c:layout>
                <c:manualLayout>
                  <c:x val="1.4746446556415155E-2"/>
                  <c:y val="-2.4303416817711252E-3"/>
                </c:manualLayout>
              </c:layout>
              <c:showLegendKey val="0"/>
              <c:showVal val="1"/>
              <c:showCatName val="0"/>
              <c:showSerName val="0"/>
              <c:showPercent val="0"/>
              <c:showBubbleSize val="0"/>
            </c:dLbl>
            <c:dLbl>
              <c:idx val="1"/>
              <c:layout>
                <c:manualLayout>
                  <c:x val="1.1185793529606393E-2"/>
                  <c:y val="4.7340160911258714E-3"/>
                </c:manualLayout>
              </c:layout>
              <c:showLegendKey val="0"/>
              <c:showVal val="1"/>
              <c:showCatName val="0"/>
              <c:showSerName val="0"/>
              <c:showPercent val="0"/>
              <c:showBubbleSize val="0"/>
            </c:dLbl>
            <c:dLbl>
              <c:idx val="2"/>
              <c:layout>
                <c:manualLayout>
                  <c:x val="1.7895716280680932E-2"/>
                  <c:y val="6.2837733518605766E-3"/>
                </c:manualLayout>
              </c:layout>
              <c:showLegendKey val="0"/>
              <c:showVal val="1"/>
              <c:showCatName val="0"/>
              <c:showSerName val="0"/>
              <c:showPercent val="0"/>
              <c:showBubbleSize val="0"/>
            </c:dLbl>
            <c:dLbl>
              <c:idx val="3"/>
              <c:layout>
                <c:manualLayout>
                  <c:x val="2.0173573193861715E-2"/>
                  <c:y val="5.5567563858441105E-3"/>
                </c:manualLayout>
              </c:layout>
              <c:showLegendKey val="0"/>
              <c:showVal val="1"/>
              <c:showCatName val="0"/>
              <c:showSerName val="0"/>
              <c:showPercent val="0"/>
              <c:showBubbleSize val="0"/>
            </c:dLbl>
            <c:dLbl>
              <c:idx val="4"/>
              <c:layout>
                <c:manualLayout>
                  <c:x val="1.374574183356324E-2"/>
                  <c:y val="7.0118196009812533E-3"/>
                </c:manualLayout>
              </c:layout>
              <c:showLegendKey val="0"/>
              <c:showVal val="1"/>
              <c:showCatName val="0"/>
              <c:showSerName val="0"/>
              <c:showPercent val="0"/>
              <c:showBubbleSize val="0"/>
            </c:dLbl>
            <c:dLbl>
              <c:idx val="5"/>
              <c:layout>
                <c:manualLayout>
                  <c:x val="1.6510113193830649E-2"/>
                  <c:y val="2.2558454702966027E-3"/>
                </c:manualLayout>
              </c:layout>
              <c:showLegendKey val="0"/>
              <c:showVal val="1"/>
              <c:showCatName val="0"/>
              <c:showSerName val="0"/>
              <c:showPercent val="0"/>
              <c:showBubbleSize val="0"/>
            </c:dLbl>
            <c:spPr>
              <a:noFill/>
              <a:ln w="20126">
                <a:noFill/>
              </a:ln>
            </c:spPr>
            <c:txPr>
              <a:bodyPr/>
              <a:lstStyle/>
              <a:p>
                <a:pPr>
                  <a:defRPr sz="700" b="1" i="0" u="none" strike="noStrike" baseline="0">
                    <a:solidFill>
                      <a:srgbClr val="000000"/>
                    </a:solidFill>
                    <a:latin typeface="+mn-lt"/>
                    <a:ea typeface="Arial"/>
                    <a:cs typeface="Arial"/>
                  </a:defRPr>
                </a:pPr>
                <a:endParaRPr lang="en-US"/>
              </a:p>
            </c:txPr>
            <c:showLegendKey val="0"/>
            <c:showVal val="1"/>
            <c:showCatName val="0"/>
            <c:showSerName val="0"/>
            <c:showPercent val="0"/>
            <c:showBubbleSize val="0"/>
            <c:showLeaderLines val="0"/>
          </c:dLbls>
          <c:cat>
            <c:strRef>
              <c:f>Sheet1!$B$1:$G$1</c:f>
              <c:strCache>
                <c:ptCount val="6"/>
                <c:pt idx="0">
                  <c:v>FY 2005</c:v>
                </c:pt>
                <c:pt idx="1">
                  <c:v>FY 2006</c:v>
                </c:pt>
                <c:pt idx="2">
                  <c:v>FY 2007</c:v>
                </c:pt>
                <c:pt idx="3">
                  <c:v>FY 2008</c:v>
                </c:pt>
                <c:pt idx="4">
                  <c:v>FY 2009</c:v>
                </c:pt>
                <c:pt idx="5">
                  <c:v>FY 2010</c:v>
                </c:pt>
              </c:strCache>
            </c:strRef>
          </c:cat>
          <c:val>
            <c:numRef>
              <c:f>Sheet1!$B$3:$G$3</c:f>
              <c:numCache>
                <c:formatCode>"$"#,##0</c:formatCode>
                <c:ptCount val="6"/>
                <c:pt idx="0">
                  <c:v>3</c:v>
                </c:pt>
                <c:pt idx="1">
                  <c:v>2</c:v>
                </c:pt>
                <c:pt idx="2" formatCode="&quot;$&quot;#,##0_);[Red]\(&quot;$&quot;#,##0\)">
                  <c:v>3</c:v>
                </c:pt>
                <c:pt idx="3" formatCode="&quot;$&quot;#,##0_);[Red]\(&quot;$&quot;#,##0\)">
                  <c:v>1</c:v>
                </c:pt>
                <c:pt idx="4">
                  <c:v>3</c:v>
                </c:pt>
                <c:pt idx="5" formatCode="&quot;$&quot;#,##0_);[Red]\(&quot;$&quot;#,##0\)">
                  <c:v>3</c:v>
                </c:pt>
              </c:numCache>
            </c:numRef>
          </c:val>
        </c:ser>
        <c:dLbls>
          <c:showLegendKey val="0"/>
          <c:showVal val="1"/>
          <c:showCatName val="0"/>
          <c:showSerName val="0"/>
          <c:showPercent val="0"/>
          <c:showBubbleSize val="0"/>
        </c:dLbls>
        <c:gapWidth val="150"/>
        <c:gapDepth val="0"/>
        <c:shape val="box"/>
        <c:axId val="79586816"/>
        <c:axId val="79588352"/>
        <c:axId val="0"/>
      </c:bar3DChart>
      <c:catAx>
        <c:axId val="79586816"/>
        <c:scaling>
          <c:orientation val="minMax"/>
        </c:scaling>
        <c:delete val="0"/>
        <c:axPos val="b"/>
        <c:numFmt formatCode="General" sourceLinked="1"/>
        <c:majorTickMark val="none"/>
        <c:minorTickMark val="none"/>
        <c:tickLblPos val="low"/>
        <c:spPr>
          <a:ln w="2516">
            <a:solidFill>
              <a:srgbClr val="000000"/>
            </a:solidFill>
            <a:prstDash val="solid"/>
          </a:ln>
        </c:spPr>
        <c:txPr>
          <a:bodyPr rot="0" vert="horz"/>
          <a:lstStyle/>
          <a:p>
            <a:pPr>
              <a:defRPr sz="900" b="1" i="0" u="none" strike="noStrike" baseline="0">
                <a:solidFill>
                  <a:srgbClr val="000000"/>
                </a:solidFill>
                <a:latin typeface="+mn-lt"/>
                <a:ea typeface="Arial"/>
                <a:cs typeface="Arial"/>
              </a:defRPr>
            </a:pPr>
            <a:endParaRPr lang="en-US"/>
          </a:p>
        </c:txPr>
        <c:crossAx val="79588352"/>
        <c:crosses val="autoZero"/>
        <c:auto val="1"/>
        <c:lblAlgn val="ctr"/>
        <c:lblOffset val="100"/>
        <c:tickLblSkip val="1"/>
        <c:tickMarkSkip val="1"/>
        <c:noMultiLvlLbl val="0"/>
      </c:catAx>
      <c:valAx>
        <c:axId val="79588352"/>
        <c:scaling>
          <c:orientation val="minMax"/>
        </c:scaling>
        <c:delete val="0"/>
        <c:axPos val="l"/>
        <c:majorGridlines>
          <c:spPr>
            <a:ln w="2516">
              <a:solidFill>
                <a:srgbClr val="000000"/>
              </a:solidFill>
              <a:prstDash val="solid"/>
            </a:ln>
          </c:spPr>
        </c:majorGridlines>
        <c:numFmt formatCode="\$#,##0" sourceLinked="0"/>
        <c:majorTickMark val="out"/>
        <c:minorTickMark val="none"/>
        <c:tickLblPos val="nextTo"/>
        <c:spPr>
          <a:ln w="2516">
            <a:solidFill>
              <a:srgbClr val="000000"/>
            </a:solidFill>
            <a:prstDash val="solid"/>
          </a:ln>
        </c:spPr>
        <c:txPr>
          <a:bodyPr rot="0" vert="horz"/>
          <a:lstStyle/>
          <a:p>
            <a:pPr>
              <a:defRPr sz="900" b="1" i="0" u="none" strike="noStrike" baseline="0">
                <a:solidFill>
                  <a:srgbClr val="000000"/>
                </a:solidFill>
                <a:latin typeface="+mn-lt"/>
                <a:ea typeface="Arial"/>
                <a:cs typeface="Arial"/>
              </a:defRPr>
            </a:pPr>
            <a:endParaRPr lang="en-US"/>
          </a:p>
        </c:txPr>
        <c:crossAx val="79586816"/>
        <c:crosses val="autoZero"/>
        <c:crossBetween val="between"/>
      </c:valAx>
      <c:spPr>
        <a:noFill/>
        <a:ln w="20144">
          <a:noFill/>
        </a:ln>
      </c:spPr>
    </c:plotArea>
    <c:legend>
      <c:legendPos val="b"/>
      <c:layout>
        <c:manualLayout>
          <c:xMode val="edge"/>
          <c:yMode val="edge"/>
          <c:x val="0.21408910842666445"/>
          <c:y val="0.85795275590551179"/>
          <c:w val="0.68831364829396258"/>
          <c:h val="7.9836262189080923E-2"/>
        </c:manualLayout>
      </c:layout>
      <c:overlay val="0"/>
      <c:spPr>
        <a:noFill/>
        <a:ln w="2516">
          <a:noFill/>
          <a:prstDash val="solid"/>
        </a:ln>
      </c:spPr>
      <c:txPr>
        <a:bodyPr/>
        <a:lstStyle/>
        <a:p>
          <a:pPr>
            <a:defRPr sz="1000" b="1" i="0" u="none" strike="noStrike" baseline="0">
              <a:solidFill>
                <a:schemeClr val="accent2">
                  <a:lumMod val="50000"/>
                </a:schemeClr>
              </a:solidFill>
              <a:latin typeface="Calibri" pitchFamily="34" charset="0"/>
              <a:ea typeface="Arial"/>
              <a:cs typeface="Arial"/>
            </a:defRPr>
          </a:pPr>
          <a:endParaRPr lang="en-US"/>
        </a:p>
      </c:txPr>
    </c:legend>
    <c:plotVisOnly val="1"/>
    <c:dispBlanksAs val="gap"/>
    <c:showDLblsOverMax val="0"/>
  </c:chart>
  <c:spPr>
    <a:noFill/>
    <a:ln>
      <a:noFill/>
    </a:ln>
  </c:spPr>
  <c:txPr>
    <a:bodyPr/>
    <a:lstStyle/>
    <a:p>
      <a:pPr>
        <a:defRPr sz="833"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E087B-3C1F-44F5-8888-BD92DBE1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9D1F3A04</Template>
  <TotalTime>6</TotalTime>
  <Pages>19</Pages>
  <Words>7977</Words>
  <Characters>45473</Characters>
  <Application>Microsoft Office Word</Application>
  <DocSecurity>4</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53344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 Division</dc:creator>
  <cp:lastModifiedBy>Civil Division</cp:lastModifiedBy>
  <cp:revision>2</cp:revision>
  <cp:lastPrinted>2011-02-02T21:18:00Z</cp:lastPrinted>
  <dcterms:created xsi:type="dcterms:W3CDTF">2011-02-09T17:28:00Z</dcterms:created>
  <dcterms:modified xsi:type="dcterms:W3CDTF">2011-02-09T17:28:00Z</dcterms:modified>
</cp:coreProperties>
</file>